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2389">
      <w:pPr>
        <w:adjustRightInd w:val="0"/>
        <w:snapToGrid w:val="0"/>
        <w:spacing w:line="360" w:lineRule="auto"/>
        <w:jc w:val="center"/>
        <w:rPr>
          <w:b/>
          <w:sz w:val="36"/>
          <w:szCs w:val="36"/>
        </w:rPr>
      </w:pPr>
      <w:bookmarkStart w:id="674" w:name="_GoBack"/>
      <w:bookmarkEnd w:id="674"/>
    </w:p>
    <w:p w14:paraId="3B46D8EE">
      <w:pPr>
        <w:adjustRightInd w:val="0"/>
        <w:snapToGrid w:val="0"/>
        <w:spacing w:before="156" w:beforeLines="50" w:line="360" w:lineRule="auto"/>
        <w:jc w:val="center"/>
        <w:rPr>
          <w:rFonts w:hint="eastAsia"/>
          <w:b/>
          <w:sz w:val="36"/>
          <w:szCs w:val="36"/>
          <w:lang w:eastAsia="zh-CN"/>
        </w:rPr>
      </w:pPr>
    </w:p>
    <w:p w14:paraId="308866F6">
      <w:pPr>
        <w:adjustRightInd w:val="0"/>
        <w:snapToGrid w:val="0"/>
        <w:spacing w:before="156" w:beforeLines="50" w:line="360" w:lineRule="auto"/>
        <w:jc w:val="center"/>
        <w:rPr>
          <w:rFonts w:hint="eastAsia"/>
          <w:b/>
          <w:sz w:val="36"/>
          <w:szCs w:val="36"/>
          <w:lang w:eastAsia="zh-CN"/>
        </w:rPr>
      </w:pPr>
    </w:p>
    <w:p w14:paraId="7C0050BA">
      <w:pPr>
        <w:adjustRightInd w:val="0"/>
        <w:snapToGrid w:val="0"/>
        <w:spacing w:before="156" w:beforeLines="50" w:line="360" w:lineRule="auto"/>
        <w:jc w:val="center"/>
        <w:rPr>
          <w:b/>
          <w:sz w:val="36"/>
          <w:szCs w:val="36"/>
        </w:rPr>
      </w:pPr>
      <w:r>
        <w:rPr>
          <w:rFonts w:hint="eastAsia"/>
          <w:b/>
          <w:sz w:val="36"/>
          <w:szCs w:val="36"/>
          <w:lang w:eastAsia="zh-CN"/>
        </w:rPr>
        <w:t>砚山县红舍克东山石灰石矿</w:t>
      </w:r>
      <w:r>
        <w:rPr>
          <w:rFonts w:hint="eastAsia"/>
          <w:b/>
          <w:sz w:val="36"/>
          <w:szCs w:val="36"/>
        </w:rPr>
        <w:t>环</w:t>
      </w:r>
      <w:r>
        <w:rPr>
          <w:b/>
          <w:sz w:val="36"/>
          <w:szCs w:val="36"/>
        </w:rPr>
        <w:t>境影响报告书</w:t>
      </w:r>
    </w:p>
    <w:p w14:paraId="3520897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32"/>
          <w:szCs w:val="32"/>
          <w:highlight w:val="none"/>
          <w14:textFill>
            <w14:solidFill>
              <w14:schemeClr w14:val="tx1"/>
            </w14:solidFill>
          </w14:textFill>
        </w:rPr>
      </w:pPr>
      <w:r>
        <w:rPr>
          <w:rFonts w:hint="default" w:ascii="Times New Roman" w:hAnsi="Times New Roman" w:cs="Times New Roman"/>
          <w:b/>
          <w:bCs/>
          <w:color w:val="000000" w:themeColor="text1"/>
          <w:sz w:val="32"/>
          <w:szCs w:val="32"/>
          <w:highlight w:val="none"/>
          <w14:textFill>
            <w14:solidFill>
              <w14:schemeClr w14:val="tx1"/>
            </w14:solidFill>
          </w14:textFill>
        </w:rPr>
        <w:t>（</w:t>
      </w:r>
      <w:r>
        <w:rPr>
          <w:rFonts w:hint="eastAsia" w:cs="Times New Roman"/>
          <w:b/>
          <w:bCs/>
          <w:color w:val="000000" w:themeColor="text1"/>
          <w:sz w:val="32"/>
          <w:szCs w:val="32"/>
          <w:highlight w:val="none"/>
          <w:lang w:val="en-US" w:eastAsia="zh-CN"/>
          <w14:textFill>
            <w14:solidFill>
              <w14:schemeClr w14:val="tx1"/>
            </w14:solidFill>
          </w14:textFill>
        </w:rPr>
        <w:t>征求意见</w:t>
      </w:r>
      <w:r>
        <w:rPr>
          <w:rFonts w:hint="default" w:ascii="Times New Roman" w:hAnsi="Times New Roman" w:cs="Times New Roman"/>
          <w:b/>
          <w:bCs/>
          <w:color w:val="000000" w:themeColor="text1"/>
          <w:sz w:val="32"/>
          <w:szCs w:val="32"/>
          <w:highlight w:val="none"/>
          <w14:textFill>
            <w14:solidFill>
              <w14:schemeClr w14:val="tx1"/>
            </w14:solidFill>
          </w14:textFill>
        </w:rPr>
        <w:t>稿）</w:t>
      </w:r>
    </w:p>
    <w:p w14:paraId="19B99A75">
      <w:pPr>
        <w:adjustRightInd w:val="0"/>
        <w:snapToGrid w:val="0"/>
        <w:spacing w:line="360" w:lineRule="auto"/>
        <w:jc w:val="center"/>
        <w:rPr>
          <w:b/>
          <w:sz w:val="32"/>
          <w:szCs w:val="32"/>
        </w:rPr>
      </w:pPr>
    </w:p>
    <w:p w14:paraId="61B5A942">
      <w:pPr>
        <w:adjustRightInd w:val="0"/>
        <w:snapToGrid w:val="0"/>
        <w:spacing w:line="360" w:lineRule="auto"/>
        <w:jc w:val="center"/>
        <w:rPr>
          <w:b/>
          <w:sz w:val="32"/>
          <w:szCs w:val="32"/>
        </w:rPr>
      </w:pPr>
    </w:p>
    <w:p w14:paraId="1FDC1A41">
      <w:pPr>
        <w:adjustRightInd w:val="0"/>
        <w:snapToGrid w:val="0"/>
        <w:spacing w:line="360" w:lineRule="auto"/>
        <w:jc w:val="center"/>
        <w:rPr>
          <w:b/>
          <w:sz w:val="32"/>
          <w:szCs w:val="32"/>
        </w:rPr>
      </w:pPr>
    </w:p>
    <w:p w14:paraId="18ACF7D6">
      <w:pPr>
        <w:adjustRightInd w:val="0"/>
        <w:snapToGrid w:val="0"/>
        <w:spacing w:line="360" w:lineRule="auto"/>
        <w:jc w:val="center"/>
        <w:rPr>
          <w:b/>
          <w:sz w:val="32"/>
          <w:szCs w:val="32"/>
        </w:rPr>
      </w:pPr>
    </w:p>
    <w:p w14:paraId="6532425F">
      <w:pPr>
        <w:adjustRightInd w:val="0"/>
        <w:snapToGrid w:val="0"/>
        <w:spacing w:line="360" w:lineRule="auto"/>
        <w:jc w:val="center"/>
        <w:rPr>
          <w:b/>
          <w:sz w:val="32"/>
          <w:szCs w:val="32"/>
        </w:rPr>
      </w:pPr>
    </w:p>
    <w:p w14:paraId="661DC1C9">
      <w:pPr>
        <w:adjustRightInd w:val="0"/>
        <w:snapToGrid w:val="0"/>
        <w:spacing w:line="360" w:lineRule="auto"/>
        <w:jc w:val="center"/>
        <w:rPr>
          <w:b/>
          <w:sz w:val="32"/>
          <w:szCs w:val="32"/>
        </w:rPr>
      </w:pPr>
    </w:p>
    <w:p w14:paraId="626ABC8A">
      <w:pPr>
        <w:adjustRightInd w:val="0"/>
        <w:snapToGrid w:val="0"/>
        <w:spacing w:line="360" w:lineRule="auto"/>
        <w:jc w:val="center"/>
        <w:rPr>
          <w:b/>
          <w:sz w:val="32"/>
          <w:szCs w:val="32"/>
        </w:rPr>
      </w:pPr>
    </w:p>
    <w:p w14:paraId="79504ED8">
      <w:pPr>
        <w:adjustRightInd w:val="0"/>
        <w:snapToGrid w:val="0"/>
        <w:spacing w:line="360" w:lineRule="auto"/>
        <w:jc w:val="center"/>
        <w:rPr>
          <w:b/>
          <w:sz w:val="32"/>
          <w:szCs w:val="32"/>
        </w:rPr>
      </w:pPr>
    </w:p>
    <w:p w14:paraId="36FD9CB8">
      <w:pPr>
        <w:adjustRightInd w:val="0"/>
        <w:snapToGrid w:val="0"/>
        <w:spacing w:line="360" w:lineRule="auto"/>
        <w:jc w:val="center"/>
        <w:rPr>
          <w:b/>
          <w:sz w:val="32"/>
          <w:szCs w:val="32"/>
        </w:rPr>
      </w:pPr>
    </w:p>
    <w:p w14:paraId="49CE7415">
      <w:pPr>
        <w:adjustRightInd w:val="0"/>
        <w:snapToGrid w:val="0"/>
        <w:spacing w:line="360" w:lineRule="auto"/>
        <w:jc w:val="center"/>
        <w:rPr>
          <w:b/>
          <w:sz w:val="32"/>
          <w:szCs w:val="32"/>
        </w:rPr>
      </w:pPr>
    </w:p>
    <w:p w14:paraId="537ADF24">
      <w:pPr>
        <w:adjustRightInd w:val="0"/>
        <w:snapToGrid w:val="0"/>
        <w:spacing w:line="360" w:lineRule="auto"/>
        <w:jc w:val="both"/>
        <w:rPr>
          <w:b/>
          <w:sz w:val="32"/>
          <w:szCs w:val="32"/>
        </w:rPr>
      </w:pPr>
    </w:p>
    <w:p w14:paraId="15951500">
      <w:pPr>
        <w:adjustRightInd w:val="0"/>
        <w:snapToGrid w:val="0"/>
        <w:spacing w:line="360" w:lineRule="auto"/>
        <w:ind w:firstLine="1494" w:firstLineChars="496"/>
        <w:rPr>
          <w:rFonts w:hint="eastAsia" w:eastAsia="宋体"/>
          <w:b/>
          <w:sz w:val="30"/>
          <w:szCs w:val="30"/>
          <w:lang w:eastAsia="zh-CN"/>
        </w:rPr>
      </w:pPr>
      <w:r>
        <w:rPr>
          <w:b/>
          <w:sz w:val="30"/>
          <w:szCs w:val="30"/>
        </w:rPr>
        <w:t>委托单位：</w:t>
      </w:r>
      <w:r>
        <w:rPr>
          <w:rFonts w:hint="eastAsia"/>
          <w:b/>
          <w:sz w:val="30"/>
          <w:szCs w:val="30"/>
          <w:lang w:eastAsia="zh-CN"/>
        </w:rPr>
        <w:t>云南普阳煤化工有限责任公司</w:t>
      </w:r>
    </w:p>
    <w:p w14:paraId="521B546C">
      <w:pPr>
        <w:adjustRightInd w:val="0"/>
        <w:snapToGrid w:val="0"/>
        <w:spacing w:line="360" w:lineRule="auto"/>
        <w:ind w:firstLine="1506" w:firstLineChars="500"/>
        <w:rPr>
          <w:rFonts w:hint="eastAsia" w:eastAsia="宋体"/>
          <w:b/>
          <w:sz w:val="30"/>
          <w:szCs w:val="30"/>
          <w:lang w:eastAsia="zh-CN"/>
        </w:rPr>
      </w:pPr>
      <w:r>
        <w:rPr>
          <w:b/>
          <w:sz w:val="30"/>
          <w:szCs w:val="30"/>
        </w:rPr>
        <w:t>编制单位：</w:t>
      </w:r>
      <w:r>
        <w:rPr>
          <w:rFonts w:hint="eastAsia"/>
          <w:b/>
          <w:sz w:val="30"/>
          <w:szCs w:val="30"/>
          <w:lang w:eastAsia="zh-CN"/>
        </w:rPr>
        <w:t>云南明熙生态环境科技有限公司</w:t>
      </w:r>
    </w:p>
    <w:p w14:paraId="61C53D14">
      <w:pPr>
        <w:adjustRightInd w:val="0"/>
        <w:snapToGrid w:val="0"/>
        <w:spacing w:line="360" w:lineRule="auto"/>
        <w:jc w:val="center"/>
        <w:rPr>
          <w:b/>
          <w:sz w:val="30"/>
          <w:szCs w:val="30"/>
        </w:rPr>
      </w:pPr>
      <w:r>
        <w:rPr>
          <w:b/>
          <w:sz w:val="30"/>
          <w:szCs w:val="30"/>
        </w:rPr>
        <w:t>二〇</w:t>
      </w:r>
      <w:r>
        <w:rPr>
          <w:rFonts w:hint="eastAsia"/>
          <w:b/>
          <w:sz w:val="30"/>
          <w:szCs w:val="30"/>
          <w:lang w:val="en-US" w:eastAsia="zh-CN"/>
        </w:rPr>
        <w:t>二六</w:t>
      </w:r>
      <w:r>
        <w:rPr>
          <w:b/>
          <w:sz w:val="30"/>
          <w:szCs w:val="30"/>
        </w:rPr>
        <w:t>年</w:t>
      </w:r>
      <w:r>
        <w:rPr>
          <w:rFonts w:hint="eastAsia"/>
          <w:b/>
          <w:sz w:val="30"/>
          <w:szCs w:val="30"/>
          <w:lang w:val="en-US" w:eastAsia="zh-CN"/>
        </w:rPr>
        <w:t>七</w:t>
      </w:r>
      <w:r>
        <w:rPr>
          <w:b/>
          <w:sz w:val="30"/>
          <w:szCs w:val="30"/>
        </w:rPr>
        <w:t>月</w:t>
      </w:r>
    </w:p>
    <w:p w14:paraId="5C1E067B">
      <w:pPr>
        <w:adjustRightInd w:val="0"/>
        <w:snapToGrid w:val="0"/>
        <w:spacing w:line="360" w:lineRule="auto"/>
        <w:jc w:val="center"/>
        <w:rPr>
          <w:b/>
          <w:sz w:val="32"/>
          <w:szCs w:val="32"/>
        </w:rPr>
        <w:sectPr>
          <w:headerReference r:id="rId3" w:type="default"/>
          <w:footerReference r:id="rId4" w:type="even"/>
          <w:pgSz w:w="11906" w:h="16838"/>
          <w:pgMar w:top="1440" w:right="1800" w:bottom="1440" w:left="1800" w:header="851" w:footer="992" w:gutter="0"/>
          <w:pgNumType w:fmt="upperRoman" w:start="1"/>
          <w:cols w:space="720" w:num="1"/>
          <w:docGrid w:type="lines" w:linePitch="312" w:charSpace="0"/>
        </w:sectPr>
      </w:pPr>
    </w:p>
    <w:sdt>
      <w:sdtPr>
        <w:rPr>
          <w:rFonts w:ascii="宋体" w:hAnsi="宋体" w:eastAsia="宋体" w:cs="Times New Roman"/>
          <w:kern w:val="2"/>
          <w:sz w:val="21"/>
          <w:szCs w:val="24"/>
          <w:lang w:val="en-US" w:eastAsia="zh-CN" w:bidi="ar-SA"/>
        </w:rPr>
        <w:id w:val="147457037"/>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14:paraId="7FAFC5A3">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2D493A9">
          <w:pPr>
            <w:pStyle w:val="30"/>
            <w:tabs>
              <w:tab w:val="right" w:leader="dot" w:pos="8306"/>
            </w:tabs>
          </w:pPr>
          <w:r>
            <w:rPr>
              <w:sz w:val="24"/>
            </w:rPr>
            <w:fldChar w:fldCharType="begin"/>
          </w:r>
          <w:r>
            <w:rPr>
              <w:sz w:val="24"/>
            </w:rPr>
            <w:instrText xml:space="preserve">TOC \o "1-3" \h \u </w:instrText>
          </w:r>
          <w:r>
            <w:rPr>
              <w:sz w:val="24"/>
            </w:rPr>
            <w:fldChar w:fldCharType="separate"/>
          </w:r>
          <w:r>
            <w:fldChar w:fldCharType="begin"/>
          </w:r>
          <w:r>
            <w:instrText xml:space="preserve"> HYPERLINK \l _Toc7079 </w:instrText>
          </w:r>
          <w:r>
            <w:fldChar w:fldCharType="separate"/>
          </w:r>
          <w:r>
            <w:rPr>
              <w:rFonts w:hint="default"/>
              <w:highlight w:val="none"/>
            </w:rPr>
            <w:t>概述</w:t>
          </w:r>
          <w:r>
            <w:tab/>
          </w:r>
          <w:r>
            <w:fldChar w:fldCharType="begin"/>
          </w:r>
          <w:r>
            <w:instrText xml:space="preserve"> PAGEREF _Toc7079 \h </w:instrText>
          </w:r>
          <w:r>
            <w:fldChar w:fldCharType="separate"/>
          </w:r>
          <w:r>
            <w:t>4</w:t>
          </w:r>
          <w:r>
            <w:fldChar w:fldCharType="end"/>
          </w:r>
          <w:r>
            <w:fldChar w:fldCharType="end"/>
          </w:r>
        </w:p>
        <w:p w14:paraId="28925FDC">
          <w:pPr>
            <w:pStyle w:val="31"/>
            <w:tabs>
              <w:tab w:val="right" w:leader="dot" w:pos="8306"/>
            </w:tabs>
          </w:pPr>
          <w:r>
            <w:fldChar w:fldCharType="begin"/>
          </w:r>
          <w:r>
            <w:instrText xml:space="preserve"> HYPERLINK \l _Toc5429 </w:instrText>
          </w:r>
          <w:r>
            <w:fldChar w:fldCharType="separate"/>
          </w:r>
          <w:r>
            <w:rPr>
              <w:rFonts w:ascii="宋体" w:hAnsi="宋体" w:eastAsia="宋体" w:cs="宋体"/>
              <w:bCs/>
              <w:spacing w:val="4"/>
              <w:szCs w:val="31"/>
            </w:rPr>
            <w:t>一、项目背景</w:t>
          </w:r>
          <w:r>
            <w:tab/>
          </w:r>
          <w:r>
            <w:fldChar w:fldCharType="begin"/>
          </w:r>
          <w:r>
            <w:instrText xml:space="preserve"> PAGEREF _Toc5429 \h </w:instrText>
          </w:r>
          <w:r>
            <w:fldChar w:fldCharType="separate"/>
          </w:r>
          <w:r>
            <w:t>4</w:t>
          </w:r>
          <w:r>
            <w:fldChar w:fldCharType="end"/>
          </w:r>
          <w:r>
            <w:fldChar w:fldCharType="end"/>
          </w:r>
        </w:p>
        <w:p w14:paraId="2A0A9A74">
          <w:pPr>
            <w:pStyle w:val="31"/>
            <w:tabs>
              <w:tab w:val="right" w:leader="dot" w:pos="8306"/>
            </w:tabs>
          </w:pPr>
          <w:r>
            <w:fldChar w:fldCharType="begin"/>
          </w:r>
          <w:r>
            <w:instrText xml:space="preserve"> HYPERLINK \l _Toc28109 </w:instrText>
          </w:r>
          <w:r>
            <w:fldChar w:fldCharType="separate"/>
          </w:r>
          <w:r>
            <w:rPr>
              <w:rFonts w:hint="eastAsia"/>
              <w:szCs w:val="32"/>
              <w:lang w:val="en-US" w:eastAsia="zh-CN"/>
            </w:rPr>
            <w:t>二、</w:t>
          </w:r>
          <w:r>
            <w:rPr>
              <w:szCs w:val="32"/>
            </w:rPr>
            <w:t>项目建设特点</w:t>
          </w:r>
          <w:r>
            <w:tab/>
          </w:r>
          <w:r>
            <w:fldChar w:fldCharType="begin"/>
          </w:r>
          <w:r>
            <w:instrText xml:space="preserve"> PAGEREF _Toc28109 \h </w:instrText>
          </w:r>
          <w:r>
            <w:fldChar w:fldCharType="separate"/>
          </w:r>
          <w:r>
            <w:t>6</w:t>
          </w:r>
          <w:r>
            <w:fldChar w:fldCharType="end"/>
          </w:r>
          <w:r>
            <w:fldChar w:fldCharType="end"/>
          </w:r>
        </w:p>
        <w:p w14:paraId="0BB66654">
          <w:pPr>
            <w:pStyle w:val="31"/>
            <w:tabs>
              <w:tab w:val="right" w:leader="dot" w:pos="8306"/>
            </w:tabs>
          </w:pPr>
          <w:r>
            <w:fldChar w:fldCharType="begin"/>
          </w:r>
          <w:r>
            <w:instrText xml:space="preserve"> HYPERLINK \l _Toc25322 </w:instrText>
          </w:r>
          <w:r>
            <w:fldChar w:fldCharType="separate"/>
          </w:r>
          <w:r>
            <w:rPr>
              <w:rFonts w:hint="eastAsia"/>
              <w:szCs w:val="32"/>
              <w:lang w:val="en-US" w:eastAsia="zh-CN"/>
            </w:rPr>
            <w:t>三、</w:t>
          </w:r>
          <w:r>
            <w:rPr>
              <w:szCs w:val="32"/>
            </w:rPr>
            <w:t>环境影响评价工作过程</w:t>
          </w:r>
          <w:r>
            <w:tab/>
          </w:r>
          <w:r>
            <w:fldChar w:fldCharType="begin"/>
          </w:r>
          <w:r>
            <w:instrText xml:space="preserve"> PAGEREF _Toc25322 \h </w:instrText>
          </w:r>
          <w:r>
            <w:fldChar w:fldCharType="separate"/>
          </w:r>
          <w:r>
            <w:t>7</w:t>
          </w:r>
          <w:r>
            <w:fldChar w:fldCharType="end"/>
          </w:r>
          <w:r>
            <w:fldChar w:fldCharType="end"/>
          </w:r>
        </w:p>
        <w:p w14:paraId="2E6C0D92">
          <w:pPr>
            <w:pStyle w:val="31"/>
            <w:tabs>
              <w:tab w:val="right" w:leader="dot" w:pos="8306"/>
            </w:tabs>
          </w:pPr>
          <w:r>
            <w:fldChar w:fldCharType="begin"/>
          </w:r>
          <w:r>
            <w:instrText xml:space="preserve"> HYPERLINK \l _Toc23253 </w:instrText>
          </w:r>
          <w:r>
            <w:fldChar w:fldCharType="separate"/>
          </w:r>
          <w:r>
            <w:rPr>
              <w:rFonts w:hint="eastAsia"/>
              <w:szCs w:val="32"/>
              <w:lang w:val="en-US" w:eastAsia="zh-CN"/>
            </w:rPr>
            <w:t>四、</w:t>
          </w:r>
          <w:r>
            <w:rPr>
              <w:szCs w:val="32"/>
            </w:rPr>
            <w:t>分析判定相关情况</w:t>
          </w:r>
          <w:r>
            <w:tab/>
          </w:r>
          <w:r>
            <w:fldChar w:fldCharType="begin"/>
          </w:r>
          <w:r>
            <w:instrText xml:space="preserve"> PAGEREF _Toc23253 \h </w:instrText>
          </w:r>
          <w:r>
            <w:fldChar w:fldCharType="separate"/>
          </w:r>
          <w:r>
            <w:t>8</w:t>
          </w:r>
          <w:r>
            <w:fldChar w:fldCharType="end"/>
          </w:r>
          <w:r>
            <w:fldChar w:fldCharType="end"/>
          </w:r>
        </w:p>
        <w:p w14:paraId="73057459">
          <w:pPr>
            <w:pStyle w:val="31"/>
            <w:tabs>
              <w:tab w:val="right" w:leader="dot" w:pos="8306"/>
            </w:tabs>
          </w:pPr>
          <w:r>
            <w:fldChar w:fldCharType="begin"/>
          </w:r>
          <w:r>
            <w:instrText xml:space="preserve"> HYPERLINK \l _Toc12667 </w:instrText>
          </w:r>
          <w:r>
            <w:fldChar w:fldCharType="separate"/>
          </w:r>
          <w:r>
            <w:rPr>
              <w:rFonts w:hint="eastAsia"/>
              <w:szCs w:val="32"/>
              <w:lang w:val="en-US" w:eastAsia="zh-CN"/>
            </w:rPr>
            <w:t>五、</w:t>
          </w:r>
          <w:r>
            <w:rPr>
              <w:szCs w:val="32"/>
            </w:rPr>
            <w:t>关注的主要环境问题及环境影响</w:t>
          </w:r>
          <w:r>
            <w:tab/>
          </w:r>
          <w:r>
            <w:fldChar w:fldCharType="begin"/>
          </w:r>
          <w:r>
            <w:instrText xml:space="preserve"> PAGEREF _Toc12667 \h </w:instrText>
          </w:r>
          <w:r>
            <w:fldChar w:fldCharType="separate"/>
          </w:r>
          <w:r>
            <w:t>9</w:t>
          </w:r>
          <w:r>
            <w:fldChar w:fldCharType="end"/>
          </w:r>
          <w:r>
            <w:fldChar w:fldCharType="end"/>
          </w:r>
        </w:p>
        <w:p w14:paraId="5A439B53">
          <w:pPr>
            <w:pStyle w:val="31"/>
            <w:tabs>
              <w:tab w:val="right" w:leader="dot" w:pos="8306"/>
            </w:tabs>
          </w:pPr>
          <w:r>
            <w:fldChar w:fldCharType="begin"/>
          </w:r>
          <w:r>
            <w:instrText xml:space="preserve"> HYPERLINK \l _Toc26055 </w:instrText>
          </w:r>
          <w:r>
            <w:fldChar w:fldCharType="separate"/>
          </w:r>
          <w:r>
            <w:rPr>
              <w:rFonts w:hint="eastAsia"/>
              <w:szCs w:val="32"/>
              <w:lang w:val="en-US" w:eastAsia="zh-CN"/>
            </w:rPr>
            <w:t>六、</w:t>
          </w:r>
          <w:r>
            <w:rPr>
              <w:szCs w:val="32"/>
            </w:rPr>
            <w:t>环境影响评价主要结论</w:t>
          </w:r>
          <w:r>
            <w:tab/>
          </w:r>
          <w:r>
            <w:fldChar w:fldCharType="begin"/>
          </w:r>
          <w:r>
            <w:instrText xml:space="preserve"> PAGEREF _Toc26055 \h </w:instrText>
          </w:r>
          <w:r>
            <w:fldChar w:fldCharType="separate"/>
          </w:r>
          <w:r>
            <w:t>10</w:t>
          </w:r>
          <w:r>
            <w:fldChar w:fldCharType="end"/>
          </w:r>
          <w:r>
            <w:fldChar w:fldCharType="end"/>
          </w:r>
        </w:p>
        <w:p w14:paraId="67E2CF7B">
          <w:pPr>
            <w:pStyle w:val="30"/>
            <w:tabs>
              <w:tab w:val="right" w:leader="dot" w:pos="8306"/>
            </w:tabs>
          </w:pPr>
          <w:r>
            <w:fldChar w:fldCharType="begin"/>
          </w:r>
          <w:r>
            <w:instrText xml:space="preserve"> HYPERLINK \l _Toc1497 </w:instrText>
          </w:r>
          <w:r>
            <w:fldChar w:fldCharType="separate"/>
          </w:r>
          <w:r>
            <w:rPr>
              <w:rFonts w:hint="default"/>
              <w:lang w:val="en-US" w:eastAsia="zh-CN"/>
            </w:rPr>
            <w:t xml:space="preserve">1. </w:t>
          </w:r>
          <w:r>
            <w:rPr>
              <w:rFonts w:hint="eastAsia"/>
              <w:lang w:val="en-US" w:eastAsia="zh-CN"/>
            </w:rPr>
            <w:t>1.</w:t>
          </w:r>
          <w:r>
            <w:rPr>
              <w:rFonts w:hint="default"/>
              <w:lang w:val="en-US" w:eastAsia="zh-CN"/>
            </w:rPr>
            <w:t>总则</w:t>
          </w:r>
          <w:r>
            <w:tab/>
          </w:r>
          <w:r>
            <w:fldChar w:fldCharType="begin"/>
          </w:r>
          <w:r>
            <w:instrText xml:space="preserve"> PAGEREF _Toc1497 \h </w:instrText>
          </w:r>
          <w:r>
            <w:fldChar w:fldCharType="separate"/>
          </w:r>
          <w:r>
            <w:t>11</w:t>
          </w:r>
          <w:r>
            <w:fldChar w:fldCharType="end"/>
          </w:r>
          <w:r>
            <w:fldChar w:fldCharType="end"/>
          </w:r>
        </w:p>
        <w:p w14:paraId="1E271785">
          <w:pPr>
            <w:pStyle w:val="31"/>
            <w:tabs>
              <w:tab w:val="right" w:leader="dot" w:pos="8306"/>
            </w:tabs>
          </w:pPr>
          <w:r>
            <w:fldChar w:fldCharType="begin"/>
          </w:r>
          <w:r>
            <w:instrText xml:space="preserve"> HYPERLINK \l _Toc32175 </w:instrText>
          </w:r>
          <w:r>
            <w:fldChar w:fldCharType="separate"/>
          </w:r>
          <w:r>
            <w:rPr>
              <w:rFonts w:hint="default"/>
            </w:rPr>
            <w:t>1.1. 编制依据</w:t>
          </w:r>
          <w:r>
            <w:tab/>
          </w:r>
          <w:r>
            <w:fldChar w:fldCharType="begin"/>
          </w:r>
          <w:r>
            <w:instrText xml:space="preserve"> PAGEREF _Toc32175 \h </w:instrText>
          </w:r>
          <w:r>
            <w:fldChar w:fldCharType="separate"/>
          </w:r>
          <w:r>
            <w:t>11</w:t>
          </w:r>
          <w:r>
            <w:fldChar w:fldCharType="end"/>
          </w:r>
          <w:r>
            <w:fldChar w:fldCharType="end"/>
          </w:r>
        </w:p>
        <w:p w14:paraId="5BAEB7C6">
          <w:pPr>
            <w:pStyle w:val="24"/>
            <w:tabs>
              <w:tab w:val="right" w:leader="dot" w:pos="8306"/>
            </w:tabs>
          </w:pPr>
          <w:r>
            <w:fldChar w:fldCharType="begin"/>
          </w:r>
          <w:r>
            <w:instrText xml:space="preserve"> HYPERLINK \l _Toc8507 </w:instrText>
          </w:r>
          <w:r>
            <w:fldChar w:fldCharType="separate"/>
          </w:r>
          <w:r>
            <w:rPr>
              <w:rFonts w:hint="default"/>
            </w:rPr>
            <w:t>1.1.1. 国家相关法律法规</w:t>
          </w:r>
          <w:r>
            <w:tab/>
          </w:r>
          <w:r>
            <w:fldChar w:fldCharType="begin"/>
          </w:r>
          <w:r>
            <w:instrText xml:space="preserve"> PAGEREF _Toc8507 \h </w:instrText>
          </w:r>
          <w:r>
            <w:fldChar w:fldCharType="separate"/>
          </w:r>
          <w:r>
            <w:t>11</w:t>
          </w:r>
          <w:r>
            <w:fldChar w:fldCharType="end"/>
          </w:r>
          <w:r>
            <w:fldChar w:fldCharType="end"/>
          </w:r>
        </w:p>
        <w:p w14:paraId="4E99AD37">
          <w:pPr>
            <w:pStyle w:val="24"/>
            <w:tabs>
              <w:tab w:val="right" w:leader="dot" w:pos="8306"/>
            </w:tabs>
          </w:pPr>
          <w:r>
            <w:fldChar w:fldCharType="begin"/>
          </w:r>
          <w:r>
            <w:instrText xml:space="preserve"> HYPERLINK \l _Toc7131 </w:instrText>
          </w:r>
          <w:r>
            <w:fldChar w:fldCharType="separate"/>
          </w:r>
          <w:r>
            <w:rPr>
              <w:rFonts w:hint="default"/>
            </w:rPr>
            <w:t>1.1.2. 国务院及直属部门规章与规范性文件</w:t>
          </w:r>
          <w:r>
            <w:tab/>
          </w:r>
          <w:r>
            <w:fldChar w:fldCharType="begin"/>
          </w:r>
          <w:r>
            <w:instrText xml:space="preserve"> PAGEREF _Toc7131 \h </w:instrText>
          </w:r>
          <w:r>
            <w:fldChar w:fldCharType="separate"/>
          </w:r>
          <w:r>
            <w:t>12</w:t>
          </w:r>
          <w:r>
            <w:fldChar w:fldCharType="end"/>
          </w:r>
          <w:r>
            <w:fldChar w:fldCharType="end"/>
          </w:r>
        </w:p>
        <w:p w14:paraId="64721691">
          <w:pPr>
            <w:pStyle w:val="24"/>
            <w:tabs>
              <w:tab w:val="right" w:leader="dot" w:pos="8306"/>
            </w:tabs>
          </w:pPr>
          <w:r>
            <w:fldChar w:fldCharType="begin"/>
          </w:r>
          <w:r>
            <w:instrText xml:space="preserve"> HYPERLINK \l _Toc10464 </w:instrText>
          </w:r>
          <w:r>
            <w:fldChar w:fldCharType="separate"/>
          </w:r>
          <w:r>
            <w:rPr>
              <w:rFonts w:hint="default"/>
            </w:rPr>
            <w:t>1.1.3. 地方政府及直属部门规章与规范性文件</w:t>
          </w:r>
          <w:r>
            <w:tab/>
          </w:r>
          <w:r>
            <w:fldChar w:fldCharType="begin"/>
          </w:r>
          <w:r>
            <w:instrText xml:space="preserve"> PAGEREF _Toc10464 \h </w:instrText>
          </w:r>
          <w:r>
            <w:fldChar w:fldCharType="separate"/>
          </w:r>
          <w:r>
            <w:t>13</w:t>
          </w:r>
          <w:r>
            <w:fldChar w:fldCharType="end"/>
          </w:r>
          <w:r>
            <w:fldChar w:fldCharType="end"/>
          </w:r>
        </w:p>
        <w:p w14:paraId="409C375A">
          <w:pPr>
            <w:pStyle w:val="24"/>
            <w:tabs>
              <w:tab w:val="right" w:leader="dot" w:pos="8306"/>
            </w:tabs>
          </w:pPr>
          <w:r>
            <w:fldChar w:fldCharType="begin"/>
          </w:r>
          <w:r>
            <w:instrText xml:space="preserve"> HYPERLINK \l _Toc17679 </w:instrText>
          </w:r>
          <w:r>
            <w:fldChar w:fldCharType="separate"/>
          </w:r>
          <w:r>
            <w:rPr>
              <w:rFonts w:hint="default"/>
            </w:rPr>
            <w:t>1.1.4. 技术导则及规范</w:t>
          </w:r>
          <w:r>
            <w:tab/>
          </w:r>
          <w:r>
            <w:fldChar w:fldCharType="begin"/>
          </w:r>
          <w:r>
            <w:instrText xml:space="preserve"> PAGEREF _Toc17679 \h </w:instrText>
          </w:r>
          <w:r>
            <w:fldChar w:fldCharType="separate"/>
          </w:r>
          <w:r>
            <w:t>15</w:t>
          </w:r>
          <w:r>
            <w:fldChar w:fldCharType="end"/>
          </w:r>
          <w:r>
            <w:fldChar w:fldCharType="end"/>
          </w:r>
        </w:p>
        <w:p w14:paraId="2EE288A3">
          <w:pPr>
            <w:pStyle w:val="24"/>
            <w:tabs>
              <w:tab w:val="right" w:leader="dot" w:pos="8306"/>
            </w:tabs>
          </w:pPr>
          <w:r>
            <w:fldChar w:fldCharType="begin"/>
          </w:r>
          <w:r>
            <w:instrText xml:space="preserve"> HYPERLINK \l _Toc14582 </w:instrText>
          </w:r>
          <w:r>
            <w:fldChar w:fldCharType="separate"/>
          </w:r>
          <w:r>
            <w:rPr>
              <w:rFonts w:hint="default"/>
            </w:rPr>
            <w:t>1.1.5. 与项目有关资料及文件</w:t>
          </w:r>
          <w:r>
            <w:tab/>
          </w:r>
          <w:r>
            <w:fldChar w:fldCharType="begin"/>
          </w:r>
          <w:r>
            <w:instrText xml:space="preserve"> PAGEREF _Toc14582 \h </w:instrText>
          </w:r>
          <w:r>
            <w:fldChar w:fldCharType="separate"/>
          </w:r>
          <w:r>
            <w:t>15</w:t>
          </w:r>
          <w:r>
            <w:fldChar w:fldCharType="end"/>
          </w:r>
          <w:r>
            <w:fldChar w:fldCharType="end"/>
          </w:r>
        </w:p>
        <w:p w14:paraId="6739DAD5">
          <w:pPr>
            <w:pStyle w:val="31"/>
            <w:tabs>
              <w:tab w:val="right" w:leader="dot" w:pos="8306"/>
            </w:tabs>
          </w:pPr>
          <w:r>
            <w:fldChar w:fldCharType="begin"/>
          </w:r>
          <w:r>
            <w:instrText xml:space="preserve"> HYPERLINK \l _Toc3415 </w:instrText>
          </w:r>
          <w:r>
            <w:fldChar w:fldCharType="separate"/>
          </w:r>
          <w:r>
            <w:rPr>
              <w:rFonts w:hint="default"/>
              <w:lang w:val="en-US" w:eastAsia="zh-CN"/>
            </w:rPr>
            <w:t>1.2评价目的和评价原则</w:t>
          </w:r>
          <w:r>
            <w:tab/>
          </w:r>
          <w:r>
            <w:fldChar w:fldCharType="begin"/>
          </w:r>
          <w:r>
            <w:instrText xml:space="preserve"> PAGEREF _Toc3415 \h </w:instrText>
          </w:r>
          <w:r>
            <w:fldChar w:fldCharType="separate"/>
          </w:r>
          <w:r>
            <w:t>16</w:t>
          </w:r>
          <w:r>
            <w:fldChar w:fldCharType="end"/>
          </w:r>
          <w:r>
            <w:fldChar w:fldCharType="end"/>
          </w:r>
        </w:p>
        <w:p w14:paraId="2B67566E">
          <w:pPr>
            <w:pStyle w:val="24"/>
            <w:tabs>
              <w:tab w:val="right" w:leader="dot" w:pos="8306"/>
            </w:tabs>
          </w:pPr>
          <w:r>
            <w:fldChar w:fldCharType="begin"/>
          </w:r>
          <w:r>
            <w:instrText xml:space="preserve"> HYPERLINK \l _Toc9125 </w:instrText>
          </w:r>
          <w:r>
            <w:fldChar w:fldCharType="separate"/>
          </w:r>
          <w:r>
            <w:rPr>
              <w:rFonts w:hint="default"/>
            </w:rPr>
            <w:t>1.</w:t>
          </w:r>
          <w:r>
            <w:rPr>
              <w:rFonts w:hint="default"/>
              <w:lang w:val="en-US" w:eastAsia="zh-CN"/>
            </w:rPr>
            <w:t>2</w:t>
          </w:r>
          <w:r>
            <w:rPr>
              <w:rFonts w:hint="default"/>
            </w:rPr>
            <w:t>.1评价目的</w:t>
          </w:r>
          <w:r>
            <w:tab/>
          </w:r>
          <w:r>
            <w:fldChar w:fldCharType="begin"/>
          </w:r>
          <w:r>
            <w:instrText xml:space="preserve"> PAGEREF _Toc9125 \h </w:instrText>
          </w:r>
          <w:r>
            <w:fldChar w:fldCharType="separate"/>
          </w:r>
          <w:r>
            <w:t>16</w:t>
          </w:r>
          <w:r>
            <w:fldChar w:fldCharType="end"/>
          </w:r>
          <w:r>
            <w:fldChar w:fldCharType="end"/>
          </w:r>
        </w:p>
        <w:p w14:paraId="4C66821E">
          <w:pPr>
            <w:pStyle w:val="24"/>
            <w:tabs>
              <w:tab w:val="right" w:leader="dot" w:pos="8306"/>
            </w:tabs>
          </w:pPr>
          <w:r>
            <w:fldChar w:fldCharType="begin"/>
          </w:r>
          <w:r>
            <w:instrText xml:space="preserve"> HYPERLINK \l _Toc31577 </w:instrText>
          </w:r>
          <w:r>
            <w:fldChar w:fldCharType="separate"/>
          </w:r>
          <w:r>
            <w:rPr>
              <w:rFonts w:hint="default"/>
            </w:rPr>
            <w:t>1.</w:t>
          </w:r>
          <w:r>
            <w:rPr>
              <w:rFonts w:hint="default"/>
              <w:lang w:val="en-US" w:eastAsia="zh-CN"/>
            </w:rPr>
            <w:t>2</w:t>
          </w:r>
          <w:r>
            <w:rPr>
              <w:rFonts w:hint="default"/>
            </w:rPr>
            <w:t>.2评价原则</w:t>
          </w:r>
          <w:r>
            <w:tab/>
          </w:r>
          <w:r>
            <w:fldChar w:fldCharType="begin"/>
          </w:r>
          <w:r>
            <w:instrText xml:space="preserve"> PAGEREF _Toc31577 \h </w:instrText>
          </w:r>
          <w:r>
            <w:fldChar w:fldCharType="separate"/>
          </w:r>
          <w:r>
            <w:t>16</w:t>
          </w:r>
          <w:r>
            <w:fldChar w:fldCharType="end"/>
          </w:r>
          <w:r>
            <w:fldChar w:fldCharType="end"/>
          </w:r>
        </w:p>
        <w:p w14:paraId="6807740E">
          <w:pPr>
            <w:pStyle w:val="31"/>
            <w:tabs>
              <w:tab w:val="right" w:leader="dot" w:pos="8306"/>
            </w:tabs>
          </w:pPr>
          <w:r>
            <w:fldChar w:fldCharType="begin"/>
          </w:r>
          <w:r>
            <w:instrText xml:space="preserve"> HYPERLINK \l _Toc26001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3环境影响因素识别、评价因子筛选</w:t>
          </w:r>
          <w:r>
            <w:tab/>
          </w:r>
          <w:r>
            <w:fldChar w:fldCharType="begin"/>
          </w:r>
          <w:r>
            <w:instrText xml:space="preserve"> PAGEREF _Toc26001 \h </w:instrText>
          </w:r>
          <w:r>
            <w:fldChar w:fldCharType="separate"/>
          </w:r>
          <w:r>
            <w:t>17</w:t>
          </w:r>
          <w:r>
            <w:fldChar w:fldCharType="end"/>
          </w:r>
          <w:r>
            <w:fldChar w:fldCharType="end"/>
          </w:r>
        </w:p>
        <w:p w14:paraId="1EFD4236">
          <w:pPr>
            <w:pStyle w:val="24"/>
            <w:tabs>
              <w:tab w:val="right" w:leader="dot" w:pos="8306"/>
            </w:tabs>
          </w:pPr>
          <w:r>
            <w:fldChar w:fldCharType="begin"/>
          </w:r>
          <w:r>
            <w:instrText xml:space="preserve"> HYPERLINK \l _Toc20317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.1</w:t>
          </w:r>
          <w:r>
            <w:rPr>
              <w:rFonts w:hint="default" w:ascii="Times New Roman" w:hAnsi="Times New Roman" w:cs="Times New Roman"/>
              <w:highlight w:val="none"/>
              <w:lang w:val="en-US" w:eastAsia="zh-CN"/>
            </w:rPr>
            <w:t>环境影响因素识别</w:t>
          </w:r>
          <w:r>
            <w:tab/>
          </w:r>
          <w:r>
            <w:fldChar w:fldCharType="begin"/>
          </w:r>
          <w:r>
            <w:instrText xml:space="preserve"> PAGEREF _Toc20317 \h </w:instrText>
          </w:r>
          <w:r>
            <w:fldChar w:fldCharType="separate"/>
          </w:r>
          <w:r>
            <w:t>17</w:t>
          </w:r>
          <w:r>
            <w:fldChar w:fldCharType="end"/>
          </w:r>
          <w:r>
            <w:fldChar w:fldCharType="end"/>
          </w:r>
        </w:p>
        <w:p w14:paraId="061DDDE7">
          <w:pPr>
            <w:pStyle w:val="24"/>
            <w:tabs>
              <w:tab w:val="right" w:leader="dot" w:pos="8306"/>
            </w:tabs>
          </w:pPr>
          <w:r>
            <w:fldChar w:fldCharType="begin"/>
          </w:r>
          <w:r>
            <w:instrText xml:space="preserve"> HYPERLINK \l _Toc25425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3</w:t>
          </w:r>
          <w:r>
            <w:rPr>
              <w:rFonts w:hint="default" w:ascii="Times New Roman" w:hAnsi="Times New Roman" w:cs="Times New Roman"/>
              <w:highlight w:val="none"/>
            </w:rPr>
            <w:t>.2环境影响因子识别和筛选</w:t>
          </w:r>
          <w:r>
            <w:tab/>
          </w:r>
          <w:r>
            <w:fldChar w:fldCharType="begin"/>
          </w:r>
          <w:r>
            <w:instrText xml:space="preserve"> PAGEREF _Toc25425 \h </w:instrText>
          </w:r>
          <w:r>
            <w:fldChar w:fldCharType="separate"/>
          </w:r>
          <w:r>
            <w:t>18</w:t>
          </w:r>
          <w:r>
            <w:fldChar w:fldCharType="end"/>
          </w:r>
          <w:r>
            <w:fldChar w:fldCharType="end"/>
          </w:r>
        </w:p>
        <w:p w14:paraId="37BE6616">
          <w:pPr>
            <w:pStyle w:val="31"/>
            <w:tabs>
              <w:tab w:val="right" w:leader="dot" w:pos="8306"/>
            </w:tabs>
          </w:pPr>
          <w:r>
            <w:fldChar w:fldCharType="begin"/>
          </w:r>
          <w:r>
            <w:instrText xml:space="preserve"> HYPERLINK \l _Toc4958 </w:instrText>
          </w:r>
          <w:r>
            <w:fldChar w:fldCharType="separate"/>
          </w:r>
          <w:r>
            <w:rPr>
              <w:rFonts w:hint="default" w:ascii="Times New Roman" w:hAnsi="Times New Roman" w:cs="Times New Roman"/>
              <w:highlight w:val="none"/>
              <w:lang w:val="en-US" w:eastAsia="zh-CN"/>
            </w:rPr>
            <w:t>1.4环境功能区划</w:t>
          </w:r>
          <w:r>
            <w:tab/>
          </w:r>
          <w:r>
            <w:fldChar w:fldCharType="begin"/>
          </w:r>
          <w:r>
            <w:instrText xml:space="preserve"> PAGEREF _Toc4958 \h </w:instrText>
          </w:r>
          <w:r>
            <w:fldChar w:fldCharType="separate"/>
          </w:r>
          <w:r>
            <w:t>19</w:t>
          </w:r>
          <w:r>
            <w:fldChar w:fldCharType="end"/>
          </w:r>
          <w:r>
            <w:fldChar w:fldCharType="end"/>
          </w:r>
        </w:p>
        <w:p w14:paraId="7A5077B2">
          <w:pPr>
            <w:pStyle w:val="31"/>
            <w:tabs>
              <w:tab w:val="right" w:leader="dot" w:pos="8306"/>
            </w:tabs>
          </w:pPr>
          <w:r>
            <w:fldChar w:fldCharType="begin"/>
          </w:r>
          <w:r>
            <w:instrText xml:space="preserve"> HYPERLINK \l _Toc24489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评价标准</w:t>
          </w:r>
          <w:r>
            <w:tab/>
          </w:r>
          <w:r>
            <w:fldChar w:fldCharType="begin"/>
          </w:r>
          <w:r>
            <w:instrText xml:space="preserve"> PAGEREF _Toc24489 \h </w:instrText>
          </w:r>
          <w:r>
            <w:fldChar w:fldCharType="separate"/>
          </w:r>
          <w:r>
            <w:t>20</w:t>
          </w:r>
          <w:r>
            <w:fldChar w:fldCharType="end"/>
          </w:r>
          <w:r>
            <w:fldChar w:fldCharType="end"/>
          </w:r>
        </w:p>
        <w:p w14:paraId="17B28E86">
          <w:pPr>
            <w:pStyle w:val="24"/>
            <w:tabs>
              <w:tab w:val="right" w:leader="dot" w:pos="8306"/>
            </w:tabs>
          </w:pPr>
          <w:r>
            <w:fldChar w:fldCharType="begin"/>
          </w:r>
          <w:r>
            <w:instrText xml:space="preserve"> HYPERLINK \l _Toc17637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.1环境质量标准</w:t>
          </w:r>
          <w:r>
            <w:tab/>
          </w:r>
          <w:r>
            <w:fldChar w:fldCharType="begin"/>
          </w:r>
          <w:r>
            <w:instrText xml:space="preserve"> PAGEREF _Toc17637 \h </w:instrText>
          </w:r>
          <w:r>
            <w:fldChar w:fldCharType="separate"/>
          </w:r>
          <w:r>
            <w:t>20</w:t>
          </w:r>
          <w:r>
            <w:fldChar w:fldCharType="end"/>
          </w:r>
          <w:r>
            <w:fldChar w:fldCharType="end"/>
          </w:r>
        </w:p>
        <w:p w14:paraId="10AB5668">
          <w:pPr>
            <w:pStyle w:val="24"/>
            <w:tabs>
              <w:tab w:val="right" w:leader="dot" w:pos="8306"/>
            </w:tabs>
          </w:pPr>
          <w:r>
            <w:fldChar w:fldCharType="begin"/>
          </w:r>
          <w:r>
            <w:instrText xml:space="preserve"> HYPERLINK \l _Toc22665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.2污染物排放标准</w:t>
          </w:r>
          <w:r>
            <w:tab/>
          </w:r>
          <w:r>
            <w:fldChar w:fldCharType="begin"/>
          </w:r>
          <w:r>
            <w:instrText xml:space="preserve"> PAGEREF _Toc22665 \h </w:instrText>
          </w:r>
          <w:r>
            <w:fldChar w:fldCharType="separate"/>
          </w:r>
          <w:r>
            <w:t>24</w:t>
          </w:r>
          <w:r>
            <w:fldChar w:fldCharType="end"/>
          </w:r>
          <w:r>
            <w:fldChar w:fldCharType="end"/>
          </w:r>
        </w:p>
        <w:p w14:paraId="3FF824A5">
          <w:pPr>
            <w:pStyle w:val="31"/>
            <w:tabs>
              <w:tab w:val="right" w:leader="dot" w:pos="8306"/>
            </w:tabs>
          </w:pPr>
          <w:r>
            <w:fldChar w:fldCharType="begin"/>
          </w:r>
          <w:r>
            <w:instrText xml:space="preserve"> HYPERLINK \l _Toc11904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评价等级和评价</w:t>
          </w:r>
          <w:r>
            <w:rPr>
              <w:rFonts w:hint="default" w:ascii="Times New Roman" w:hAnsi="Times New Roman" w:cs="Times New Roman"/>
              <w:highlight w:val="none"/>
              <w:lang w:val="en-US" w:eastAsia="zh-CN"/>
            </w:rPr>
            <w:t>范围</w:t>
          </w:r>
          <w:r>
            <w:tab/>
          </w:r>
          <w:r>
            <w:fldChar w:fldCharType="begin"/>
          </w:r>
          <w:r>
            <w:instrText xml:space="preserve"> PAGEREF _Toc11904 \h </w:instrText>
          </w:r>
          <w:r>
            <w:fldChar w:fldCharType="separate"/>
          </w:r>
          <w:r>
            <w:t>26</w:t>
          </w:r>
          <w:r>
            <w:fldChar w:fldCharType="end"/>
          </w:r>
          <w:r>
            <w:fldChar w:fldCharType="end"/>
          </w:r>
        </w:p>
        <w:p w14:paraId="0445B6F2">
          <w:pPr>
            <w:pStyle w:val="24"/>
            <w:tabs>
              <w:tab w:val="right" w:leader="dot" w:pos="8306"/>
            </w:tabs>
          </w:pPr>
          <w:r>
            <w:fldChar w:fldCharType="begin"/>
          </w:r>
          <w:r>
            <w:instrText xml:space="preserve"> HYPERLINK \l _Toc10534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.1生态环境评价等级及评价范围</w:t>
          </w:r>
          <w:r>
            <w:tab/>
          </w:r>
          <w:r>
            <w:fldChar w:fldCharType="begin"/>
          </w:r>
          <w:r>
            <w:instrText xml:space="preserve"> PAGEREF _Toc10534 \h </w:instrText>
          </w:r>
          <w:r>
            <w:fldChar w:fldCharType="separate"/>
          </w:r>
          <w:r>
            <w:t>26</w:t>
          </w:r>
          <w:r>
            <w:fldChar w:fldCharType="end"/>
          </w:r>
          <w:r>
            <w:fldChar w:fldCharType="end"/>
          </w:r>
        </w:p>
        <w:p w14:paraId="1261EC81">
          <w:pPr>
            <w:pStyle w:val="24"/>
            <w:tabs>
              <w:tab w:val="right" w:leader="dot" w:pos="8306"/>
            </w:tabs>
          </w:pPr>
          <w:r>
            <w:fldChar w:fldCharType="begin"/>
          </w:r>
          <w:r>
            <w:instrText xml:space="preserve"> HYPERLINK \l _Toc30213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.2环境空气评价等级及评价范围</w:t>
          </w:r>
          <w:r>
            <w:tab/>
          </w:r>
          <w:r>
            <w:fldChar w:fldCharType="begin"/>
          </w:r>
          <w:r>
            <w:instrText xml:space="preserve"> PAGEREF _Toc30213 \h </w:instrText>
          </w:r>
          <w:r>
            <w:fldChar w:fldCharType="separate"/>
          </w:r>
          <w:r>
            <w:t>27</w:t>
          </w:r>
          <w:r>
            <w:fldChar w:fldCharType="end"/>
          </w:r>
          <w:r>
            <w:fldChar w:fldCharType="end"/>
          </w:r>
        </w:p>
        <w:p w14:paraId="082926D0">
          <w:pPr>
            <w:pStyle w:val="24"/>
            <w:tabs>
              <w:tab w:val="right" w:leader="dot" w:pos="8306"/>
            </w:tabs>
          </w:pPr>
          <w:r>
            <w:fldChar w:fldCharType="begin"/>
          </w:r>
          <w:r>
            <w:instrText xml:space="preserve"> HYPERLINK \l _Toc416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.3地表水环境评价等级及评价范围</w:t>
          </w:r>
          <w:r>
            <w:tab/>
          </w:r>
          <w:r>
            <w:fldChar w:fldCharType="begin"/>
          </w:r>
          <w:r>
            <w:instrText xml:space="preserve"> PAGEREF _Toc416 \h </w:instrText>
          </w:r>
          <w:r>
            <w:fldChar w:fldCharType="separate"/>
          </w:r>
          <w:r>
            <w:t>29</w:t>
          </w:r>
          <w:r>
            <w:fldChar w:fldCharType="end"/>
          </w:r>
          <w:r>
            <w:fldChar w:fldCharType="end"/>
          </w:r>
        </w:p>
        <w:p w14:paraId="1086281F">
          <w:pPr>
            <w:pStyle w:val="24"/>
            <w:tabs>
              <w:tab w:val="right" w:leader="dot" w:pos="8306"/>
            </w:tabs>
          </w:pPr>
          <w:r>
            <w:fldChar w:fldCharType="begin"/>
          </w:r>
          <w:r>
            <w:instrText xml:space="preserve"> HYPERLINK \l _Toc19990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.4地下水环境评价等级及评价范围</w:t>
          </w:r>
          <w:r>
            <w:tab/>
          </w:r>
          <w:r>
            <w:fldChar w:fldCharType="begin"/>
          </w:r>
          <w:r>
            <w:instrText xml:space="preserve"> PAGEREF _Toc19990 \h </w:instrText>
          </w:r>
          <w:r>
            <w:fldChar w:fldCharType="separate"/>
          </w:r>
          <w:r>
            <w:t>29</w:t>
          </w:r>
          <w:r>
            <w:fldChar w:fldCharType="end"/>
          </w:r>
          <w:r>
            <w:fldChar w:fldCharType="end"/>
          </w:r>
        </w:p>
        <w:p w14:paraId="71FEC9FE">
          <w:pPr>
            <w:pStyle w:val="24"/>
            <w:tabs>
              <w:tab w:val="right" w:leader="dot" w:pos="8306"/>
            </w:tabs>
          </w:pPr>
          <w:r>
            <w:fldChar w:fldCharType="begin"/>
          </w:r>
          <w:r>
            <w:instrText xml:space="preserve"> HYPERLINK \l _Toc2323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.5声环境评价等级及评价范围</w:t>
          </w:r>
          <w:r>
            <w:tab/>
          </w:r>
          <w:r>
            <w:fldChar w:fldCharType="begin"/>
          </w:r>
          <w:r>
            <w:instrText xml:space="preserve"> PAGEREF _Toc2323 \h </w:instrText>
          </w:r>
          <w:r>
            <w:fldChar w:fldCharType="separate"/>
          </w:r>
          <w:r>
            <w:t>29</w:t>
          </w:r>
          <w:r>
            <w:fldChar w:fldCharType="end"/>
          </w:r>
          <w:r>
            <w:fldChar w:fldCharType="end"/>
          </w:r>
        </w:p>
        <w:p w14:paraId="374673F8">
          <w:pPr>
            <w:pStyle w:val="24"/>
            <w:tabs>
              <w:tab w:val="right" w:leader="dot" w:pos="8306"/>
            </w:tabs>
          </w:pPr>
          <w:r>
            <w:fldChar w:fldCharType="begin"/>
          </w:r>
          <w:r>
            <w:instrText xml:space="preserve"> HYPERLINK \l _Toc27761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.6土壤</w:t>
          </w:r>
          <w:r>
            <w:rPr>
              <w:rFonts w:hint="default" w:ascii="Times New Roman" w:hAnsi="Times New Roman" w:cs="Times New Roman"/>
              <w:highlight w:val="none"/>
              <w:lang w:val="en-US" w:eastAsia="zh-CN"/>
            </w:rPr>
            <w:t>环</w:t>
          </w:r>
          <w:r>
            <w:rPr>
              <w:rFonts w:hint="default" w:ascii="Times New Roman" w:hAnsi="Times New Roman" w:cs="Times New Roman"/>
              <w:highlight w:val="none"/>
            </w:rPr>
            <w:t>境评价等级及评价范围</w:t>
          </w:r>
          <w:r>
            <w:tab/>
          </w:r>
          <w:r>
            <w:fldChar w:fldCharType="begin"/>
          </w:r>
          <w:r>
            <w:instrText xml:space="preserve"> PAGEREF _Toc27761 \h </w:instrText>
          </w:r>
          <w:r>
            <w:fldChar w:fldCharType="separate"/>
          </w:r>
          <w:r>
            <w:t>30</w:t>
          </w:r>
          <w:r>
            <w:fldChar w:fldCharType="end"/>
          </w:r>
          <w:r>
            <w:fldChar w:fldCharType="end"/>
          </w:r>
        </w:p>
        <w:p w14:paraId="32C4273A">
          <w:pPr>
            <w:pStyle w:val="24"/>
            <w:tabs>
              <w:tab w:val="right" w:leader="dot" w:pos="8306"/>
            </w:tabs>
          </w:pPr>
          <w:r>
            <w:fldChar w:fldCharType="begin"/>
          </w:r>
          <w:r>
            <w:instrText xml:space="preserve"> HYPERLINK \l _Toc25867 </w:instrText>
          </w:r>
          <w:r>
            <w:fldChar w:fldCharType="separate"/>
          </w:r>
          <w:r>
            <w:rPr>
              <w:rFonts w:hint="default" w:ascii="Times New Roman" w:hAnsi="Times New Roman" w:cs="Times New Roman"/>
              <w:highlight w:val="none"/>
              <w:lang w:val="en-US" w:eastAsia="zh-CN"/>
            </w:rPr>
            <w:t>1</w:t>
          </w:r>
          <w:r>
            <w:rPr>
              <w:rFonts w:hint="default" w:ascii="Times New Roman" w:hAnsi="Times New Roman" w:cs="Times New Roman"/>
              <w:highlight w:val="none"/>
            </w:rPr>
            <w:t>.6.7环境风险评价等级及评价范围</w:t>
          </w:r>
          <w:r>
            <w:tab/>
          </w:r>
          <w:r>
            <w:fldChar w:fldCharType="begin"/>
          </w:r>
          <w:r>
            <w:instrText xml:space="preserve"> PAGEREF _Toc25867 \h </w:instrText>
          </w:r>
          <w:r>
            <w:fldChar w:fldCharType="separate"/>
          </w:r>
          <w:r>
            <w:t>31</w:t>
          </w:r>
          <w:r>
            <w:fldChar w:fldCharType="end"/>
          </w:r>
          <w:r>
            <w:fldChar w:fldCharType="end"/>
          </w:r>
        </w:p>
        <w:p w14:paraId="6D1B53B0">
          <w:pPr>
            <w:pStyle w:val="31"/>
            <w:tabs>
              <w:tab w:val="right" w:leader="dot" w:pos="8306"/>
            </w:tabs>
          </w:pPr>
          <w:r>
            <w:fldChar w:fldCharType="begin"/>
          </w:r>
          <w:r>
            <w:instrText xml:space="preserve"> HYPERLINK \l _Toc13330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评价</w:t>
          </w:r>
          <w:r>
            <w:rPr>
              <w:rFonts w:hint="default" w:ascii="Times New Roman" w:hAnsi="Times New Roman" w:cs="Times New Roman"/>
              <w:highlight w:val="none"/>
              <w:lang w:val="en-US" w:eastAsia="zh-CN"/>
            </w:rPr>
            <w:t>重点</w:t>
          </w:r>
          <w:r>
            <w:rPr>
              <w:rFonts w:hint="default" w:ascii="Times New Roman" w:hAnsi="Times New Roman" w:cs="Times New Roman"/>
              <w:highlight w:val="none"/>
            </w:rPr>
            <w:t>与评价时段</w:t>
          </w:r>
          <w:r>
            <w:tab/>
          </w:r>
          <w:r>
            <w:fldChar w:fldCharType="begin"/>
          </w:r>
          <w:r>
            <w:instrText xml:space="preserve"> PAGEREF _Toc13330 \h </w:instrText>
          </w:r>
          <w:r>
            <w:fldChar w:fldCharType="separate"/>
          </w:r>
          <w:r>
            <w:t>32</w:t>
          </w:r>
          <w:r>
            <w:fldChar w:fldCharType="end"/>
          </w:r>
          <w:r>
            <w:fldChar w:fldCharType="end"/>
          </w:r>
        </w:p>
        <w:p w14:paraId="07E595B9">
          <w:pPr>
            <w:pStyle w:val="24"/>
            <w:tabs>
              <w:tab w:val="right" w:leader="dot" w:pos="8306"/>
            </w:tabs>
          </w:pPr>
          <w:r>
            <w:fldChar w:fldCharType="begin"/>
          </w:r>
          <w:r>
            <w:instrText xml:space="preserve"> HYPERLINK \l _Toc31149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.1评价</w:t>
          </w:r>
          <w:r>
            <w:rPr>
              <w:rFonts w:hint="default" w:ascii="Times New Roman" w:hAnsi="Times New Roman" w:cs="Times New Roman"/>
              <w:highlight w:val="none"/>
              <w:lang w:val="en-US" w:eastAsia="zh-CN"/>
            </w:rPr>
            <w:t>重点</w:t>
          </w:r>
          <w:r>
            <w:tab/>
          </w:r>
          <w:r>
            <w:fldChar w:fldCharType="begin"/>
          </w:r>
          <w:r>
            <w:instrText xml:space="preserve"> PAGEREF _Toc31149 \h </w:instrText>
          </w:r>
          <w:r>
            <w:fldChar w:fldCharType="separate"/>
          </w:r>
          <w:r>
            <w:t>32</w:t>
          </w:r>
          <w:r>
            <w:fldChar w:fldCharType="end"/>
          </w:r>
          <w:r>
            <w:fldChar w:fldCharType="end"/>
          </w:r>
        </w:p>
        <w:p w14:paraId="07990707">
          <w:pPr>
            <w:pStyle w:val="24"/>
            <w:tabs>
              <w:tab w:val="right" w:leader="dot" w:pos="8306"/>
            </w:tabs>
          </w:pPr>
          <w:r>
            <w:fldChar w:fldCharType="begin"/>
          </w:r>
          <w:r>
            <w:instrText xml:space="preserve"> HYPERLINK \l _Toc14654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.2评价</w:t>
          </w:r>
          <w:r>
            <w:rPr>
              <w:rFonts w:hint="default" w:ascii="Times New Roman" w:hAnsi="Times New Roman" w:cs="Times New Roman"/>
              <w:highlight w:val="none"/>
              <w:lang w:val="en-US" w:eastAsia="zh-CN"/>
            </w:rPr>
            <w:t>时段</w:t>
          </w:r>
          <w:r>
            <w:tab/>
          </w:r>
          <w:r>
            <w:fldChar w:fldCharType="begin"/>
          </w:r>
          <w:r>
            <w:instrText xml:space="preserve"> PAGEREF _Toc14654 \h </w:instrText>
          </w:r>
          <w:r>
            <w:fldChar w:fldCharType="separate"/>
          </w:r>
          <w:r>
            <w:t>32</w:t>
          </w:r>
          <w:r>
            <w:fldChar w:fldCharType="end"/>
          </w:r>
          <w:r>
            <w:fldChar w:fldCharType="end"/>
          </w:r>
        </w:p>
        <w:p w14:paraId="714EF922">
          <w:pPr>
            <w:pStyle w:val="31"/>
            <w:tabs>
              <w:tab w:val="right" w:leader="dot" w:pos="8306"/>
            </w:tabs>
          </w:pPr>
          <w:r>
            <w:fldChar w:fldCharType="begin"/>
          </w:r>
          <w:r>
            <w:instrText xml:space="preserve"> HYPERLINK \l _Toc4117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8</w:t>
          </w:r>
          <w:r>
            <w:rPr>
              <w:rFonts w:hint="default" w:ascii="Times New Roman" w:hAnsi="Times New Roman" w:cs="Times New Roman"/>
              <w:highlight w:val="none"/>
            </w:rPr>
            <w:t>评价方法</w:t>
          </w:r>
          <w:r>
            <w:tab/>
          </w:r>
          <w:r>
            <w:fldChar w:fldCharType="begin"/>
          </w:r>
          <w:r>
            <w:instrText xml:space="preserve"> PAGEREF _Toc4117 \h </w:instrText>
          </w:r>
          <w:r>
            <w:fldChar w:fldCharType="separate"/>
          </w:r>
          <w:r>
            <w:t>32</w:t>
          </w:r>
          <w:r>
            <w:fldChar w:fldCharType="end"/>
          </w:r>
          <w:r>
            <w:fldChar w:fldCharType="end"/>
          </w:r>
        </w:p>
        <w:p w14:paraId="2697DAC5">
          <w:pPr>
            <w:pStyle w:val="31"/>
            <w:tabs>
              <w:tab w:val="right" w:leader="dot" w:pos="8306"/>
            </w:tabs>
          </w:pPr>
          <w:r>
            <w:fldChar w:fldCharType="begin"/>
          </w:r>
          <w:r>
            <w:instrText xml:space="preserve"> HYPERLINK \l _Toc14049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9</w:t>
          </w:r>
          <w:r>
            <w:rPr>
              <w:rFonts w:hint="default" w:ascii="Times New Roman" w:hAnsi="Times New Roman" w:cs="Times New Roman"/>
              <w:highlight w:val="none"/>
            </w:rPr>
            <w:t>环境保护目标</w:t>
          </w:r>
          <w:r>
            <w:tab/>
          </w:r>
          <w:r>
            <w:fldChar w:fldCharType="begin"/>
          </w:r>
          <w:r>
            <w:instrText xml:space="preserve"> PAGEREF _Toc14049 \h </w:instrText>
          </w:r>
          <w:r>
            <w:fldChar w:fldCharType="separate"/>
          </w:r>
          <w:r>
            <w:t>33</w:t>
          </w:r>
          <w:r>
            <w:fldChar w:fldCharType="end"/>
          </w:r>
          <w:r>
            <w:fldChar w:fldCharType="end"/>
          </w:r>
        </w:p>
        <w:p w14:paraId="049A309F">
          <w:pPr>
            <w:pStyle w:val="24"/>
            <w:tabs>
              <w:tab w:val="right" w:leader="dot" w:pos="8306"/>
            </w:tabs>
          </w:pPr>
          <w:r>
            <w:fldChar w:fldCharType="begin"/>
          </w:r>
          <w:r>
            <w:instrText xml:space="preserve"> HYPERLINK \l _Toc15545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9</w:t>
          </w:r>
          <w:r>
            <w:rPr>
              <w:rFonts w:hint="default" w:ascii="Times New Roman" w:hAnsi="Times New Roman" w:cs="Times New Roman"/>
              <w:highlight w:val="none"/>
            </w:rPr>
            <w:t>.1 环境敏感区</w:t>
          </w:r>
          <w:r>
            <w:tab/>
          </w:r>
          <w:r>
            <w:fldChar w:fldCharType="begin"/>
          </w:r>
          <w:r>
            <w:instrText xml:space="preserve"> PAGEREF _Toc15545 \h </w:instrText>
          </w:r>
          <w:r>
            <w:fldChar w:fldCharType="separate"/>
          </w:r>
          <w:r>
            <w:t>33</w:t>
          </w:r>
          <w:r>
            <w:fldChar w:fldCharType="end"/>
          </w:r>
          <w:r>
            <w:fldChar w:fldCharType="end"/>
          </w:r>
        </w:p>
        <w:p w14:paraId="1BF13D36">
          <w:pPr>
            <w:pStyle w:val="24"/>
            <w:tabs>
              <w:tab w:val="right" w:leader="dot" w:pos="8306"/>
            </w:tabs>
          </w:pPr>
          <w:r>
            <w:fldChar w:fldCharType="begin"/>
          </w:r>
          <w:r>
            <w:instrText xml:space="preserve"> HYPERLINK \l _Toc2027 </w:instrText>
          </w:r>
          <w:r>
            <w:fldChar w:fldCharType="separate"/>
          </w:r>
          <w:r>
            <w:rPr>
              <w:rFonts w:hint="default" w:ascii="Times New Roman" w:hAnsi="Times New Roman" w:cs="Times New Roman"/>
              <w:highlight w:val="none"/>
            </w:rPr>
            <w:t>1.</w:t>
          </w:r>
          <w:r>
            <w:rPr>
              <w:rFonts w:hint="default" w:ascii="Times New Roman" w:hAnsi="Times New Roman" w:cs="Times New Roman"/>
              <w:highlight w:val="none"/>
              <w:lang w:val="en-US" w:eastAsia="zh-CN"/>
            </w:rPr>
            <w:t>9</w:t>
          </w:r>
          <w:r>
            <w:rPr>
              <w:rFonts w:hint="default" w:ascii="Times New Roman" w:hAnsi="Times New Roman" w:cs="Times New Roman"/>
              <w:highlight w:val="none"/>
            </w:rPr>
            <w:t>.2 环境敏感目标</w:t>
          </w:r>
          <w:r>
            <w:tab/>
          </w:r>
          <w:r>
            <w:fldChar w:fldCharType="begin"/>
          </w:r>
          <w:r>
            <w:instrText xml:space="preserve"> PAGEREF _Toc2027 \h </w:instrText>
          </w:r>
          <w:r>
            <w:fldChar w:fldCharType="separate"/>
          </w:r>
          <w:r>
            <w:t>33</w:t>
          </w:r>
          <w:r>
            <w:fldChar w:fldCharType="end"/>
          </w:r>
          <w:r>
            <w:fldChar w:fldCharType="end"/>
          </w:r>
        </w:p>
        <w:p w14:paraId="56973196">
          <w:pPr>
            <w:pStyle w:val="30"/>
            <w:tabs>
              <w:tab w:val="right" w:leader="dot" w:pos="8306"/>
            </w:tabs>
          </w:pPr>
          <w:r>
            <w:fldChar w:fldCharType="begin"/>
          </w:r>
          <w:r>
            <w:instrText xml:space="preserve"> HYPERLINK \l _Toc28116 </w:instrText>
          </w:r>
          <w:r>
            <w:fldChar w:fldCharType="separate"/>
          </w:r>
          <w:r>
            <w:rPr>
              <w:rFonts w:hint="default"/>
            </w:rPr>
            <w:t xml:space="preserve">2. </w:t>
          </w:r>
          <w:r>
            <w:t>2  原有工程概况</w:t>
          </w:r>
          <w:r>
            <w:tab/>
          </w:r>
          <w:r>
            <w:fldChar w:fldCharType="begin"/>
          </w:r>
          <w:r>
            <w:instrText xml:space="preserve"> PAGEREF _Toc28116 \h </w:instrText>
          </w:r>
          <w:r>
            <w:fldChar w:fldCharType="separate"/>
          </w:r>
          <w:r>
            <w:t>37</w:t>
          </w:r>
          <w:r>
            <w:fldChar w:fldCharType="end"/>
          </w:r>
          <w:r>
            <w:fldChar w:fldCharType="end"/>
          </w:r>
        </w:p>
        <w:p w14:paraId="72B1269B">
          <w:pPr>
            <w:pStyle w:val="31"/>
            <w:tabs>
              <w:tab w:val="right" w:leader="dot" w:pos="8306"/>
            </w:tabs>
          </w:pPr>
          <w:r>
            <w:fldChar w:fldCharType="begin"/>
          </w:r>
          <w:r>
            <w:instrText xml:space="preserve"> HYPERLINK \l _Toc3218 </w:instrText>
          </w:r>
          <w:r>
            <w:fldChar w:fldCharType="separate"/>
          </w:r>
          <w:r>
            <w:rPr>
              <w:rFonts w:hint="default"/>
              <w:lang w:val="en-US" w:eastAsia="zh-CN"/>
            </w:rPr>
            <w:t xml:space="preserve">2.1. </w:t>
          </w:r>
          <w:r>
            <w:rPr>
              <w:rFonts w:hint="eastAsia"/>
              <w:lang w:val="en-US" w:eastAsia="zh-CN"/>
            </w:rPr>
            <w:t>历史沿革及环保手续办理情况</w:t>
          </w:r>
          <w:r>
            <w:tab/>
          </w:r>
          <w:r>
            <w:fldChar w:fldCharType="begin"/>
          </w:r>
          <w:r>
            <w:instrText xml:space="preserve"> PAGEREF _Toc3218 \h </w:instrText>
          </w:r>
          <w:r>
            <w:fldChar w:fldCharType="separate"/>
          </w:r>
          <w:r>
            <w:t>37</w:t>
          </w:r>
          <w:r>
            <w:fldChar w:fldCharType="end"/>
          </w:r>
          <w:r>
            <w:fldChar w:fldCharType="end"/>
          </w:r>
        </w:p>
        <w:p w14:paraId="48E3CE8B">
          <w:pPr>
            <w:pStyle w:val="31"/>
            <w:tabs>
              <w:tab w:val="right" w:leader="dot" w:pos="8306"/>
            </w:tabs>
          </w:pPr>
          <w:r>
            <w:fldChar w:fldCharType="begin"/>
          </w:r>
          <w:r>
            <w:instrText xml:space="preserve"> HYPERLINK \l _Toc2587 </w:instrText>
          </w:r>
          <w:r>
            <w:fldChar w:fldCharType="separate"/>
          </w:r>
          <w:r>
            <w:rPr>
              <w:rFonts w:hint="default"/>
            </w:rPr>
            <w:t xml:space="preserve">2.2. </w:t>
          </w:r>
          <w:r>
            <w:t>原有工程概况</w:t>
          </w:r>
          <w:r>
            <w:tab/>
          </w:r>
          <w:r>
            <w:fldChar w:fldCharType="begin"/>
          </w:r>
          <w:r>
            <w:instrText xml:space="preserve"> PAGEREF _Toc2587 \h </w:instrText>
          </w:r>
          <w:r>
            <w:fldChar w:fldCharType="separate"/>
          </w:r>
          <w:r>
            <w:t>38</w:t>
          </w:r>
          <w:r>
            <w:fldChar w:fldCharType="end"/>
          </w:r>
          <w:r>
            <w:fldChar w:fldCharType="end"/>
          </w:r>
        </w:p>
        <w:p w14:paraId="2698013C">
          <w:pPr>
            <w:pStyle w:val="24"/>
            <w:tabs>
              <w:tab w:val="right" w:leader="dot" w:pos="8306"/>
            </w:tabs>
          </w:pPr>
          <w:r>
            <w:fldChar w:fldCharType="begin"/>
          </w:r>
          <w:r>
            <w:instrText xml:space="preserve"> HYPERLINK \l _Toc25249 </w:instrText>
          </w:r>
          <w:r>
            <w:fldChar w:fldCharType="separate"/>
          </w:r>
          <w:r>
            <w:rPr>
              <w:rFonts w:hint="default"/>
            </w:rPr>
            <w:t xml:space="preserve">2.2.1. </w:t>
          </w:r>
          <w:r>
            <w:rPr>
              <w:rFonts w:hint="eastAsia"/>
              <w:lang w:val="en-US" w:eastAsia="zh-CN"/>
            </w:rPr>
            <w:t>原项目基本情况</w:t>
          </w:r>
          <w:r>
            <w:tab/>
          </w:r>
          <w:r>
            <w:fldChar w:fldCharType="begin"/>
          </w:r>
          <w:r>
            <w:instrText xml:space="preserve"> PAGEREF _Toc25249 \h </w:instrText>
          </w:r>
          <w:r>
            <w:fldChar w:fldCharType="separate"/>
          </w:r>
          <w:r>
            <w:t>38</w:t>
          </w:r>
          <w:r>
            <w:fldChar w:fldCharType="end"/>
          </w:r>
          <w:r>
            <w:fldChar w:fldCharType="end"/>
          </w:r>
        </w:p>
        <w:p w14:paraId="6CDC99F2">
          <w:pPr>
            <w:pStyle w:val="24"/>
            <w:tabs>
              <w:tab w:val="right" w:leader="dot" w:pos="8306"/>
            </w:tabs>
          </w:pPr>
          <w:r>
            <w:fldChar w:fldCharType="begin"/>
          </w:r>
          <w:r>
            <w:instrText xml:space="preserve"> HYPERLINK \l _Toc2651 </w:instrText>
          </w:r>
          <w:r>
            <w:fldChar w:fldCharType="separate"/>
          </w:r>
          <w:r>
            <w:rPr>
              <w:rFonts w:hint="default"/>
            </w:rPr>
            <w:t xml:space="preserve">2.2.2. </w:t>
          </w:r>
          <w:r>
            <w:rPr>
              <w:rFonts w:hint="eastAsia"/>
              <w:lang w:val="en-US" w:eastAsia="zh-CN"/>
            </w:rPr>
            <w:t>原主要建设内容</w:t>
          </w:r>
          <w:r>
            <w:tab/>
          </w:r>
          <w:r>
            <w:fldChar w:fldCharType="begin"/>
          </w:r>
          <w:r>
            <w:instrText xml:space="preserve"> PAGEREF _Toc2651 \h </w:instrText>
          </w:r>
          <w:r>
            <w:fldChar w:fldCharType="separate"/>
          </w:r>
          <w:r>
            <w:t>39</w:t>
          </w:r>
          <w:r>
            <w:fldChar w:fldCharType="end"/>
          </w:r>
          <w:r>
            <w:fldChar w:fldCharType="end"/>
          </w:r>
        </w:p>
        <w:p w14:paraId="6A52B1AE">
          <w:pPr>
            <w:pStyle w:val="24"/>
            <w:tabs>
              <w:tab w:val="right" w:leader="dot" w:pos="8306"/>
            </w:tabs>
          </w:pPr>
          <w:r>
            <w:fldChar w:fldCharType="begin"/>
          </w:r>
          <w:r>
            <w:instrText xml:space="preserve"> HYPERLINK \l _Toc20795 </w:instrText>
          </w:r>
          <w:r>
            <w:fldChar w:fldCharType="separate"/>
          </w:r>
          <w:r>
            <w:rPr>
              <w:rFonts w:hint="default"/>
              <w:lang w:val="en-US" w:eastAsia="zh-CN"/>
            </w:rPr>
            <w:t xml:space="preserve">2.2.3. </w:t>
          </w:r>
          <w:r>
            <w:rPr>
              <w:rFonts w:hint="eastAsia"/>
              <w:lang w:val="en-US" w:eastAsia="zh-CN"/>
            </w:rPr>
            <w:t>原项目</w:t>
          </w:r>
          <w:r>
            <w:rPr>
              <w:rFonts w:hint="default"/>
              <w:lang w:val="en-US" w:eastAsia="zh-CN"/>
            </w:rPr>
            <w:t>产品方案</w:t>
          </w:r>
          <w:r>
            <w:tab/>
          </w:r>
          <w:r>
            <w:fldChar w:fldCharType="begin"/>
          </w:r>
          <w:r>
            <w:instrText xml:space="preserve"> PAGEREF _Toc20795 \h </w:instrText>
          </w:r>
          <w:r>
            <w:fldChar w:fldCharType="separate"/>
          </w:r>
          <w:r>
            <w:t>40</w:t>
          </w:r>
          <w:r>
            <w:fldChar w:fldCharType="end"/>
          </w:r>
          <w:r>
            <w:fldChar w:fldCharType="end"/>
          </w:r>
        </w:p>
        <w:p w14:paraId="79F4D456">
          <w:pPr>
            <w:pStyle w:val="24"/>
            <w:tabs>
              <w:tab w:val="right" w:leader="dot" w:pos="8306"/>
            </w:tabs>
          </w:pPr>
          <w:r>
            <w:fldChar w:fldCharType="begin"/>
          </w:r>
          <w:r>
            <w:instrText xml:space="preserve"> HYPERLINK \l _Toc3237 </w:instrText>
          </w:r>
          <w:r>
            <w:fldChar w:fldCharType="separate"/>
          </w:r>
          <w:r>
            <w:rPr>
              <w:rFonts w:hint="default"/>
            </w:rPr>
            <w:t xml:space="preserve">2.2.4. </w:t>
          </w:r>
          <w:r>
            <w:rPr>
              <w:rFonts w:hint="eastAsia"/>
              <w:lang w:val="en-US" w:eastAsia="zh-CN"/>
            </w:rPr>
            <w:t>原项目</w:t>
          </w:r>
          <w:r>
            <w:rPr>
              <w:rFonts w:hint="default"/>
            </w:rPr>
            <w:t>原辅材料消耗量</w:t>
          </w:r>
          <w:r>
            <w:tab/>
          </w:r>
          <w:r>
            <w:fldChar w:fldCharType="begin"/>
          </w:r>
          <w:r>
            <w:instrText xml:space="preserve"> PAGEREF _Toc3237 \h </w:instrText>
          </w:r>
          <w:r>
            <w:fldChar w:fldCharType="separate"/>
          </w:r>
          <w:r>
            <w:t>41</w:t>
          </w:r>
          <w:r>
            <w:fldChar w:fldCharType="end"/>
          </w:r>
          <w:r>
            <w:fldChar w:fldCharType="end"/>
          </w:r>
        </w:p>
        <w:p w14:paraId="2843F2B3">
          <w:pPr>
            <w:pStyle w:val="24"/>
            <w:tabs>
              <w:tab w:val="right" w:leader="dot" w:pos="8306"/>
            </w:tabs>
          </w:pPr>
          <w:r>
            <w:fldChar w:fldCharType="begin"/>
          </w:r>
          <w:r>
            <w:instrText xml:space="preserve"> HYPERLINK \l _Toc3002 </w:instrText>
          </w:r>
          <w:r>
            <w:fldChar w:fldCharType="separate"/>
          </w:r>
          <w:r>
            <w:rPr>
              <w:rFonts w:hint="default"/>
            </w:rPr>
            <w:t xml:space="preserve">2.2.5. </w:t>
          </w:r>
          <w:r>
            <w:rPr>
              <w:rFonts w:hint="eastAsia"/>
              <w:lang w:val="en-US" w:eastAsia="zh-CN"/>
            </w:rPr>
            <w:t>原项目</w:t>
          </w:r>
          <w:r>
            <w:rPr>
              <w:rFonts w:hint="default"/>
            </w:rPr>
            <w:t>项目主要设备</w:t>
          </w:r>
          <w:r>
            <w:tab/>
          </w:r>
          <w:r>
            <w:fldChar w:fldCharType="begin"/>
          </w:r>
          <w:r>
            <w:instrText xml:space="preserve"> PAGEREF _Toc3002 \h </w:instrText>
          </w:r>
          <w:r>
            <w:fldChar w:fldCharType="separate"/>
          </w:r>
          <w:r>
            <w:t>41</w:t>
          </w:r>
          <w:r>
            <w:fldChar w:fldCharType="end"/>
          </w:r>
          <w:r>
            <w:fldChar w:fldCharType="end"/>
          </w:r>
        </w:p>
        <w:p w14:paraId="41478CA9">
          <w:pPr>
            <w:pStyle w:val="24"/>
            <w:tabs>
              <w:tab w:val="right" w:leader="dot" w:pos="8306"/>
            </w:tabs>
          </w:pPr>
          <w:r>
            <w:fldChar w:fldCharType="begin"/>
          </w:r>
          <w:r>
            <w:instrText xml:space="preserve"> HYPERLINK \l _Toc5681 </w:instrText>
          </w:r>
          <w:r>
            <w:fldChar w:fldCharType="separate"/>
          </w:r>
          <w:r>
            <w:rPr>
              <w:rFonts w:hint="default"/>
            </w:rPr>
            <w:t xml:space="preserve">2.2.6. </w:t>
          </w:r>
          <w:r>
            <w:rPr>
              <w:rFonts w:hint="eastAsia"/>
              <w:lang w:val="en-US" w:eastAsia="zh-CN"/>
            </w:rPr>
            <w:t>原劳动定员及工作制度</w:t>
          </w:r>
          <w:r>
            <w:tab/>
          </w:r>
          <w:r>
            <w:fldChar w:fldCharType="begin"/>
          </w:r>
          <w:r>
            <w:instrText xml:space="preserve"> PAGEREF _Toc5681 \h </w:instrText>
          </w:r>
          <w:r>
            <w:fldChar w:fldCharType="separate"/>
          </w:r>
          <w:r>
            <w:t>42</w:t>
          </w:r>
          <w:r>
            <w:fldChar w:fldCharType="end"/>
          </w:r>
          <w:r>
            <w:fldChar w:fldCharType="end"/>
          </w:r>
        </w:p>
        <w:p w14:paraId="40BEE63B">
          <w:pPr>
            <w:pStyle w:val="31"/>
            <w:tabs>
              <w:tab w:val="right" w:leader="dot" w:pos="8306"/>
            </w:tabs>
          </w:pPr>
          <w:r>
            <w:fldChar w:fldCharType="begin"/>
          </w:r>
          <w:r>
            <w:instrText xml:space="preserve"> HYPERLINK \l _Toc19608 </w:instrText>
          </w:r>
          <w:r>
            <w:fldChar w:fldCharType="separate"/>
          </w:r>
          <w:r>
            <w:rPr>
              <w:rFonts w:hint="default"/>
            </w:rPr>
            <w:t xml:space="preserve">2.3. </w:t>
          </w:r>
          <w:r>
            <w:t>原</w:t>
          </w:r>
          <w:r>
            <w:rPr>
              <w:rFonts w:hint="eastAsia"/>
              <w:lang w:val="en-US" w:eastAsia="zh-CN"/>
            </w:rPr>
            <w:t>项目工程分析</w:t>
          </w:r>
          <w:r>
            <w:tab/>
          </w:r>
          <w:r>
            <w:fldChar w:fldCharType="begin"/>
          </w:r>
          <w:r>
            <w:instrText xml:space="preserve"> PAGEREF _Toc19608 \h </w:instrText>
          </w:r>
          <w:r>
            <w:fldChar w:fldCharType="separate"/>
          </w:r>
          <w:r>
            <w:t>42</w:t>
          </w:r>
          <w:r>
            <w:fldChar w:fldCharType="end"/>
          </w:r>
          <w:r>
            <w:fldChar w:fldCharType="end"/>
          </w:r>
        </w:p>
        <w:p w14:paraId="0C0930C3">
          <w:pPr>
            <w:pStyle w:val="24"/>
            <w:tabs>
              <w:tab w:val="right" w:leader="dot" w:pos="8306"/>
            </w:tabs>
          </w:pPr>
          <w:r>
            <w:fldChar w:fldCharType="begin"/>
          </w:r>
          <w:r>
            <w:instrText xml:space="preserve"> HYPERLINK \l _Toc8493 </w:instrText>
          </w:r>
          <w:r>
            <w:fldChar w:fldCharType="separate"/>
          </w:r>
          <w:r>
            <w:rPr>
              <w:rFonts w:hint="default"/>
              <w:lang w:val="en-US" w:eastAsia="zh-CN"/>
            </w:rPr>
            <w:t xml:space="preserve">2.3.1. </w:t>
          </w:r>
          <w:r>
            <w:rPr>
              <w:rFonts w:hint="eastAsia"/>
              <w:lang w:val="en-US" w:eastAsia="zh-CN"/>
            </w:rPr>
            <w:t>原项目工艺流程及产污节点</w:t>
          </w:r>
          <w:r>
            <w:tab/>
          </w:r>
          <w:r>
            <w:fldChar w:fldCharType="begin"/>
          </w:r>
          <w:r>
            <w:instrText xml:space="preserve"> PAGEREF _Toc8493 \h </w:instrText>
          </w:r>
          <w:r>
            <w:fldChar w:fldCharType="separate"/>
          </w:r>
          <w:r>
            <w:t>42</w:t>
          </w:r>
          <w:r>
            <w:fldChar w:fldCharType="end"/>
          </w:r>
          <w:r>
            <w:fldChar w:fldCharType="end"/>
          </w:r>
        </w:p>
        <w:p w14:paraId="5C542A65">
          <w:pPr>
            <w:pStyle w:val="24"/>
            <w:tabs>
              <w:tab w:val="right" w:leader="dot" w:pos="8306"/>
            </w:tabs>
          </w:pPr>
          <w:r>
            <w:fldChar w:fldCharType="begin"/>
          </w:r>
          <w:r>
            <w:instrText xml:space="preserve"> HYPERLINK \l _Toc4225 </w:instrText>
          </w:r>
          <w:r>
            <w:fldChar w:fldCharType="separate"/>
          </w:r>
          <w:r>
            <w:rPr>
              <w:rFonts w:hint="default"/>
              <w:lang w:val="en-US" w:eastAsia="zh-CN"/>
            </w:rPr>
            <w:t xml:space="preserve">2.3.2. </w:t>
          </w:r>
          <w:r>
            <w:rPr>
              <w:rFonts w:hint="eastAsia"/>
              <w:lang w:val="en-US" w:eastAsia="zh-CN"/>
            </w:rPr>
            <w:t>原项目污染物产排情况</w:t>
          </w:r>
          <w:r>
            <w:tab/>
          </w:r>
          <w:r>
            <w:fldChar w:fldCharType="begin"/>
          </w:r>
          <w:r>
            <w:instrText xml:space="preserve"> PAGEREF _Toc4225 \h </w:instrText>
          </w:r>
          <w:r>
            <w:fldChar w:fldCharType="separate"/>
          </w:r>
          <w:r>
            <w:t>42</w:t>
          </w:r>
          <w:r>
            <w:fldChar w:fldCharType="end"/>
          </w:r>
          <w:r>
            <w:fldChar w:fldCharType="end"/>
          </w:r>
        </w:p>
        <w:p w14:paraId="796BEE70">
          <w:pPr>
            <w:pStyle w:val="31"/>
            <w:tabs>
              <w:tab w:val="right" w:leader="dot" w:pos="8306"/>
            </w:tabs>
          </w:pPr>
          <w:r>
            <w:fldChar w:fldCharType="begin"/>
          </w:r>
          <w:r>
            <w:instrText xml:space="preserve"> HYPERLINK \l _Toc15874 </w:instrText>
          </w:r>
          <w:r>
            <w:fldChar w:fldCharType="separate"/>
          </w:r>
          <w:r>
            <w:rPr>
              <w:rFonts w:hint="default"/>
            </w:rPr>
            <w:t xml:space="preserve">2.4. </w:t>
          </w:r>
          <w:r>
            <w:rPr>
              <w:rFonts w:hint="eastAsia"/>
              <w:lang w:val="en-US" w:eastAsia="zh-CN"/>
            </w:rPr>
            <w:t>原项目</w:t>
          </w:r>
          <w:r>
            <w:t>存在的主要环境问题及“以新带老”措施</w:t>
          </w:r>
          <w:r>
            <w:tab/>
          </w:r>
          <w:r>
            <w:fldChar w:fldCharType="begin"/>
          </w:r>
          <w:r>
            <w:instrText xml:space="preserve"> PAGEREF _Toc15874 \h </w:instrText>
          </w:r>
          <w:r>
            <w:fldChar w:fldCharType="separate"/>
          </w:r>
          <w:r>
            <w:t>48</w:t>
          </w:r>
          <w:r>
            <w:fldChar w:fldCharType="end"/>
          </w:r>
          <w:r>
            <w:fldChar w:fldCharType="end"/>
          </w:r>
        </w:p>
        <w:p w14:paraId="51577C97">
          <w:pPr>
            <w:pStyle w:val="24"/>
            <w:tabs>
              <w:tab w:val="right" w:leader="dot" w:pos="8306"/>
            </w:tabs>
          </w:pPr>
          <w:r>
            <w:fldChar w:fldCharType="begin"/>
          </w:r>
          <w:r>
            <w:instrText xml:space="preserve"> HYPERLINK \l _Toc15094 </w:instrText>
          </w:r>
          <w:r>
            <w:fldChar w:fldCharType="separate"/>
          </w:r>
          <w:r>
            <w:rPr>
              <w:rFonts w:hint="default"/>
              <w:lang w:val="en-US" w:eastAsia="zh-CN"/>
            </w:rPr>
            <w:t xml:space="preserve">2.4.1. </w:t>
          </w:r>
          <w:r>
            <w:rPr>
              <w:rFonts w:hint="eastAsia"/>
              <w:lang w:val="en-US" w:eastAsia="zh-CN"/>
            </w:rPr>
            <w:t>存在问题</w:t>
          </w:r>
          <w:r>
            <w:tab/>
          </w:r>
          <w:r>
            <w:fldChar w:fldCharType="begin"/>
          </w:r>
          <w:r>
            <w:instrText xml:space="preserve"> PAGEREF _Toc15094 \h </w:instrText>
          </w:r>
          <w:r>
            <w:fldChar w:fldCharType="separate"/>
          </w:r>
          <w:r>
            <w:t>48</w:t>
          </w:r>
          <w:r>
            <w:fldChar w:fldCharType="end"/>
          </w:r>
          <w:r>
            <w:fldChar w:fldCharType="end"/>
          </w:r>
        </w:p>
        <w:p w14:paraId="5459971D">
          <w:pPr>
            <w:pStyle w:val="24"/>
            <w:tabs>
              <w:tab w:val="right" w:leader="dot" w:pos="8306"/>
            </w:tabs>
          </w:pPr>
          <w:r>
            <w:fldChar w:fldCharType="begin"/>
          </w:r>
          <w:r>
            <w:instrText xml:space="preserve"> HYPERLINK \l _Toc3042 </w:instrText>
          </w:r>
          <w:r>
            <w:fldChar w:fldCharType="separate"/>
          </w:r>
          <w:r>
            <w:rPr>
              <w:rFonts w:hint="default"/>
              <w:lang w:val="en-US" w:eastAsia="zh-CN"/>
            </w:rPr>
            <w:t xml:space="preserve">2.4.2. </w:t>
          </w:r>
          <w:r>
            <w:t>“以新带老”措施</w:t>
          </w:r>
          <w:r>
            <w:tab/>
          </w:r>
          <w:r>
            <w:fldChar w:fldCharType="begin"/>
          </w:r>
          <w:r>
            <w:instrText xml:space="preserve"> PAGEREF _Toc3042 \h </w:instrText>
          </w:r>
          <w:r>
            <w:fldChar w:fldCharType="separate"/>
          </w:r>
          <w:r>
            <w:t>48</w:t>
          </w:r>
          <w:r>
            <w:fldChar w:fldCharType="end"/>
          </w:r>
          <w:r>
            <w:fldChar w:fldCharType="end"/>
          </w:r>
        </w:p>
        <w:p w14:paraId="0D3DA1E8">
          <w:pPr>
            <w:pStyle w:val="30"/>
            <w:tabs>
              <w:tab w:val="right" w:leader="dot" w:pos="8306"/>
            </w:tabs>
          </w:pPr>
          <w:r>
            <w:fldChar w:fldCharType="begin"/>
          </w:r>
          <w:r>
            <w:instrText xml:space="preserve"> HYPERLINK \l _Toc31032 </w:instrText>
          </w:r>
          <w:r>
            <w:fldChar w:fldCharType="separate"/>
          </w:r>
          <w:r>
            <w:rPr>
              <w:rFonts w:hint="default"/>
            </w:rPr>
            <w:t xml:space="preserve">3. </w:t>
          </w:r>
          <w:r>
            <w:t>改</w:t>
          </w:r>
          <w:r>
            <w:rPr>
              <w:rFonts w:hint="eastAsia"/>
              <w:lang w:val="en-US" w:eastAsia="zh-CN"/>
            </w:rPr>
            <w:t>扩</w:t>
          </w:r>
          <w:r>
            <w:t>建工程概况</w:t>
          </w:r>
          <w:r>
            <w:tab/>
          </w:r>
          <w:r>
            <w:fldChar w:fldCharType="begin"/>
          </w:r>
          <w:r>
            <w:instrText xml:space="preserve"> PAGEREF _Toc31032 \h </w:instrText>
          </w:r>
          <w:r>
            <w:fldChar w:fldCharType="separate"/>
          </w:r>
          <w:r>
            <w:t>49</w:t>
          </w:r>
          <w:r>
            <w:fldChar w:fldCharType="end"/>
          </w:r>
          <w:r>
            <w:fldChar w:fldCharType="end"/>
          </w:r>
        </w:p>
        <w:p w14:paraId="225F015F">
          <w:pPr>
            <w:pStyle w:val="31"/>
            <w:tabs>
              <w:tab w:val="right" w:leader="dot" w:pos="8306"/>
            </w:tabs>
          </w:pPr>
          <w:r>
            <w:fldChar w:fldCharType="begin"/>
          </w:r>
          <w:r>
            <w:instrText xml:space="preserve"> HYPERLINK \l _Toc10901 </w:instrText>
          </w:r>
          <w:r>
            <w:fldChar w:fldCharType="separate"/>
          </w:r>
          <w:r>
            <w:rPr>
              <w:rFonts w:hint="default"/>
            </w:rPr>
            <w:t xml:space="preserve">3.1. </w:t>
          </w:r>
          <w:r>
            <w:rPr>
              <w:rFonts w:hint="eastAsia"/>
              <w:lang w:val="en-US" w:eastAsia="zh-CN"/>
            </w:rPr>
            <w:t>改扩建</w:t>
          </w:r>
          <w:r>
            <w:t>项目概况</w:t>
          </w:r>
          <w:r>
            <w:tab/>
          </w:r>
          <w:r>
            <w:fldChar w:fldCharType="begin"/>
          </w:r>
          <w:r>
            <w:instrText xml:space="preserve"> PAGEREF _Toc10901 \h </w:instrText>
          </w:r>
          <w:r>
            <w:fldChar w:fldCharType="separate"/>
          </w:r>
          <w:r>
            <w:t>49</w:t>
          </w:r>
          <w:r>
            <w:fldChar w:fldCharType="end"/>
          </w:r>
          <w:r>
            <w:fldChar w:fldCharType="end"/>
          </w:r>
        </w:p>
        <w:p w14:paraId="05372F01">
          <w:pPr>
            <w:pStyle w:val="31"/>
            <w:tabs>
              <w:tab w:val="right" w:leader="dot" w:pos="8306"/>
            </w:tabs>
          </w:pPr>
          <w:r>
            <w:fldChar w:fldCharType="begin"/>
          </w:r>
          <w:r>
            <w:instrText xml:space="preserve"> HYPERLINK \l _Toc7503 </w:instrText>
          </w:r>
          <w:r>
            <w:fldChar w:fldCharType="separate"/>
          </w:r>
          <w:r>
            <w:rPr>
              <w:rFonts w:hint="default"/>
            </w:rPr>
            <w:t xml:space="preserve">3.2. </w:t>
          </w:r>
          <w:r>
            <w:t>项目建设内容</w:t>
          </w:r>
          <w:r>
            <w:tab/>
          </w:r>
          <w:r>
            <w:fldChar w:fldCharType="begin"/>
          </w:r>
          <w:r>
            <w:instrText xml:space="preserve"> PAGEREF _Toc7503 \h </w:instrText>
          </w:r>
          <w:r>
            <w:fldChar w:fldCharType="separate"/>
          </w:r>
          <w:r>
            <w:t>49</w:t>
          </w:r>
          <w:r>
            <w:fldChar w:fldCharType="end"/>
          </w:r>
          <w:r>
            <w:fldChar w:fldCharType="end"/>
          </w:r>
        </w:p>
        <w:p w14:paraId="4044B167">
          <w:pPr>
            <w:pStyle w:val="31"/>
            <w:tabs>
              <w:tab w:val="right" w:leader="dot" w:pos="8306"/>
            </w:tabs>
          </w:pPr>
          <w:r>
            <w:fldChar w:fldCharType="begin"/>
          </w:r>
          <w:r>
            <w:instrText xml:space="preserve"> HYPERLINK \l _Toc6112 </w:instrText>
          </w:r>
          <w:r>
            <w:fldChar w:fldCharType="separate"/>
          </w:r>
          <w:r>
            <w:rPr>
              <w:rFonts w:hint="default"/>
              <w:lang w:val="en-US" w:eastAsia="zh-CN"/>
            </w:rPr>
            <w:t>3.3. 产品方案</w:t>
          </w:r>
          <w:r>
            <w:tab/>
          </w:r>
          <w:r>
            <w:fldChar w:fldCharType="begin"/>
          </w:r>
          <w:r>
            <w:instrText xml:space="preserve"> PAGEREF _Toc6112 \h </w:instrText>
          </w:r>
          <w:r>
            <w:fldChar w:fldCharType="separate"/>
          </w:r>
          <w:r>
            <w:t>53</w:t>
          </w:r>
          <w:r>
            <w:fldChar w:fldCharType="end"/>
          </w:r>
          <w:r>
            <w:fldChar w:fldCharType="end"/>
          </w:r>
        </w:p>
        <w:p w14:paraId="77E27542">
          <w:pPr>
            <w:pStyle w:val="31"/>
            <w:tabs>
              <w:tab w:val="right" w:leader="dot" w:pos="8306"/>
            </w:tabs>
          </w:pPr>
          <w:r>
            <w:fldChar w:fldCharType="begin"/>
          </w:r>
          <w:r>
            <w:instrText xml:space="preserve"> HYPERLINK \l _Toc14944 </w:instrText>
          </w:r>
          <w:r>
            <w:fldChar w:fldCharType="separate"/>
          </w:r>
          <w:r>
            <w:rPr>
              <w:rFonts w:hint="default"/>
              <w:lang w:val="en-US" w:eastAsia="zh-CN"/>
            </w:rPr>
            <w:t>3.4. 主要原辅材料</w:t>
          </w:r>
          <w:r>
            <w:tab/>
          </w:r>
          <w:r>
            <w:fldChar w:fldCharType="begin"/>
          </w:r>
          <w:r>
            <w:instrText xml:space="preserve"> PAGEREF _Toc14944 \h </w:instrText>
          </w:r>
          <w:r>
            <w:fldChar w:fldCharType="separate"/>
          </w:r>
          <w:r>
            <w:t>53</w:t>
          </w:r>
          <w:r>
            <w:fldChar w:fldCharType="end"/>
          </w:r>
          <w:r>
            <w:fldChar w:fldCharType="end"/>
          </w:r>
        </w:p>
        <w:p w14:paraId="2EC0EFDA">
          <w:pPr>
            <w:pStyle w:val="31"/>
            <w:tabs>
              <w:tab w:val="right" w:leader="dot" w:pos="8306"/>
            </w:tabs>
          </w:pPr>
          <w:r>
            <w:fldChar w:fldCharType="begin"/>
          </w:r>
          <w:r>
            <w:instrText xml:space="preserve"> HYPERLINK \l _Toc21687 </w:instrText>
          </w:r>
          <w:r>
            <w:fldChar w:fldCharType="separate"/>
          </w:r>
          <w:r>
            <w:rPr>
              <w:rFonts w:hint="default"/>
              <w:lang w:val="en-US" w:eastAsia="zh-CN"/>
            </w:rPr>
            <w:t>3.5. 主要生产设备</w:t>
          </w:r>
          <w:r>
            <w:tab/>
          </w:r>
          <w:r>
            <w:fldChar w:fldCharType="begin"/>
          </w:r>
          <w:r>
            <w:instrText xml:space="preserve"> PAGEREF _Toc21687 \h </w:instrText>
          </w:r>
          <w:r>
            <w:fldChar w:fldCharType="separate"/>
          </w:r>
          <w:r>
            <w:t>53</w:t>
          </w:r>
          <w:r>
            <w:fldChar w:fldCharType="end"/>
          </w:r>
          <w:r>
            <w:fldChar w:fldCharType="end"/>
          </w:r>
        </w:p>
        <w:p w14:paraId="5908BB10">
          <w:pPr>
            <w:pStyle w:val="31"/>
            <w:tabs>
              <w:tab w:val="right" w:leader="dot" w:pos="8306"/>
            </w:tabs>
          </w:pPr>
          <w:r>
            <w:fldChar w:fldCharType="begin"/>
          </w:r>
          <w:r>
            <w:instrText xml:space="preserve"> HYPERLINK \l _Toc21761 </w:instrText>
          </w:r>
          <w:r>
            <w:fldChar w:fldCharType="separate"/>
          </w:r>
          <w:r>
            <w:rPr>
              <w:rFonts w:hint="default"/>
              <w:lang w:val="en-US" w:eastAsia="zh-CN"/>
            </w:rPr>
            <w:t>3.6. 劳动定员及工作制度</w:t>
          </w:r>
          <w:r>
            <w:tab/>
          </w:r>
          <w:r>
            <w:fldChar w:fldCharType="begin"/>
          </w:r>
          <w:r>
            <w:instrText xml:space="preserve"> PAGEREF _Toc21761 \h </w:instrText>
          </w:r>
          <w:r>
            <w:fldChar w:fldCharType="separate"/>
          </w:r>
          <w:r>
            <w:t>55</w:t>
          </w:r>
          <w:r>
            <w:fldChar w:fldCharType="end"/>
          </w:r>
          <w:r>
            <w:fldChar w:fldCharType="end"/>
          </w:r>
        </w:p>
        <w:p w14:paraId="14C57F8A">
          <w:pPr>
            <w:pStyle w:val="31"/>
            <w:tabs>
              <w:tab w:val="right" w:leader="dot" w:pos="8306"/>
            </w:tabs>
          </w:pPr>
          <w:r>
            <w:fldChar w:fldCharType="begin"/>
          </w:r>
          <w:r>
            <w:instrText xml:space="preserve"> HYPERLINK \l _Toc19252 </w:instrText>
          </w:r>
          <w:r>
            <w:fldChar w:fldCharType="separate"/>
          </w:r>
          <w:r>
            <w:rPr>
              <w:rFonts w:hint="default"/>
              <w:lang w:val="en-US" w:eastAsia="zh-CN"/>
            </w:rPr>
            <w:t>3.7. 总平面布置情况</w:t>
          </w:r>
          <w:r>
            <w:tab/>
          </w:r>
          <w:r>
            <w:fldChar w:fldCharType="begin"/>
          </w:r>
          <w:r>
            <w:instrText xml:space="preserve"> PAGEREF _Toc19252 \h </w:instrText>
          </w:r>
          <w:r>
            <w:fldChar w:fldCharType="separate"/>
          </w:r>
          <w:r>
            <w:t>55</w:t>
          </w:r>
          <w:r>
            <w:fldChar w:fldCharType="end"/>
          </w:r>
          <w:r>
            <w:fldChar w:fldCharType="end"/>
          </w:r>
        </w:p>
        <w:p w14:paraId="676EC315">
          <w:pPr>
            <w:pStyle w:val="24"/>
            <w:tabs>
              <w:tab w:val="right" w:leader="dot" w:pos="8306"/>
            </w:tabs>
          </w:pPr>
          <w:r>
            <w:fldChar w:fldCharType="begin"/>
          </w:r>
          <w:r>
            <w:instrText xml:space="preserve"> HYPERLINK \l _Toc23317 </w:instrText>
          </w:r>
          <w:r>
            <w:fldChar w:fldCharType="separate"/>
          </w:r>
          <w:r>
            <w:rPr>
              <w:rFonts w:hint="default"/>
              <w:lang w:val="en-US" w:eastAsia="zh-CN"/>
            </w:rPr>
            <w:t>3.7.1. 总平面布置</w:t>
          </w:r>
          <w:r>
            <w:tab/>
          </w:r>
          <w:r>
            <w:fldChar w:fldCharType="begin"/>
          </w:r>
          <w:r>
            <w:instrText xml:space="preserve"> PAGEREF _Toc23317 \h </w:instrText>
          </w:r>
          <w:r>
            <w:fldChar w:fldCharType="separate"/>
          </w:r>
          <w:r>
            <w:t>55</w:t>
          </w:r>
          <w:r>
            <w:fldChar w:fldCharType="end"/>
          </w:r>
          <w:r>
            <w:fldChar w:fldCharType="end"/>
          </w:r>
        </w:p>
        <w:p w14:paraId="2F504E23">
          <w:pPr>
            <w:pStyle w:val="24"/>
            <w:tabs>
              <w:tab w:val="right" w:leader="dot" w:pos="8306"/>
            </w:tabs>
          </w:pPr>
          <w:r>
            <w:fldChar w:fldCharType="begin"/>
          </w:r>
          <w:r>
            <w:instrText xml:space="preserve"> HYPERLINK \l _Toc3318 </w:instrText>
          </w:r>
          <w:r>
            <w:fldChar w:fldCharType="separate"/>
          </w:r>
          <w:r>
            <w:rPr>
              <w:rFonts w:hint="default"/>
              <w:lang w:val="en-US" w:eastAsia="zh-CN"/>
            </w:rPr>
            <w:t>3.7.2. 各区块布置</w:t>
          </w:r>
          <w:r>
            <w:tab/>
          </w:r>
          <w:r>
            <w:fldChar w:fldCharType="begin"/>
          </w:r>
          <w:r>
            <w:instrText xml:space="preserve"> PAGEREF _Toc3318 \h </w:instrText>
          </w:r>
          <w:r>
            <w:fldChar w:fldCharType="separate"/>
          </w:r>
          <w:r>
            <w:t>55</w:t>
          </w:r>
          <w:r>
            <w:fldChar w:fldCharType="end"/>
          </w:r>
          <w:r>
            <w:fldChar w:fldCharType="end"/>
          </w:r>
        </w:p>
        <w:p w14:paraId="477EB1E1">
          <w:pPr>
            <w:pStyle w:val="31"/>
            <w:tabs>
              <w:tab w:val="right" w:leader="dot" w:pos="8306"/>
            </w:tabs>
          </w:pPr>
          <w:r>
            <w:fldChar w:fldCharType="begin"/>
          </w:r>
          <w:r>
            <w:instrText xml:space="preserve"> HYPERLINK \l _Toc26614 </w:instrText>
          </w:r>
          <w:r>
            <w:fldChar w:fldCharType="separate"/>
          </w:r>
          <w:r>
            <w:rPr>
              <w:rFonts w:hint="default"/>
              <w:lang w:val="en-US" w:eastAsia="zh-CN"/>
            </w:rPr>
            <w:t>3.8. 项目施工计划</w:t>
          </w:r>
          <w:r>
            <w:tab/>
          </w:r>
          <w:r>
            <w:fldChar w:fldCharType="begin"/>
          </w:r>
          <w:r>
            <w:instrText xml:space="preserve"> PAGEREF _Toc26614 \h </w:instrText>
          </w:r>
          <w:r>
            <w:fldChar w:fldCharType="separate"/>
          </w:r>
          <w:r>
            <w:t>57</w:t>
          </w:r>
          <w:r>
            <w:fldChar w:fldCharType="end"/>
          </w:r>
          <w:r>
            <w:fldChar w:fldCharType="end"/>
          </w:r>
        </w:p>
        <w:p w14:paraId="3889B26E">
          <w:pPr>
            <w:pStyle w:val="31"/>
            <w:tabs>
              <w:tab w:val="right" w:leader="dot" w:pos="8306"/>
            </w:tabs>
          </w:pPr>
          <w:r>
            <w:fldChar w:fldCharType="begin"/>
          </w:r>
          <w:r>
            <w:instrText xml:space="preserve"> HYPERLINK \l _Toc1399 </w:instrText>
          </w:r>
          <w:r>
            <w:fldChar w:fldCharType="separate"/>
          </w:r>
          <w:r>
            <w:rPr>
              <w:rFonts w:hint="default"/>
              <w:lang w:val="en-US" w:eastAsia="zh-CN"/>
            </w:rPr>
            <w:t>3.9. 主要技术经济指标</w:t>
          </w:r>
          <w:r>
            <w:tab/>
          </w:r>
          <w:r>
            <w:fldChar w:fldCharType="begin"/>
          </w:r>
          <w:r>
            <w:instrText xml:space="preserve"> PAGEREF _Toc1399 \h </w:instrText>
          </w:r>
          <w:r>
            <w:fldChar w:fldCharType="separate"/>
          </w:r>
          <w:r>
            <w:t>57</w:t>
          </w:r>
          <w:r>
            <w:fldChar w:fldCharType="end"/>
          </w:r>
          <w:r>
            <w:fldChar w:fldCharType="end"/>
          </w:r>
        </w:p>
        <w:p w14:paraId="0B1DA2FE">
          <w:pPr>
            <w:pStyle w:val="31"/>
            <w:tabs>
              <w:tab w:val="right" w:leader="dot" w:pos="8306"/>
            </w:tabs>
          </w:pPr>
          <w:r>
            <w:fldChar w:fldCharType="begin"/>
          </w:r>
          <w:r>
            <w:instrText xml:space="preserve"> HYPERLINK \l _Toc24614 </w:instrText>
          </w:r>
          <w:r>
            <w:fldChar w:fldCharType="separate"/>
          </w:r>
          <w:r>
            <w:rPr>
              <w:rFonts w:hint="default"/>
              <w:lang w:val="en-US" w:eastAsia="zh-CN"/>
            </w:rPr>
            <w:t>3.10. 矿区范围及资源概况</w:t>
          </w:r>
          <w:r>
            <w:tab/>
          </w:r>
          <w:r>
            <w:fldChar w:fldCharType="begin"/>
          </w:r>
          <w:r>
            <w:instrText xml:space="preserve"> PAGEREF _Toc24614 \h </w:instrText>
          </w:r>
          <w:r>
            <w:fldChar w:fldCharType="separate"/>
          </w:r>
          <w:r>
            <w:t>58</w:t>
          </w:r>
          <w:r>
            <w:fldChar w:fldCharType="end"/>
          </w:r>
          <w:r>
            <w:fldChar w:fldCharType="end"/>
          </w:r>
        </w:p>
        <w:p w14:paraId="12DEFB71">
          <w:pPr>
            <w:pStyle w:val="24"/>
            <w:tabs>
              <w:tab w:val="right" w:leader="dot" w:pos="8306"/>
            </w:tabs>
          </w:pPr>
          <w:r>
            <w:fldChar w:fldCharType="begin"/>
          </w:r>
          <w:r>
            <w:instrText xml:space="preserve"> HYPERLINK \l _Toc14967 </w:instrText>
          </w:r>
          <w:r>
            <w:fldChar w:fldCharType="separate"/>
          </w:r>
          <w:r>
            <w:rPr>
              <w:rFonts w:hint="default"/>
              <w:lang w:val="en-US" w:eastAsia="zh-CN"/>
            </w:rPr>
            <w:t>3.10.1. 矿区范围</w:t>
          </w:r>
          <w:r>
            <w:tab/>
          </w:r>
          <w:r>
            <w:fldChar w:fldCharType="begin"/>
          </w:r>
          <w:r>
            <w:instrText xml:space="preserve"> PAGEREF _Toc14967 \h </w:instrText>
          </w:r>
          <w:r>
            <w:fldChar w:fldCharType="separate"/>
          </w:r>
          <w:r>
            <w:t>58</w:t>
          </w:r>
          <w:r>
            <w:fldChar w:fldCharType="end"/>
          </w:r>
          <w:r>
            <w:fldChar w:fldCharType="end"/>
          </w:r>
        </w:p>
        <w:p w14:paraId="63429163">
          <w:pPr>
            <w:pStyle w:val="24"/>
            <w:tabs>
              <w:tab w:val="right" w:leader="dot" w:pos="8306"/>
            </w:tabs>
          </w:pPr>
          <w:r>
            <w:fldChar w:fldCharType="begin"/>
          </w:r>
          <w:r>
            <w:instrText xml:space="preserve"> HYPERLINK \l _Toc8343 </w:instrText>
          </w:r>
          <w:r>
            <w:fldChar w:fldCharType="separate"/>
          </w:r>
          <w:r>
            <w:rPr>
              <w:rFonts w:hint="default"/>
              <w:lang w:val="en-US" w:eastAsia="zh-CN"/>
            </w:rPr>
            <w:t>3.10.2. 矿体特征</w:t>
          </w:r>
          <w:r>
            <w:tab/>
          </w:r>
          <w:r>
            <w:fldChar w:fldCharType="begin"/>
          </w:r>
          <w:r>
            <w:instrText xml:space="preserve"> PAGEREF _Toc8343 \h </w:instrText>
          </w:r>
          <w:r>
            <w:fldChar w:fldCharType="separate"/>
          </w:r>
          <w:r>
            <w:t>59</w:t>
          </w:r>
          <w:r>
            <w:fldChar w:fldCharType="end"/>
          </w:r>
          <w:r>
            <w:fldChar w:fldCharType="end"/>
          </w:r>
        </w:p>
        <w:p w14:paraId="37312F6D">
          <w:pPr>
            <w:pStyle w:val="24"/>
            <w:tabs>
              <w:tab w:val="right" w:leader="dot" w:pos="8306"/>
            </w:tabs>
          </w:pPr>
          <w:r>
            <w:fldChar w:fldCharType="begin"/>
          </w:r>
          <w:r>
            <w:instrText xml:space="preserve"> HYPERLINK \l _Toc12911 </w:instrText>
          </w:r>
          <w:r>
            <w:fldChar w:fldCharType="separate"/>
          </w:r>
          <w:r>
            <w:rPr>
              <w:rFonts w:hint="default"/>
              <w:lang w:val="en-US" w:eastAsia="zh-CN"/>
            </w:rPr>
            <w:t>3.10.3. 矿石质量特征</w:t>
          </w:r>
          <w:r>
            <w:tab/>
          </w:r>
          <w:r>
            <w:fldChar w:fldCharType="begin"/>
          </w:r>
          <w:r>
            <w:instrText xml:space="preserve"> PAGEREF _Toc12911 \h </w:instrText>
          </w:r>
          <w:r>
            <w:fldChar w:fldCharType="separate"/>
          </w:r>
          <w:r>
            <w:t>59</w:t>
          </w:r>
          <w:r>
            <w:fldChar w:fldCharType="end"/>
          </w:r>
          <w:r>
            <w:fldChar w:fldCharType="end"/>
          </w:r>
        </w:p>
        <w:p w14:paraId="39BB1167">
          <w:pPr>
            <w:pStyle w:val="24"/>
            <w:tabs>
              <w:tab w:val="right" w:leader="dot" w:pos="8306"/>
            </w:tabs>
          </w:pPr>
          <w:r>
            <w:fldChar w:fldCharType="begin"/>
          </w:r>
          <w:r>
            <w:instrText xml:space="preserve"> HYPERLINK \l _Toc1514 </w:instrText>
          </w:r>
          <w:r>
            <w:fldChar w:fldCharType="separate"/>
          </w:r>
          <w:r>
            <w:rPr>
              <w:rFonts w:hint="default"/>
            </w:rPr>
            <w:t>3.10.4. 矿石加工技术性能</w:t>
          </w:r>
          <w:r>
            <w:tab/>
          </w:r>
          <w:r>
            <w:fldChar w:fldCharType="begin"/>
          </w:r>
          <w:r>
            <w:instrText xml:space="preserve"> PAGEREF _Toc1514 \h </w:instrText>
          </w:r>
          <w:r>
            <w:fldChar w:fldCharType="separate"/>
          </w:r>
          <w:r>
            <w:t>60</w:t>
          </w:r>
          <w:r>
            <w:fldChar w:fldCharType="end"/>
          </w:r>
          <w:r>
            <w:fldChar w:fldCharType="end"/>
          </w:r>
        </w:p>
        <w:p w14:paraId="5428A983">
          <w:pPr>
            <w:pStyle w:val="24"/>
            <w:tabs>
              <w:tab w:val="right" w:leader="dot" w:pos="8306"/>
            </w:tabs>
          </w:pPr>
          <w:r>
            <w:fldChar w:fldCharType="begin"/>
          </w:r>
          <w:r>
            <w:instrText xml:space="preserve"> HYPERLINK \l _Toc12129 </w:instrText>
          </w:r>
          <w:r>
            <w:fldChar w:fldCharType="separate"/>
          </w:r>
          <w:r>
            <w:rPr>
              <w:rFonts w:hint="default"/>
              <w:lang w:val="en-US" w:eastAsia="zh-CN"/>
            </w:rPr>
            <w:t>3.10.5. 设计利用矿产资源储量</w:t>
          </w:r>
          <w:r>
            <w:tab/>
          </w:r>
          <w:r>
            <w:fldChar w:fldCharType="begin"/>
          </w:r>
          <w:r>
            <w:instrText xml:space="preserve"> PAGEREF _Toc12129 \h </w:instrText>
          </w:r>
          <w:r>
            <w:fldChar w:fldCharType="separate"/>
          </w:r>
          <w:r>
            <w:t>60</w:t>
          </w:r>
          <w:r>
            <w:fldChar w:fldCharType="end"/>
          </w:r>
          <w:r>
            <w:fldChar w:fldCharType="end"/>
          </w:r>
        </w:p>
        <w:p w14:paraId="494ACE3A">
          <w:pPr>
            <w:pStyle w:val="30"/>
            <w:tabs>
              <w:tab w:val="right" w:leader="dot" w:pos="8306"/>
            </w:tabs>
          </w:pPr>
          <w:r>
            <w:fldChar w:fldCharType="begin"/>
          </w:r>
          <w:r>
            <w:instrText xml:space="preserve"> HYPERLINK \l _Toc19064 </w:instrText>
          </w:r>
          <w:r>
            <w:fldChar w:fldCharType="separate"/>
          </w:r>
          <w:r>
            <w:rPr>
              <w:rFonts w:hint="default"/>
            </w:rPr>
            <w:t xml:space="preserve">4. </w:t>
          </w:r>
          <w:r>
            <w:t>工程分析</w:t>
          </w:r>
          <w:r>
            <w:tab/>
          </w:r>
          <w:r>
            <w:fldChar w:fldCharType="begin"/>
          </w:r>
          <w:r>
            <w:instrText xml:space="preserve"> PAGEREF _Toc19064 \h </w:instrText>
          </w:r>
          <w:r>
            <w:fldChar w:fldCharType="separate"/>
          </w:r>
          <w:r>
            <w:t>62</w:t>
          </w:r>
          <w:r>
            <w:fldChar w:fldCharType="end"/>
          </w:r>
          <w:r>
            <w:fldChar w:fldCharType="end"/>
          </w:r>
        </w:p>
        <w:p w14:paraId="2074CAD3">
          <w:pPr>
            <w:pStyle w:val="31"/>
            <w:tabs>
              <w:tab w:val="right" w:leader="dot" w:pos="8306"/>
            </w:tabs>
          </w:pPr>
          <w:r>
            <w:fldChar w:fldCharType="begin"/>
          </w:r>
          <w:r>
            <w:instrText xml:space="preserve"> HYPERLINK \l _Toc26930 </w:instrText>
          </w:r>
          <w:r>
            <w:fldChar w:fldCharType="separate"/>
          </w:r>
          <w:r>
            <w:rPr>
              <w:rFonts w:hint="default"/>
            </w:rPr>
            <w:t xml:space="preserve">4.1. </w:t>
          </w:r>
          <w:r>
            <w:t>矿床开采</w:t>
          </w:r>
          <w:r>
            <w:tab/>
          </w:r>
          <w:r>
            <w:fldChar w:fldCharType="begin"/>
          </w:r>
          <w:r>
            <w:instrText xml:space="preserve"> PAGEREF _Toc26930 \h </w:instrText>
          </w:r>
          <w:r>
            <w:fldChar w:fldCharType="separate"/>
          </w:r>
          <w:r>
            <w:t>62</w:t>
          </w:r>
          <w:r>
            <w:fldChar w:fldCharType="end"/>
          </w:r>
          <w:r>
            <w:fldChar w:fldCharType="end"/>
          </w:r>
        </w:p>
        <w:p w14:paraId="364566FA">
          <w:pPr>
            <w:pStyle w:val="24"/>
            <w:tabs>
              <w:tab w:val="right" w:leader="dot" w:pos="8306"/>
            </w:tabs>
          </w:pPr>
          <w:r>
            <w:fldChar w:fldCharType="begin"/>
          </w:r>
          <w:r>
            <w:instrText xml:space="preserve"> HYPERLINK \l _Toc22966 </w:instrText>
          </w:r>
          <w:r>
            <w:fldChar w:fldCharType="separate"/>
          </w:r>
          <w:r>
            <w:rPr>
              <w:rFonts w:hint="default"/>
            </w:rPr>
            <w:t xml:space="preserve">4.1.1. </w:t>
          </w:r>
          <w:r>
            <w:t>设计开采范围</w:t>
          </w:r>
          <w:r>
            <w:tab/>
          </w:r>
          <w:r>
            <w:fldChar w:fldCharType="begin"/>
          </w:r>
          <w:r>
            <w:instrText xml:space="preserve"> PAGEREF _Toc22966 \h </w:instrText>
          </w:r>
          <w:r>
            <w:fldChar w:fldCharType="separate"/>
          </w:r>
          <w:r>
            <w:t>62</w:t>
          </w:r>
          <w:r>
            <w:fldChar w:fldCharType="end"/>
          </w:r>
          <w:r>
            <w:fldChar w:fldCharType="end"/>
          </w:r>
        </w:p>
        <w:p w14:paraId="6F793CBC">
          <w:pPr>
            <w:pStyle w:val="24"/>
            <w:tabs>
              <w:tab w:val="right" w:leader="dot" w:pos="8306"/>
            </w:tabs>
          </w:pPr>
          <w:r>
            <w:fldChar w:fldCharType="begin"/>
          </w:r>
          <w:r>
            <w:instrText xml:space="preserve"> HYPERLINK \l _Toc3075 </w:instrText>
          </w:r>
          <w:r>
            <w:fldChar w:fldCharType="separate"/>
          </w:r>
          <w:r>
            <w:rPr>
              <w:rFonts w:hint="default"/>
            </w:rPr>
            <w:t xml:space="preserve">4.1.2. </w:t>
          </w:r>
          <w:r>
            <w:t>矿床开采方式</w:t>
          </w:r>
          <w:r>
            <w:tab/>
          </w:r>
          <w:r>
            <w:fldChar w:fldCharType="begin"/>
          </w:r>
          <w:r>
            <w:instrText xml:space="preserve"> PAGEREF _Toc3075 \h </w:instrText>
          </w:r>
          <w:r>
            <w:fldChar w:fldCharType="separate"/>
          </w:r>
          <w:r>
            <w:t>62</w:t>
          </w:r>
          <w:r>
            <w:fldChar w:fldCharType="end"/>
          </w:r>
          <w:r>
            <w:fldChar w:fldCharType="end"/>
          </w:r>
        </w:p>
        <w:p w14:paraId="16ACED5F">
          <w:pPr>
            <w:pStyle w:val="24"/>
            <w:tabs>
              <w:tab w:val="right" w:leader="dot" w:pos="8306"/>
            </w:tabs>
          </w:pPr>
          <w:r>
            <w:fldChar w:fldCharType="begin"/>
          </w:r>
          <w:r>
            <w:instrText xml:space="preserve"> HYPERLINK \l _Toc27581 </w:instrText>
          </w:r>
          <w:r>
            <w:fldChar w:fldCharType="separate"/>
          </w:r>
          <w:r>
            <w:rPr>
              <w:rFonts w:hint="default"/>
            </w:rPr>
            <w:t xml:space="preserve">4.1.3. </w:t>
          </w:r>
          <w:r>
            <w:t>开采岩体移动范围的确定</w:t>
          </w:r>
          <w:r>
            <w:tab/>
          </w:r>
          <w:r>
            <w:fldChar w:fldCharType="begin"/>
          </w:r>
          <w:r>
            <w:instrText xml:space="preserve"> PAGEREF _Toc27581 \h </w:instrText>
          </w:r>
          <w:r>
            <w:fldChar w:fldCharType="separate"/>
          </w:r>
          <w:r>
            <w:t>62</w:t>
          </w:r>
          <w:r>
            <w:fldChar w:fldCharType="end"/>
          </w:r>
          <w:r>
            <w:fldChar w:fldCharType="end"/>
          </w:r>
        </w:p>
        <w:p w14:paraId="043E1A6C">
          <w:pPr>
            <w:pStyle w:val="31"/>
            <w:tabs>
              <w:tab w:val="right" w:leader="dot" w:pos="8306"/>
            </w:tabs>
          </w:pPr>
          <w:r>
            <w:fldChar w:fldCharType="begin"/>
          </w:r>
          <w:r>
            <w:instrText xml:space="preserve"> HYPERLINK \l _Toc8736 </w:instrText>
          </w:r>
          <w:r>
            <w:fldChar w:fldCharType="separate"/>
          </w:r>
          <w:r>
            <w:rPr>
              <w:rFonts w:hint="default"/>
            </w:rPr>
            <w:t xml:space="preserve">4.2. </w:t>
          </w:r>
          <w:r>
            <w:t>开拓运输方案</w:t>
          </w:r>
          <w:r>
            <w:tab/>
          </w:r>
          <w:r>
            <w:fldChar w:fldCharType="begin"/>
          </w:r>
          <w:r>
            <w:instrText xml:space="preserve"> PAGEREF _Toc8736 \h </w:instrText>
          </w:r>
          <w:r>
            <w:fldChar w:fldCharType="separate"/>
          </w:r>
          <w:r>
            <w:t>62</w:t>
          </w:r>
          <w:r>
            <w:fldChar w:fldCharType="end"/>
          </w:r>
          <w:r>
            <w:fldChar w:fldCharType="end"/>
          </w:r>
        </w:p>
        <w:p w14:paraId="72C6CC6B">
          <w:pPr>
            <w:pStyle w:val="24"/>
            <w:tabs>
              <w:tab w:val="right" w:leader="dot" w:pos="8306"/>
            </w:tabs>
          </w:pPr>
          <w:r>
            <w:fldChar w:fldCharType="begin"/>
          </w:r>
          <w:r>
            <w:instrText xml:space="preserve"> HYPERLINK \l _Toc4595 </w:instrText>
          </w:r>
          <w:r>
            <w:fldChar w:fldCharType="separate"/>
          </w:r>
          <w:r>
            <w:rPr>
              <w:rFonts w:hint="default"/>
            </w:rPr>
            <w:t xml:space="preserve">4.2.1. </w:t>
          </w:r>
          <w:r>
            <w:t>现有开拓系统</w:t>
          </w:r>
          <w:r>
            <w:tab/>
          </w:r>
          <w:r>
            <w:fldChar w:fldCharType="begin"/>
          </w:r>
          <w:r>
            <w:instrText xml:space="preserve"> PAGEREF _Toc4595 \h </w:instrText>
          </w:r>
          <w:r>
            <w:fldChar w:fldCharType="separate"/>
          </w:r>
          <w:r>
            <w:t>62</w:t>
          </w:r>
          <w:r>
            <w:fldChar w:fldCharType="end"/>
          </w:r>
          <w:r>
            <w:fldChar w:fldCharType="end"/>
          </w:r>
        </w:p>
        <w:p w14:paraId="6BB8B6C4">
          <w:pPr>
            <w:pStyle w:val="24"/>
            <w:tabs>
              <w:tab w:val="right" w:leader="dot" w:pos="8306"/>
            </w:tabs>
          </w:pPr>
          <w:r>
            <w:fldChar w:fldCharType="begin"/>
          </w:r>
          <w:r>
            <w:instrText xml:space="preserve"> HYPERLINK \l _Toc3701 </w:instrText>
          </w:r>
          <w:r>
            <w:fldChar w:fldCharType="separate"/>
          </w:r>
          <w:r>
            <w:rPr>
              <w:rFonts w:hint="default"/>
            </w:rPr>
            <w:t xml:space="preserve">4.2.2. </w:t>
          </w:r>
          <w:r>
            <w:t>开拓方案的确定</w:t>
          </w:r>
          <w:r>
            <w:tab/>
          </w:r>
          <w:r>
            <w:fldChar w:fldCharType="begin"/>
          </w:r>
          <w:r>
            <w:instrText xml:space="preserve"> PAGEREF _Toc3701 \h </w:instrText>
          </w:r>
          <w:r>
            <w:fldChar w:fldCharType="separate"/>
          </w:r>
          <w:r>
            <w:t>63</w:t>
          </w:r>
          <w:r>
            <w:fldChar w:fldCharType="end"/>
          </w:r>
          <w:r>
            <w:fldChar w:fldCharType="end"/>
          </w:r>
        </w:p>
        <w:p w14:paraId="14995AD8">
          <w:pPr>
            <w:pStyle w:val="24"/>
            <w:tabs>
              <w:tab w:val="right" w:leader="dot" w:pos="8306"/>
            </w:tabs>
          </w:pPr>
          <w:r>
            <w:fldChar w:fldCharType="begin"/>
          </w:r>
          <w:r>
            <w:instrText xml:space="preserve"> HYPERLINK \l _Toc26159 </w:instrText>
          </w:r>
          <w:r>
            <w:fldChar w:fldCharType="separate"/>
          </w:r>
          <w:r>
            <w:rPr>
              <w:rFonts w:hint="default"/>
            </w:rPr>
            <w:t xml:space="preserve">4.2.3. </w:t>
          </w:r>
          <w:r>
            <w:t>开拓、运输方案</w:t>
          </w:r>
          <w:r>
            <w:tab/>
          </w:r>
          <w:r>
            <w:fldChar w:fldCharType="begin"/>
          </w:r>
          <w:r>
            <w:instrText xml:space="preserve"> PAGEREF _Toc26159 \h </w:instrText>
          </w:r>
          <w:r>
            <w:fldChar w:fldCharType="separate"/>
          </w:r>
          <w:r>
            <w:t>63</w:t>
          </w:r>
          <w:r>
            <w:fldChar w:fldCharType="end"/>
          </w:r>
          <w:r>
            <w:fldChar w:fldCharType="end"/>
          </w:r>
        </w:p>
        <w:p w14:paraId="7C6A245C">
          <w:pPr>
            <w:pStyle w:val="31"/>
            <w:tabs>
              <w:tab w:val="right" w:leader="dot" w:pos="8306"/>
            </w:tabs>
          </w:pPr>
          <w:r>
            <w:fldChar w:fldCharType="begin"/>
          </w:r>
          <w:r>
            <w:instrText xml:space="preserve"> HYPERLINK \l _Toc9137 </w:instrText>
          </w:r>
          <w:r>
            <w:fldChar w:fldCharType="separate"/>
          </w:r>
          <w:r>
            <w:rPr>
              <w:rFonts w:ascii="Times New Roman" w:hAnsi="Times New Roman" w:eastAsia="Times New Roman" w:cs="Times New Roman"/>
              <w:bCs/>
              <w:spacing w:val="4"/>
              <w:szCs w:val="31"/>
            </w:rPr>
            <w:t xml:space="preserve">4.3 </w:t>
          </w:r>
          <w:r>
            <w:rPr>
              <w:rFonts w:ascii="宋体" w:hAnsi="宋体" w:eastAsia="宋体" w:cs="宋体"/>
              <w:bCs/>
              <w:spacing w:val="4"/>
              <w:szCs w:val="31"/>
            </w:rPr>
            <w:t>采矿方法</w:t>
          </w:r>
          <w:r>
            <w:tab/>
          </w:r>
          <w:r>
            <w:fldChar w:fldCharType="begin"/>
          </w:r>
          <w:r>
            <w:instrText xml:space="preserve"> PAGEREF _Toc9137 \h </w:instrText>
          </w:r>
          <w:r>
            <w:fldChar w:fldCharType="separate"/>
          </w:r>
          <w:r>
            <w:t>68</w:t>
          </w:r>
          <w:r>
            <w:fldChar w:fldCharType="end"/>
          </w:r>
          <w:r>
            <w:fldChar w:fldCharType="end"/>
          </w:r>
        </w:p>
        <w:p w14:paraId="53882511">
          <w:pPr>
            <w:pStyle w:val="24"/>
            <w:tabs>
              <w:tab w:val="right" w:leader="dot" w:pos="8306"/>
            </w:tabs>
          </w:pPr>
          <w:r>
            <w:fldChar w:fldCharType="begin"/>
          </w:r>
          <w:r>
            <w:instrText xml:space="preserve"> HYPERLINK \l _Toc22478 </w:instrText>
          </w:r>
          <w:r>
            <w:fldChar w:fldCharType="separate"/>
          </w:r>
          <w:r>
            <w:rPr>
              <w:rFonts w:ascii="Times New Roman" w:hAnsi="Times New Roman" w:eastAsia="Times New Roman" w:cs="Times New Roman"/>
              <w:bCs/>
              <w:spacing w:val="-2"/>
              <w:szCs w:val="30"/>
            </w:rPr>
            <w:t xml:space="preserve">4.3.1 </w:t>
          </w:r>
          <w:r>
            <w:rPr>
              <w:rFonts w:ascii="宋体" w:hAnsi="宋体" w:eastAsia="宋体" w:cs="宋体"/>
              <w:bCs/>
              <w:spacing w:val="-2"/>
              <w:szCs w:val="30"/>
            </w:rPr>
            <w:t>采矿方法的选择</w:t>
          </w:r>
          <w:r>
            <w:tab/>
          </w:r>
          <w:r>
            <w:fldChar w:fldCharType="begin"/>
          </w:r>
          <w:r>
            <w:instrText xml:space="preserve"> PAGEREF _Toc22478 \h </w:instrText>
          </w:r>
          <w:r>
            <w:fldChar w:fldCharType="separate"/>
          </w:r>
          <w:r>
            <w:t>68</w:t>
          </w:r>
          <w:r>
            <w:fldChar w:fldCharType="end"/>
          </w:r>
          <w:r>
            <w:fldChar w:fldCharType="end"/>
          </w:r>
        </w:p>
        <w:p w14:paraId="314A4F3D">
          <w:pPr>
            <w:pStyle w:val="24"/>
            <w:tabs>
              <w:tab w:val="right" w:leader="dot" w:pos="8306"/>
            </w:tabs>
          </w:pPr>
          <w:r>
            <w:fldChar w:fldCharType="begin"/>
          </w:r>
          <w:r>
            <w:instrText xml:space="preserve"> HYPERLINK \l _Toc1404 </w:instrText>
          </w:r>
          <w:r>
            <w:fldChar w:fldCharType="separate"/>
          </w:r>
          <w:r>
            <w:rPr>
              <w:rFonts w:ascii="Times New Roman" w:hAnsi="Times New Roman" w:eastAsia="Times New Roman" w:cs="Times New Roman"/>
              <w:bCs/>
              <w:spacing w:val="-2"/>
              <w:szCs w:val="30"/>
            </w:rPr>
            <w:t xml:space="preserve">4.3.2 </w:t>
          </w:r>
          <w:r>
            <w:rPr>
              <w:rFonts w:ascii="宋体" w:hAnsi="宋体" w:eastAsia="宋体" w:cs="宋体"/>
              <w:bCs/>
              <w:spacing w:val="-2"/>
              <w:szCs w:val="30"/>
            </w:rPr>
            <w:t>采矿方法选择及确定</w:t>
          </w:r>
          <w:r>
            <w:tab/>
          </w:r>
          <w:r>
            <w:fldChar w:fldCharType="begin"/>
          </w:r>
          <w:r>
            <w:instrText xml:space="preserve"> PAGEREF _Toc1404 \h </w:instrText>
          </w:r>
          <w:r>
            <w:fldChar w:fldCharType="separate"/>
          </w:r>
          <w:r>
            <w:t>68</w:t>
          </w:r>
          <w:r>
            <w:fldChar w:fldCharType="end"/>
          </w:r>
          <w:r>
            <w:fldChar w:fldCharType="end"/>
          </w:r>
        </w:p>
        <w:p w14:paraId="53B04E35">
          <w:pPr>
            <w:pStyle w:val="24"/>
            <w:tabs>
              <w:tab w:val="right" w:leader="dot" w:pos="8306"/>
            </w:tabs>
          </w:pPr>
          <w:r>
            <w:fldChar w:fldCharType="begin"/>
          </w:r>
          <w:r>
            <w:instrText xml:space="preserve"> HYPERLINK \l _Toc11919 </w:instrText>
          </w:r>
          <w:r>
            <w:fldChar w:fldCharType="separate"/>
          </w:r>
          <w:r>
            <w:rPr>
              <w:rFonts w:ascii="Times New Roman" w:hAnsi="Times New Roman" w:eastAsia="Times New Roman" w:cs="Times New Roman"/>
              <w:bCs/>
              <w:spacing w:val="-2"/>
              <w:szCs w:val="30"/>
            </w:rPr>
            <w:t xml:space="preserve">4.3.3 </w:t>
          </w:r>
          <w:r>
            <w:rPr>
              <w:rFonts w:ascii="宋体" w:hAnsi="宋体" w:eastAsia="宋体" w:cs="宋体"/>
              <w:bCs/>
              <w:spacing w:val="-2"/>
              <w:szCs w:val="30"/>
            </w:rPr>
            <w:t>采矿方法简述</w:t>
          </w:r>
          <w:r>
            <w:tab/>
          </w:r>
          <w:r>
            <w:fldChar w:fldCharType="begin"/>
          </w:r>
          <w:r>
            <w:instrText xml:space="preserve"> PAGEREF _Toc11919 \h </w:instrText>
          </w:r>
          <w:r>
            <w:fldChar w:fldCharType="separate"/>
          </w:r>
          <w:r>
            <w:t>69</w:t>
          </w:r>
          <w:r>
            <w:fldChar w:fldCharType="end"/>
          </w:r>
          <w:r>
            <w:fldChar w:fldCharType="end"/>
          </w:r>
        </w:p>
        <w:p w14:paraId="4D462922">
          <w:pPr>
            <w:pStyle w:val="24"/>
            <w:tabs>
              <w:tab w:val="right" w:leader="dot" w:pos="8306"/>
            </w:tabs>
          </w:pPr>
          <w:r>
            <w:fldChar w:fldCharType="begin"/>
          </w:r>
          <w:r>
            <w:instrText xml:space="preserve"> HYPERLINK \l _Toc11377 </w:instrText>
          </w:r>
          <w:r>
            <w:fldChar w:fldCharType="separate"/>
          </w:r>
          <w:r>
            <w:rPr>
              <w:rFonts w:ascii="Times New Roman" w:hAnsi="Times New Roman" w:eastAsia="Times New Roman" w:cs="Times New Roman"/>
              <w:bCs/>
              <w:spacing w:val="-2"/>
              <w:szCs w:val="30"/>
            </w:rPr>
            <w:t xml:space="preserve">4.3.4 </w:t>
          </w:r>
          <w:r>
            <w:rPr>
              <w:rFonts w:ascii="宋体" w:hAnsi="宋体" w:eastAsia="宋体" w:cs="宋体"/>
              <w:bCs/>
              <w:spacing w:val="-2"/>
              <w:szCs w:val="30"/>
            </w:rPr>
            <w:t>三率指标评述</w:t>
          </w:r>
          <w:r>
            <w:tab/>
          </w:r>
          <w:r>
            <w:fldChar w:fldCharType="begin"/>
          </w:r>
          <w:r>
            <w:instrText xml:space="preserve"> PAGEREF _Toc11377 \h </w:instrText>
          </w:r>
          <w:r>
            <w:fldChar w:fldCharType="separate"/>
          </w:r>
          <w:r>
            <w:t>71</w:t>
          </w:r>
          <w:r>
            <w:fldChar w:fldCharType="end"/>
          </w:r>
          <w:r>
            <w:fldChar w:fldCharType="end"/>
          </w:r>
        </w:p>
        <w:p w14:paraId="425BAE3B">
          <w:pPr>
            <w:pStyle w:val="31"/>
            <w:tabs>
              <w:tab w:val="right" w:leader="dot" w:pos="8306"/>
            </w:tabs>
          </w:pPr>
          <w:r>
            <w:fldChar w:fldCharType="begin"/>
          </w:r>
          <w:r>
            <w:instrText xml:space="preserve"> HYPERLINK \l _Toc22832 </w:instrText>
          </w:r>
          <w:r>
            <w:fldChar w:fldCharType="separate"/>
          </w:r>
          <w:r>
            <w:rPr>
              <w:rFonts w:ascii="Times New Roman" w:hAnsi="Times New Roman" w:eastAsia="Times New Roman" w:cs="Times New Roman"/>
              <w:bCs/>
              <w:spacing w:val="5"/>
              <w:szCs w:val="31"/>
            </w:rPr>
            <w:t xml:space="preserve">4.4 </w:t>
          </w:r>
          <w:r>
            <w:rPr>
              <w:rFonts w:ascii="宋体" w:hAnsi="宋体" w:eastAsia="宋体" w:cs="宋体"/>
              <w:bCs/>
              <w:spacing w:val="5"/>
              <w:szCs w:val="31"/>
            </w:rPr>
            <w:t>地面生产系统</w:t>
          </w:r>
          <w:r>
            <w:tab/>
          </w:r>
          <w:r>
            <w:fldChar w:fldCharType="begin"/>
          </w:r>
          <w:r>
            <w:instrText xml:space="preserve"> PAGEREF _Toc22832 \h </w:instrText>
          </w:r>
          <w:r>
            <w:fldChar w:fldCharType="separate"/>
          </w:r>
          <w:r>
            <w:t>71</w:t>
          </w:r>
          <w:r>
            <w:fldChar w:fldCharType="end"/>
          </w:r>
          <w:r>
            <w:fldChar w:fldCharType="end"/>
          </w:r>
        </w:p>
        <w:p w14:paraId="336B0F03">
          <w:pPr>
            <w:pStyle w:val="31"/>
            <w:tabs>
              <w:tab w:val="right" w:leader="dot" w:pos="8306"/>
            </w:tabs>
          </w:pPr>
          <w:r>
            <w:fldChar w:fldCharType="begin"/>
          </w:r>
          <w:r>
            <w:instrText xml:space="preserve"> HYPERLINK \l _Toc27311 </w:instrText>
          </w:r>
          <w:r>
            <w:fldChar w:fldCharType="separate"/>
          </w:r>
          <w:r>
            <w:rPr>
              <w:rFonts w:ascii="Times New Roman" w:hAnsi="Times New Roman" w:eastAsia="Times New Roman" w:cs="Times New Roman"/>
              <w:bCs/>
              <w:spacing w:val="1"/>
              <w:szCs w:val="31"/>
            </w:rPr>
            <w:t>4.5</w:t>
          </w:r>
          <w:r>
            <w:rPr>
              <w:rFonts w:ascii="Times New Roman" w:hAnsi="Times New Roman" w:eastAsia="Times New Roman" w:cs="Times New Roman"/>
              <w:bCs/>
              <w:spacing w:val="29"/>
              <w:w w:val="101"/>
              <w:szCs w:val="31"/>
            </w:rPr>
            <w:t xml:space="preserve"> </w:t>
          </w:r>
          <w:r>
            <w:rPr>
              <w:rFonts w:ascii="宋体" w:hAnsi="宋体" w:eastAsia="宋体" w:cs="宋体"/>
              <w:bCs/>
              <w:spacing w:val="1"/>
              <w:szCs w:val="31"/>
            </w:rPr>
            <w:t>公用工程</w:t>
          </w:r>
          <w:r>
            <w:tab/>
          </w:r>
          <w:r>
            <w:fldChar w:fldCharType="begin"/>
          </w:r>
          <w:r>
            <w:instrText xml:space="preserve"> PAGEREF _Toc27311 \h </w:instrText>
          </w:r>
          <w:r>
            <w:fldChar w:fldCharType="separate"/>
          </w:r>
          <w:r>
            <w:t>73</w:t>
          </w:r>
          <w:r>
            <w:fldChar w:fldCharType="end"/>
          </w:r>
          <w:r>
            <w:fldChar w:fldCharType="end"/>
          </w:r>
        </w:p>
        <w:p w14:paraId="72E252D8">
          <w:pPr>
            <w:pStyle w:val="24"/>
            <w:tabs>
              <w:tab w:val="right" w:leader="dot" w:pos="8306"/>
            </w:tabs>
          </w:pPr>
          <w:r>
            <w:fldChar w:fldCharType="begin"/>
          </w:r>
          <w:r>
            <w:instrText xml:space="preserve"> HYPERLINK \l _Toc3626 </w:instrText>
          </w:r>
          <w:r>
            <w:fldChar w:fldCharType="separate"/>
          </w:r>
          <w:r>
            <w:rPr>
              <w:rFonts w:ascii="Times New Roman" w:hAnsi="Times New Roman" w:eastAsia="Times New Roman" w:cs="Times New Roman"/>
              <w:bCs/>
              <w:spacing w:val="-2"/>
              <w:szCs w:val="30"/>
            </w:rPr>
            <w:t xml:space="preserve">4.5.1 </w:t>
          </w:r>
          <w:r>
            <w:rPr>
              <w:rFonts w:ascii="宋体" w:hAnsi="宋体" w:eastAsia="宋体" w:cs="宋体"/>
              <w:bCs/>
              <w:spacing w:val="-2"/>
              <w:szCs w:val="30"/>
            </w:rPr>
            <w:t>给水系统</w:t>
          </w:r>
          <w:r>
            <w:tab/>
          </w:r>
          <w:r>
            <w:fldChar w:fldCharType="begin"/>
          </w:r>
          <w:r>
            <w:instrText xml:space="preserve"> PAGEREF _Toc3626 \h </w:instrText>
          </w:r>
          <w:r>
            <w:fldChar w:fldCharType="separate"/>
          </w:r>
          <w:r>
            <w:t>73</w:t>
          </w:r>
          <w:r>
            <w:fldChar w:fldCharType="end"/>
          </w:r>
          <w:r>
            <w:fldChar w:fldCharType="end"/>
          </w:r>
        </w:p>
        <w:p w14:paraId="7AF6E4BC">
          <w:pPr>
            <w:pStyle w:val="24"/>
            <w:tabs>
              <w:tab w:val="right" w:leader="dot" w:pos="8306"/>
            </w:tabs>
          </w:pPr>
          <w:r>
            <w:fldChar w:fldCharType="begin"/>
          </w:r>
          <w:r>
            <w:instrText xml:space="preserve"> HYPERLINK \l _Toc32328 </w:instrText>
          </w:r>
          <w:r>
            <w:fldChar w:fldCharType="separate"/>
          </w:r>
          <w:r>
            <w:rPr>
              <w:rFonts w:ascii="Times New Roman" w:hAnsi="Times New Roman" w:eastAsia="Times New Roman" w:cs="Times New Roman"/>
              <w:bCs/>
              <w:spacing w:val="-2"/>
              <w:szCs w:val="30"/>
            </w:rPr>
            <w:t xml:space="preserve">4.5.2 </w:t>
          </w:r>
          <w:r>
            <w:rPr>
              <w:rFonts w:ascii="宋体" w:hAnsi="宋体" w:eastAsia="宋体" w:cs="宋体"/>
              <w:bCs/>
              <w:spacing w:val="-2"/>
              <w:szCs w:val="30"/>
            </w:rPr>
            <w:t>供电系统</w:t>
          </w:r>
          <w:r>
            <w:tab/>
          </w:r>
          <w:r>
            <w:fldChar w:fldCharType="begin"/>
          </w:r>
          <w:r>
            <w:instrText xml:space="preserve"> PAGEREF _Toc32328 \h </w:instrText>
          </w:r>
          <w:r>
            <w:fldChar w:fldCharType="separate"/>
          </w:r>
          <w:r>
            <w:t>73</w:t>
          </w:r>
          <w:r>
            <w:fldChar w:fldCharType="end"/>
          </w:r>
          <w:r>
            <w:fldChar w:fldCharType="end"/>
          </w:r>
        </w:p>
        <w:p w14:paraId="5AB9AA49">
          <w:pPr>
            <w:pStyle w:val="24"/>
            <w:tabs>
              <w:tab w:val="right" w:leader="dot" w:pos="8306"/>
            </w:tabs>
          </w:pPr>
          <w:r>
            <w:fldChar w:fldCharType="begin"/>
          </w:r>
          <w:r>
            <w:instrText xml:space="preserve"> HYPERLINK \l _Toc14065 </w:instrText>
          </w:r>
          <w:r>
            <w:fldChar w:fldCharType="separate"/>
          </w:r>
          <w:r>
            <w:rPr>
              <w:rFonts w:ascii="Times New Roman" w:hAnsi="Times New Roman" w:eastAsia="Times New Roman" w:cs="Times New Roman"/>
              <w:bCs/>
              <w:spacing w:val="-2"/>
              <w:szCs w:val="30"/>
            </w:rPr>
            <w:t xml:space="preserve">4.5.3 </w:t>
          </w:r>
          <w:r>
            <w:rPr>
              <w:rFonts w:ascii="宋体" w:hAnsi="宋体" w:eastAsia="宋体" w:cs="宋体"/>
              <w:bCs/>
              <w:spacing w:val="-2"/>
              <w:szCs w:val="30"/>
            </w:rPr>
            <w:t>供气方案</w:t>
          </w:r>
          <w:r>
            <w:tab/>
          </w:r>
          <w:r>
            <w:fldChar w:fldCharType="begin"/>
          </w:r>
          <w:r>
            <w:instrText xml:space="preserve"> PAGEREF _Toc14065 \h </w:instrText>
          </w:r>
          <w:r>
            <w:fldChar w:fldCharType="separate"/>
          </w:r>
          <w:r>
            <w:t>76</w:t>
          </w:r>
          <w:r>
            <w:fldChar w:fldCharType="end"/>
          </w:r>
          <w:r>
            <w:fldChar w:fldCharType="end"/>
          </w:r>
        </w:p>
        <w:p w14:paraId="4A057B8E">
          <w:pPr>
            <w:pStyle w:val="31"/>
            <w:tabs>
              <w:tab w:val="right" w:leader="dot" w:pos="8306"/>
            </w:tabs>
          </w:pPr>
          <w:r>
            <w:fldChar w:fldCharType="begin"/>
          </w:r>
          <w:r>
            <w:instrText xml:space="preserve"> HYPERLINK \l _Toc26584 </w:instrText>
          </w:r>
          <w:r>
            <w:fldChar w:fldCharType="separate"/>
          </w:r>
          <w:r>
            <w:rPr>
              <w:rFonts w:hint="default"/>
            </w:rPr>
            <w:t xml:space="preserve">4.3. </w:t>
          </w:r>
          <w:r>
            <w:t>5.7 影响因素分析及开采加工工艺流程</w:t>
          </w:r>
          <w:r>
            <w:tab/>
          </w:r>
          <w:r>
            <w:fldChar w:fldCharType="begin"/>
          </w:r>
          <w:r>
            <w:instrText xml:space="preserve"> PAGEREF _Toc26584 \h </w:instrText>
          </w:r>
          <w:r>
            <w:fldChar w:fldCharType="separate"/>
          </w:r>
          <w:r>
            <w:t>78</w:t>
          </w:r>
          <w:r>
            <w:fldChar w:fldCharType="end"/>
          </w:r>
          <w:r>
            <w:fldChar w:fldCharType="end"/>
          </w:r>
        </w:p>
        <w:p w14:paraId="089426B5">
          <w:pPr>
            <w:pStyle w:val="24"/>
            <w:tabs>
              <w:tab w:val="right" w:leader="dot" w:pos="8306"/>
            </w:tabs>
          </w:pPr>
          <w:r>
            <w:fldChar w:fldCharType="begin"/>
          </w:r>
          <w:r>
            <w:instrText xml:space="preserve"> HYPERLINK \l _Toc8877 </w:instrText>
          </w:r>
          <w:r>
            <w:fldChar w:fldCharType="separate"/>
          </w:r>
          <w:r>
            <w:rPr>
              <w:rFonts w:ascii="Times New Roman" w:hAnsi="Times New Roman" w:eastAsia="Times New Roman" w:cs="Times New Roman"/>
              <w:bCs/>
              <w:spacing w:val="-4"/>
              <w:szCs w:val="30"/>
            </w:rPr>
            <w:t>5.7.1</w:t>
          </w:r>
          <w:r>
            <w:rPr>
              <w:rFonts w:ascii="Times New Roman" w:hAnsi="Times New Roman" w:eastAsia="Times New Roman" w:cs="Times New Roman"/>
              <w:bCs/>
              <w:spacing w:val="13"/>
              <w:szCs w:val="30"/>
            </w:rPr>
            <w:t xml:space="preserve"> </w:t>
          </w:r>
          <w:r>
            <w:rPr>
              <w:rFonts w:ascii="宋体" w:hAnsi="宋体" w:eastAsia="宋体" w:cs="宋体"/>
              <w:bCs/>
              <w:spacing w:val="-4"/>
              <w:szCs w:val="30"/>
            </w:rPr>
            <w:t>建设期</w:t>
          </w:r>
          <w:r>
            <w:tab/>
          </w:r>
          <w:r>
            <w:fldChar w:fldCharType="begin"/>
          </w:r>
          <w:r>
            <w:instrText xml:space="preserve"> PAGEREF _Toc8877 \h </w:instrText>
          </w:r>
          <w:r>
            <w:fldChar w:fldCharType="separate"/>
          </w:r>
          <w:r>
            <w:t>78</w:t>
          </w:r>
          <w:r>
            <w:fldChar w:fldCharType="end"/>
          </w:r>
          <w:r>
            <w:fldChar w:fldCharType="end"/>
          </w:r>
        </w:p>
        <w:p w14:paraId="6A766D48">
          <w:pPr>
            <w:pStyle w:val="24"/>
            <w:tabs>
              <w:tab w:val="right" w:leader="dot" w:pos="8306"/>
            </w:tabs>
          </w:pPr>
          <w:r>
            <w:fldChar w:fldCharType="begin"/>
          </w:r>
          <w:r>
            <w:instrText xml:space="preserve"> HYPERLINK \l _Toc12031 </w:instrText>
          </w:r>
          <w:r>
            <w:fldChar w:fldCharType="separate"/>
          </w:r>
          <w:r>
            <w:rPr>
              <w:rFonts w:ascii="Times New Roman" w:hAnsi="Times New Roman" w:eastAsia="Times New Roman" w:cs="Times New Roman"/>
              <w:bCs/>
              <w:spacing w:val="-2"/>
              <w:szCs w:val="30"/>
            </w:rPr>
            <w:t xml:space="preserve">5.7.2 </w:t>
          </w:r>
          <w:r>
            <w:rPr>
              <w:rFonts w:ascii="宋体" w:hAnsi="宋体" w:eastAsia="宋体" w:cs="宋体"/>
              <w:bCs/>
              <w:spacing w:val="-2"/>
              <w:szCs w:val="30"/>
            </w:rPr>
            <w:t>运营期</w:t>
          </w:r>
          <w:r>
            <w:tab/>
          </w:r>
          <w:r>
            <w:fldChar w:fldCharType="begin"/>
          </w:r>
          <w:r>
            <w:instrText xml:space="preserve"> PAGEREF _Toc12031 \h </w:instrText>
          </w:r>
          <w:r>
            <w:fldChar w:fldCharType="separate"/>
          </w:r>
          <w:r>
            <w:t>79</w:t>
          </w:r>
          <w:r>
            <w:fldChar w:fldCharType="end"/>
          </w:r>
          <w:r>
            <w:fldChar w:fldCharType="end"/>
          </w:r>
        </w:p>
        <w:p w14:paraId="08DC485A">
          <w:pPr>
            <w:pStyle w:val="31"/>
            <w:tabs>
              <w:tab w:val="right" w:leader="dot" w:pos="8306"/>
            </w:tabs>
          </w:pPr>
          <w:r>
            <w:fldChar w:fldCharType="begin"/>
          </w:r>
          <w:r>
            <w:instrText xml:space="preserve"> HYPERLINK \l _Toc9033 </w:instrText>
          </w:r>
          <w:r>
            <w:fldChar w:fldCharType="separate"/>
          </w:r>
          <w:r>
            <w:rPr>
              <w:rFonts w:ascii="Times New Roman" w:hAnsi="Times New Roman" w:eastAsia="Times New Roman" w:cs="Times New Roman"/>
              <w:bCs/>
              <w:spacing w:val="5"/>
              <w:szCs w:val="31"/>
            </w:rPr>
            <w:t xml:space="preserve">5.8 </w:t>
          </w:r>
          <w:r>
            <w:rPr>
              <w:rFonts w:ascii="宋体" w:hAnsi="宋体" w:eastAsia="宋体" w:cs="宋体"/>
              <w:bCs/>
              <w:spacing w:val="5"/>
              <w:szCs w:val="31"/>
            </w:rPr>
            <w:t>污染源源强核算</w:t>
          </w:r>
          <w:r>
            <w:tab/>
          </w:r>
          <w:r>
            <w:fldChar w:fldCharType="begin"/>
          </w:r>
          <w:r>
            <w:instrText xml:space="preserve"> PAGEREF _Toc9033 \h </w:instrText>
          </w:r>
          <w:r>
            <w:fldChar w:fldCharType="separate"/>
          </w:r>
          <w:r>
            <w:t>81</w:t>
          </w:r>
          <w:r>
            <w:fldChar w:fldCharType="end"/>
          </w:r>
          <w:r>
            <w:fldChar w:fldCharType="end"/>
          </w:r>
        </w:p>
        <w:p w14:paraId="13435621">
          <w:pPr>
            <w:pStyle w:val="24"/>
            <w:tabs>
              <w:tab w:val="right" w:leader="dot" w:pos="8306"/>
            </w:tabs>
          </w:pPr>
          <w:r>
            <w:fldChar w:fldCharType="begin"/>
          </w:r>
          <w:r>
            <w:instrText xml:space="preserve"> HYPERLINK \l _Toc19357 </w:instrText>
          </w:r>
          <w:r>
            <w:fldChar w:fldCharType="separate"/>
          </w:r>
          <w:r>
            <w:rPr>
              <w:rFonts w:ascii="Times New Roman" w:hAnsi="Times New Roman" w:eastAsia="Times New Roman" w:cs="Times New Roman"/>
              <w:bCs/>
              <w:spacing w:val="-2"/>
              <w:szCs w:val="30"/>
            </w:rPr>
            <w:t xml:space="preserve">5.8.1 </w:t>
          </w:r>
          <w:r>
            <w:rPr>
              <w:rFonts w:ascii="宋体" w:hAnsi="宋体" w:eastAsia="宋体" w:cs="宋体"/>
              <w:bCs/>
              <w:spacing w:val="-2"/>
              <w:szCs w:val="30"/>
            </w:rPr>
            <w:t>建设期污染源强分析</w:t>
          </w:r>
          <w:r>
            <w:tab/>
          </w:r>
          <w:r>
            <w:fldChar w:fldCharType="begin"/>
          </w:r>
          <w:r>
            <w:instrText xml:space="preserve"> PAGEREF _Toc19357 \h </w:instrText>
          </w:r>
          <w:r>
            <w:fldChar w:fldCharType="separate"/>
          </w:r>
          <w:r>
            <w:t>81</w:t>
          </w:r>
          <w:r>
            <w:fldChar w:fldCharType="end"/>
          </w:r>
          <w:r>
            <w:fldChar w:fldCharType="end"/>
          </w:r>
        </w:p>
        <w:p w14:paraId="6D9A3B19">
          <w:pPr>
            <w:pStyle w:val="24"/>
            <w:tabs>
              <w:tab w:val="right" w:leader="dot" w:pos="8306"/>
            </w:tabs>
          </w:pPr>
          <w:r>
            <w:fldChar w:fldCharType="begin"/>
          </w:r>
          <w:r>
            <w:instrText xml:space="preserve"> HYPERLINK \l _Toc4155 </w:instrText>
          </w:r>
          <w:r>
            <w:fldChar w:fldCharType="separate"/>
          </w:r>
          <w:r>
            <w:rPr>
              <w:rFonts w:ascii="Times New Roman" w:hAnsi="Times New Roman" w:eastAsia="Times New Roman" w:cs="Times New Roman"/>
              <w:bCs/>
              <w:spacing w:val="-2"/>
              <w:szCs w:val="30"/>
            </w:rPr>
            <w:t xml:space="preserve">5.8.2 </w:t>
          </w:r>
          <w:r>
            <w:rPr>
              <w:rFonts w:ascii="宋体" w:hAnsi="宋体" w:eastAsia="宋体" w:cs="宋体"/>
              <w:bCs/>
              <w:spacing w:val="-2"/>
              <w:szCs w:val="30"/>
            </w:rPr>
            <w:t>运营期污染源强核算</w:t>
          </w:r>
          <w:r>
            <w:tab/>
          </w:r>
          <w:r>
            <w:fldChar w:fldCharType="begin"/>
          </w:r>
          <w:r>
            <w:instrText xml:space="preserve"> PAGEREF _Toc4155 \h </w:instrText>
          </w:r>
          <w:r>
            <w:fldChar w:fldCharType="separate"/>
          </w:r>
          <w:r>
            <w:t>86</w:t>
          </w:r>
          <w:r>
            <w:fldChar w:fldCharType="end"/>
          </w:r>
          <w:r>
            <w:fldChar w:fldCharType="end"/>
          </w:r>
        </w:p>
        <w:p w14:paraId="2EF1A7B8">
          <w:pPr>
            <w:pStyle w:val="24"/>
            <w:tabs>
              <w:tab w:val="right" w:leader="dot" w:pos="8306"/>
            </w:tabs>
          </w:pPr>
          <w:r>
            <w:fldChar w:fldCharType="begin"/>
          </w:r>
          <w:r>
            <w:instrText xml:space="preserve"> HYPERLINK \l _Toc25088 </w:instrText>
          </w:r>
          <w:r>
            <w:fldChar w:fldCharType="separate"/>
          </w:r>
          <w:r>
            <w:rPr>
              <w:rFonts w:ascii="Times New Roman" w:hAnsi="Times New Roman" w:eastAsia="Times New Roman" w:cs="Times New Roman"/>
              <w:bCs/>
              <w:spacing w:val="-2"/>
              <w:szCs w:val="30"/>
            </w:rPr>
            <w:t xml:space="preserve">5.8.3 </w:t>
          </w:r>
          <w:r>
            <w:rPr>
              <w:rFonts w:ascii="宋体" w:hAnsi="宋体" w:eastAsia="宋体" w:cs="宋体"/>
              <w:bCs/>
              <w:spacing w:val="-2"/>
              <w:szCs w:val="30"/>
            </w:rPr>
            <w:t>项目污染物排放汇总</w:t>
          </w:r>
          <w:r>
            <w:tab/>
          </w:r>
          <w:r>
            <w:fldChar w:fldCharType="begin"/>
          </w:r>
          <w:r>
            <w:instrText xml:space="preserve"> PAGEREF _Toc25088 \h </w:instrText>
          </w:r>
          <w:r>
            <w:fldChar w:fldCharType="separate"/>
          </w:r>
          <w:r>
            <w:t>109</w:t>
          </w:r>
          <w:r>
            <w:fldChar w:fldCharType="end"/>
          </w:r>
          <w:r>
            <w:fldChar w:fldCharType="end"/>
          </w:r>
        </w:p>
        <w:p w14:paraId="59EC33F4">
          <w:pPr>
            <w:rPr>
              <w:rFonts w:ascii="Times New Roman" w:hAnsi="Times New Roman" w:eastAsia="宋体" w:cs="Times New Roman"/>
              <w:kern w:val="2"/>
              <w:sz w:val="21"/>
              <w:szCs w:val="24"/>
              <w:lang w:val="en-US" w:eastAsia="zh-CN" w:bidi="ar-SA"/>
            </w:rPr>
          </w:pPr>
          <w:r>
            <w:fldChar w:fldCharType="end"/>
          </w:r>
        </w:p>
      </w:sdtContent>
    </w:sdt>
    <w:p w14:paraId="7984B419">
      <w:pPr>
        <w:rPr>
          <w:rFonts w:ascii="Times New Roman" w:hAnsi="Times New Roman" w:eastAsia="宋体" w:cs="Times New Roman"/>
          <w:kern w:val="2"/>
          <w:sz w:val="21"/>
          <w:szCs w:val="24"/>
          <w:lang w:val="en-US" w:eastAsia="zh-CN" w:bidi="ar-SA"/>
        </w:rPr>
      </w:pPr>
    </w:p>
    <w:p w14:paraId="61D19421">
      <w:pPr>
        <w:rPr>
          <w:sz w:val="24"/>
        </w:rPr>
      </w:pPr>
    </w:p>
    <w:p w14:paraId="755AA57A">
      <w:pPr>
        <w:rPr>
          <w:sz w:val="24"/>
        </w:rPr>
      </w:pPr>
    </w:p>
    <w:p w14:paraId="0F998FB5">
      <w:pPr>
        <w:rPr>
          <w:sz w:val="24"/>
        </w:rPr>
      </w:pPr>
    </w:p>
    <w:p w14:paraId="3D7EA469">
      <w:pPr>
        <w:rPr>
          <w:sz w:val="24"/>
        </w:rPr>
      </w:pPr>
    </w:p>
    <w:p w14:paraId="14AC6D71">
      <w:pPr>
        <w:rPr>
          <w:sz w:val="24"/>
        </w:rPr>
      </w:pPr>
    </w:p>
    <w:p w14:paraId="701051AC">
      <w:pPr>
        <w:rPr>
          <w:sz w:val="24"/>
        </w:rPr>
      </w:pPr>
    </w:p>
    <w:p w14:paraId="17581644">
      <w:pPr>
        <w:rPr>
          <w:sz w:val="24"/>
        </w:rPr>
      </w:pPr>
    </w:p>
    <w:p w14:paraId="2B1DE98F">
      <w:pPr>
        <w:rPr>
          <w:sz w:val="24"/>
        </w:rPr>
      </w:pPr>
    </w:p>
    <w:p w14:paraId="58B27F46">
      <w:pPr>
        <w:rPr>
          <w:sz w:val="24"/>
        </w:rPr>
      </w:pPr>
    </w:p>
    <w:p w14:paraId="002853FB">
      <w:pPr>
        <w:rPr>
          <w:sz w:val="24"/>
        </w:rPr>
      </w:pPr>
    </w:p>
    <w:p w14:paraId="3EDB8693">
      <w:pPr>
        <w:rPr>
          <w:sz w:val="24"/>
        </w:rPr>
      </w:pPr>
    </w:p>
    <w:p w14:paraId="27309B89">
      <w:pPr>
        <w:rPr>
          <w:sz w:val="24"/>
        </w:rPr>
      </w:pPr>
    </w:p>
    <w:p w14:paraId="3F299EF2">
      <w:pPr>
        <w:rPr>
          <w:sz w:val="24"/>
        </w:rPr>
      </w:pPr>
    </w:p>
    <w:p w14:paraId="1A0549AC">
      <w:pPr>
        <w:rPr>
          <w:sz w:val="24"/>
        </w:rPr>
      </w:pPr>
    </w:p>
    <w:p w14:paraId="469F9164">
      <w:pPr>
        <w:rPr>
          <w:sz w:val="24"/>
        </w:rPr>
      </w:pPr>
    </w:p>
    <w:p w14:paraId="13061B82">
      <w:pPr>
        <w:rPr>
          <w:sz w:val="24"/>
        </w:rPr>
      </w:pPr>
    </w:p>
    <w:p w14:paraId="323D3CE0">
      <w:pPr>
        <w:rPr>
          <w:sz w:val="24"/>
        </w:rPr>
      </w:pPr>
    </w:p>
    <w:p w14:paraId="6BC57D1F">
      <w:pPr>
        <w:rPr>
          <w:sz w:val="24"/>
        </w:rPr>
      </w:pPr>
    </w:p>
    <w:p w14:paraId="433B0B4A">
      <w:pPr>
        <w:rPr>
          <w:sz w:val="24"/>
        </w:rPr>
      </w:pPr>
    </w:p>
    <w:p w14:paraId="62885402">
      <w:pPr>
        <w:rPr>
          <w:sz w:val="24"/>
        </w:rPr>
      </w:pPr>
    </w:p>
    <w:p w14:paraId="49303ECB">
      <w:pPr>
        <w:rPr>
          <w:sz w:val="24"/>
        </w:rPr>
      </w:pPr>
    </w:p>
    <w:p w14:paraId="15DDDC78">
      <w:pPr>
        <w:rPr>
          <w:sz w:val="24"/>
        </w:rPr>
      </w:pPr>
    </w:p>
    <w:p w14:paraId="2941FB60">
      <w:pPr>
        <w:rPr>
          <w:sz w:val="24"/>
        </w:rPr>
      </w:pPr>
    </w:p>
    <w:p w14:paraId="1872333E">
      <w:pPr>
        <w:pStyle w:val="2"/>
        <w:numPr>
          <w:ilvl w:val="0"/>
          <w:numId w:val="0"/>
        </w:numPr>
        <w:bidi w:val="0"/>
        <w:ind w:leftChars="0"/>
        <w:jc w:val="center"/>
        <w:rPr>
          <w:rFonts w:hint="default"/>
          <w:color w:val="auto"/>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0" w:name="_Toc7079"/>
      <w:bookmarkStart w:id="1" w:name="_Toc28084"/>
      <w:bookmarkStart w:id="2" w:name="_Toc2956"/>
    </w:p>
    <w:p w14:paraId="3101E3CA">
      <w:pPr>
        <w:pStyle w:val="2"/>
        <w:numPr>
          <w:ilvl w:val="0"/>
          <w:numId w:val="0"/>
        </w:numPr>
        <w:bidi w:val="0"/>
        <w:ind w:leftChars="0"/>
        <w:jc w:val="center"/>
        <w:rPr>
          <w:rFonts w:hint="default"/>
          <w:color w:val="auto"/>
          <w:highlight w:val="none"/>
        </w:rPr>
      </w:pPr>
      <w:r>
        <w:rPr>
          <w:rFonts w:hint="default"/>
          <w:color w:val="auto"/>
          <w:highlight w:val="none"/>
        </w:rPr>
        <w:t>概述</w:t>
      </w:r>
      <w:bookmarkEnd w:id="0"/>
      <w:bookmarkEnd w:id="1"/>
      <w:bookmarkEnd w:id="2"/>
    </w:p>
    <w:p w14:paraId="6F5A87B3">
      <w:pPr>
        <w:spacing w:before="100" w:line="225" w:lineRule="auto"/>
        <w:ind w:left="31"/>
        <w:outlineLvl w:val="1"/>
        <w:rPr>
          <w:rFonts w:ascii="宋体" w:hAnsi="宋体" w:eastAsia="宋体" w:cs="宋体"/>
          <w:sz w:val="31"/>
          <w:szCs w:val="31"/>
        </w:rPr>
      </w:pPr>
      <w:bookmarkStart w:id="3" w:name="_Toc5429"/>
      <w:bookmarkStart w:id="4" w:name="_Hlk187860149"/>
      <w:r>
        <w:rPr>
          <w:rFonts w:ascii="宋体" w:hAnsi="宋体" w:eastAsia="宋体" w:cs="宋体"/>
          <w:b/>
          <w:bCs/>
          <w:spacing w:val="4"/>
          <w:sz w:val="31"/>
          <w:szCs w:val="31"/>
        </w:rPr>
        <w:t>一、项目背景</w:t>
      </w:r>
      <w:bookmarkEnd w:id="3"/>
    </w:p>
    <w:p w14:paraId="11C22E2B">
      <w:pPr>
        <w:pStyle w:val="41"/>
        <w:bidi w:val="0"/>
        <w:rPr>
          <w:rFonts w:hint="eastAsia"/>
          <w:lang w:eastAsia="zh-CN"/>
        </w:rPr>
      </w:pPr>
      <w:r>
        <w:rPr>
          <w:rFonts w:hint="eastAsia"/>
        </w:rPr>
        <w:t>云南普阳煤化工有限责任公司砚山县红舍克东山石灰石矿</w:t>
      </w:r>
      <w:r>
        <w:t>为已</w:t>
      </w:r>
      <w:r>
        <w:rPr>
          <w:rFonts w:hint="eastAsia"/>
        </w:rPr>
        <w:t>有</w:t>
      </w:r>
      <w:r>
        <w:t>矿山，始建于</w:t>
      </w:r>
      <w:r>
        <w:rPr>
          <w:rFonts w:hint="eastAsia"/>
        </w:rPr>
        <w:t>2005</w:t>
      </w:r>
      <w:r>
        <w:t>年</w:t>
      </w:r>
      <w:r>
        <w:rPr>
          <w:rFonts w:hint="eastAsia"/>
        </w:rPr>
        <w:t>8</w:t>
      </w:r>
      <w:r>
        <w:t>月</w:t>
      </w:r>
      <w:r>
        <w:rPr>
          <w:rFonts w:hint="eastAsia"/>
        </w:rPr>
        <w:t>，目前</w:t>
      </w:r>
      <w:bookmarkEnd w:id="4"/>
      <w:r>
        <w:rPr>
          <w:rFonts w:hint="eastAsia"/>
        </w:rPr>
        <w:t>持有采矿许可证证号C5326002010097120075196，有效期限自2023年5月25</w:t>
      </w:r>
      <w:r>
        <w:rPr>
          <w:rFonts w:hint="eastAsia"/>
          <w:lang w:eastAsia="zh-CN"/>
        </w:rPr>
        <w:t>日起至2026年</w:t>
      </w:r>
      <w:r>
        <w:rPr>
          <w:rFonts w:hint="eastAsia"/>
        </w:rPr>
        <w:t>5月26日，生产规模为20万t/年，现采矿证即将过期，为避让矿区北侧在建的丘砚高速，矿业权人拟申请缩减开采区域，同时提升生产规模至50万t/年，开采区域由0.3201km</w:t>
      </w:r>
      <w:r>
        <w:rPr>
          <w:rFonts w:hint="eastAsia"/>
          <w:vertAlign w:val="superscript"/>
        </w:rPr>
        <w:t>2</w:t>
      </w:r>
      <w:r>
        <w:rPr>
          <w:rFonts w:hint="eastAsia"/>
        </w:rPr>
        <w:t>缩减为0.2895km</w:t>
      </w:r>
      <w:r>
        <w:rPr>
          <w:rFonts w:hint="eastAsia"/>
          <w:vertAlign w:val="superscript"/>
        </w:rPr>
        <w:t>2</w:t>
      </w:r>
      <w:r>
        <w:rPr>
          <w:rFonts w:hint="eastAsia"/>
          <w:lang w:eastAsia="zh-CN"/>
        </w:rPr>
        <w:t>。</w:t>
      </w:r>
    </w:p>
    <w:p w14:paraId="7753FFD3">
      <w:pPr>
        <w:pStyle w:val="41"/>
        <w:bidi w:val="0"/>
      </w:pPr>
      <w:r>
        <w:t>本次</w:t>
      </w:r>
      <w:r>
        <w:rPr>
          <w:rFonts w:hint="eastAsia"/>
          <w:lang w:val="en-US" w:eastAsia="zh-CN"/>
        </w:rPr>
        <w:t>扩建项目</w:t>
      </w:r>
      <w:r>
        <w:t>前期办理手续：</w:t>
      </w:r>
    </w:p>
    <w:p w14:paraId="03BCD280">
      <w:pPr>
        <w:pStyle w:val="41"/>
        <w:bidi w:val="0"/>
      </w:pPr>
      <w:r>
        <w:rPr>
          <w:rFonts w:hint="eastAsia"/>
        </w:rPr>
        <w:t>（1）2005年12月，云南地质工程勘察设计研究院有限公司编制提交了《云南省砚山县红舍克东山石灰岩矿地质详查报告》。经文山州国土资源局事务中心评审，2005年12月19日以“《云南省砚山县红舍克东山石灰岩矿地质详查报告》评审意见书（文国土资储评字〔2005〕91号）”评审通过，2005年12月22日以“《云南省砚山县红舍克东山石灰岩矿地质详查报告》评审备案证明（云文国土资储备字〔2005〕88号）”备案。</w:t>
      </w:r>
      <w:r>
        <w:rPr>
          <w:rFonts w:hint="eastAsia"/>
          <w:lang w:eastAsia="zh-CN"/>
        </w:rPr>
        <w:t>截至</w:t>
      </w:r>
      <w:r>
        <w:rPr>
          <w:rFonts w:hint="eastAsia"/>
        </w:rPr>
        <w:t>2005年9月10日：保有资源储量332类资源量3595.12万t。采用的1954北京坐标系，1956黄海高程系。</w:t>
      </w:r>
    </w:p>
    <w:p w14:paraId="198DB2A0">
      <w:pPr>
        <w:pStyle w:val="41"/>
        <w:bidi w:val="0"/>
      </w:pPr>
      <w:r>
        <w:rPr>
          <w:rFonts w:hint="eastAsia"/>
        </w:rPr>
        <w:t>（2）2014年12月，云南省莱成矿业评估咨询有限公司编制提交了《云南省砚山县红舍克东山石灰岩矿资源储量核实报告》。经文山州国土资源局事务中心评审，2015年1月13日以“《云南省砚山县红舍克东山石灰岩矿资源储量核实报告》评审意见书（云文国土资储评字〔2015〕3号）”评审通过，于2015年1月13日以“《云南省砚山县红舍克东山石灰岩矿资源储量核实报告》评审备案证明（云文国土资储备字</w:t>
      </w:r>
      <w:r>
        <w:rPr>
          <w:rFonts w:hint="eastAsia"/>
          <w:lang w:eastAsia="zh-CN"/>
        </w:rPr>
        <w:t>〔2015〕2号</w:t>
      </w:r>
      <w:r>
        <w:rPr>
          <w:rFonts w:hint="eastAsia"/>
        </w:rPr>
        <w:t>）”备案。</w:t>
      </w:r>
      <w:r>
        <w:rPr>
          <w:rFonts w:hint="eastAsia"/>
          <w:lang w:eastAsia="zh-CN"/>
        </w:rPr>
        <w:t>截至</w:t>
      </w:r>
      <w:r>
        <w:rPr>
          <w:rFonts w:hint="eastAsia"/>
        </w:rPr>
        <w:t>2014年12月：累计查明资源储量122b类矿石量3592.28万t/1327.52万</w:t>
      </w:r>
      <w:r>
        <w:rPr>
          <w:rFonts w:hint="eastAsia"/>
          <w:lang w:eastAsia="zh-CN"/>
        </w:rPr>
        <w:t>m</w:t>
      </w:r>
      <w:r>
        <w:rPr>
          <w:rFonts w:hint="eastAsia"/>
          <w:vertAlign w:val="superscript"/>
          <w:lang w:eastAsia="zh-CN"/>
        </w:rPr>
        <w:t>3</w:t>
      </w:r>
      <w:r>
        <w:rPr>
          <w:rFonts w:hint="eastAsia"/>
        </w:rPr>
        <w:t>，保有资源储量122b类矿石量3528.38万t/1303.91万</w:t>
      </w:r>
      <w:r>
        <w:rPr>
          <w:rFonts w:hint="eastAsia"/>
          <w:lang w:eastAsia="zh-CN"/>
        </w:rPr>
        <w:t>m</w:t>
      </w:r>
      <w:r>
        <w:rPr>
          <w:rFonts w:hint="eastAsia"/>
          <w:vertAlign w:val="superscript"/>
          <w:lang w:eastAsia="zh-CN"/>
        </w:rPr>
        <w:t>3</w:t>
      </w:r>
      <w:r>
        <w:rPr>
          <w:rFonts w:hint="eastAsia"/>
        </w:rPr>
        <w:t>，开采消耗资源储量111b类矿石量63.90万t/23.61万</w:t>
      </w:r>
      <w:r>
        <w:rPr>
          <w:rFonts w:hint="eastAsia"/>
          <w:lang w:eastAsia="zh-CN"/>
        </w:rPr>
        <w:t>m</w:t>
      </w:r>
      <w:r>
        <w:rPr>
          <w:rFonts w:hint="eastAsia"/>
          <w:vertAlign w:val="superscript"/>
          <w:lang w:eastAsia="zh-CN"/>
        </w:rPr>
        <w:t>3</w:t>
      </w:r>
      <w:r>
        <w:rPr>
          <w:rFonts w:hint="eastAsia"/>
        </w:rPr>
        <w:t>。</w:t>
      </w:r>
    </w:p>
    <w:p w14:paraId="42D13A2C">
      <w:pPr>
        <w:pStyle w:val="41"/>
        <w:bidi w:val="0"/>
      </w:pPr>
      <w:r>
        <w:rPr>
          <w:rFonts w:hint="eastAsia"/>
        </w:rPr>
        <w:t>（3）2019年7月，文山蔚鑫地矿工程勘察有限公司编制提交了《云南省砚山县红舍克东山石灰岩矿资源储量核实报告》。经文山彼岸科技服务有限公司评审，2019年8月2日以“《云南省砚山县红舍克东山石灰岩矿资源储量核实报告》评审意见书（文彼矿储评字〔2019〕9号）”评审通过，于2019年8月19日以“砚自然资储备字〔2019〕4号”评审备案。</w:t>
      </w:r>
      <w:r>
        <w:rPr>
          <w:rFonts w:hint="eastAsia"/>
          <w:lang w:eastAsia="zh-CN"/>
        </w:rPr>
        <w:t>截至</w:t>
      </w:r>
      <w:r>
        <w:rPr>
          <w:rFonts w:hint="eastAsia"/>
        </w:rPr>
        <w:t>2019年1月22日，累计查明资源储量111b+122b类矿石量3099.17万t/1145.30万</w:t>
      </w:r>
      <w:r>
        <w:rPr>
          <w:rFonts w:hint="eastAsia"/>
          <w:lang w:eastAsia="zh-CN"/>
        </w:rPr>
        <w:t>m</w:t>
      </w:r>
      <w:r>
        <w:rPr>
          <w:rFonts w:hint="eastAsia"/>
          <w:vertAlign w:val="superscript"/>
          <w:lang w:eastAsia="zh-CN"/>
        </w:rPr>
        <w:t>3</w:t>
      </w:r>
      <w:r>
        <w:rPr>
          <w:rFonts w:hint="eastAsia"/>
        </w:rPr>
        <w:t>，保有资源储量122b类矿石量2631.07万t/972.31万</w:t>
      </w:r>
      <w:r>
        <w:rPr>
          <w:rFonts w:hint="eastAsia"/>
          <w:lang w:eastAsia="zh-CN"/>
        </w:rPr>
        <w:t>m</w:t>
      </w:r>
      <w:r>
        <w:rPr>
          <w:rFonts w:hint="eastAsia"/>
          <w:vertAlign w:val="superscript"/>
          <w:lang w:eastAsia="zh-CN"/>
        </w:rPr>
        <w:t>3</w:t>
      </w:r>
      <w:r>
        <w:rPr>
          <w:rFonts w:hint="eastAsia"/>
        </w:rPr>
        <w:t>，开采消耗资源储量111b类矿石量468.11万t/172.99万</w:t>
      </w:r>
      <w:r>
        <w:rPr>
          <w:rFonts w:hint="eastAsia"/>
          <w:lang w:eastAsia="zh-CN"/>
        </w:rPr>
        <w:t>m</w:t>
      </w:r>
      <w:r>
        <w:rPr>
          <w:rFonts w:hint="eastAsia"/>
          <w:vertAlign w:val="superscript"/>
          <w:lang w:eastAsia="zh-CN"/>
        </w:rPr>
        <w:t>3</w:t>
      </w:r>
      <w:r>
        <w:rPr>
          <w:rFonts w:hint="eastAsia"/>
        </w:rPr>
        <w:t>。采用2000国家大地坐标系、1985国家高程基准。</w:t>
      </w:r>
    </w:p>
    <w:p w14:paraId="0B82882E">
      <w:pPr>
        <w:pStyle w:val="41"/>
        <w:bidi w:val="0"/>
        <w:rPr>
          <w:highlight w:val="none"/>
        </w:rPr>
      </w:pPr>
      <w:r>
        <w:rPr>
          <w:rFonts w:hint="eastAsia"/>
          <w:highlight w:val="none"/>
        </w:rPr>
        <w:t>（4）2025年11月，云南普阳煤化工有限责任公司</w:t>
      </w:r>
      <w:r>
        <w:rPr>
          <w:rFonts w:hint="eastAsia"/>
          <w:highlight w:val="none"/>
          <w:lang w:val="en-US" w:eastAsia="zh-CN"/>
        </w:rPr>
        <w:t>组织</w:t>
      </w:r>
      <w:r>
        <w:rPr>
          <w:rFonts w:hint="eastAsia"/>
          <w:highlight w:val="none"/>
        </w:rPr>
        <w:t>编制《云南省砚山县红舍克东山石灰岩矿资源储量核实报告（2025年9月30日）》，</w:t>
      </w:r>
      <w:r>
        <w:rPr>
          <w:rFonts w:hint="eastAsia"/>
          <w:highlight w:val="none"/>
          <w:lang w:eastAsia="zh-CN"/>
        </w:rPr>
        <w:t>截至</w:t>
      </w:r>
      <w:r>
        <w:rPr>
          <w:rFonts w:hint="eastAsia"/>
          <w:highlight w:val="none"/>
        </w:rPr>
        <w:t>2025年9月30日。砚山县红舍克东山石灰岩矿拟变更矿权范围内扣除岩溶率校正资源量如下：</w:t>
      </w:r>
    </w:p>
    <w:p w14:paraId="0A940220">
      <w:pPr>
        <w:pStyle w:val="41"/>
        <w:bidi w:val="0"/>
        <w:rPr>
          <w:highlight w:val="none"/>
        </w:rPr>
      </w:pPr>
      <w:r>
        <w:rPr>
          <w:rFonts w:hint="eastAsia"/>
          <w:highlight w:val="none"/>
        </w:rPr>
        <w:t>累计查明量：3468.4万t，其中探明资源量1061.2万t；控制资源量1245.8万t；推断资源量431.9万t；高速压覆资源量729.5万t。</w:t>
      </w:r>
    </w:p>
    <w:p w14:paraId="20B818D5">
      <w:pPr>
        <w:pStyle w:val="41"/>
        <w:bidi w:val="0"/>
        <w:rPr>
          <w:highlight w:val="none"/>
        </w:rPr>
      </w:pPr>
      <w:r>
        <w:rPr>
          <w:rFonts w:hint="eastAsia"/>
          <w:highlight w:val="none"/>
        </w:rPr>
        <w:t>动用量：探明资源量782.7万t。</w:t>
      </w:r>
    </w:p>
    <w:p w14:paraId="0C5FA741">
      <w:pPr>
        <w:pStyle w:val="41"/>
        <w:bidi w:val="0"/>
        <w:rPr>
          <w:rFonts w:hint="eastAsia"/>
          <w:highlight w:val="none"/>
        </w:rPr>
      </w:pPr>
      <w:r>
        <w:rPr>
          <w:rFonts w:hint="eastAsia"/>
          <w:highlight w:val="none"/>
        </w:rPr>
        <w:t>保有量：探明资源量278.5万t；控制资源量1245.8万t；推断资源量431.9万t；高速压覆资源量729.5万t。其中探明资源量占比31%，控制资源量占比36%，探明+控制资源量占比67%。</w:t>
      </w:r>
    </w:p>
    <w:p w14:paraId="0FF0F620">
      <w:pPr>
        <w:pStyle w:val="41"/>
        <w:bidi w:val="0"/>
        <w:rPr>
          <w:rFonts w:hint="eastAsia"/>
          <w:lang w:eastAsia="zh-CN"/>
        </w:rPr>
      </w:pPr>
      <w:r>
        <w:rPr>
          <w:rFonts w:hint="eastAsia"/>
          <w:lang w:eastAsia="zh-CN"/>
        </w:rPr>
        <w:t>（</w:t>
      </w:r>
      <w:r>
        <w:rPr>
          <w:rFonts w:hint="eastAsia"/>
          <w:lang w:val="en-US" w:eastAsia="zh-CN"/>
        </w:rPr>
        <w:t>5）</w:t>
      </w:r>
      <w:bookmarkStart w:id="5" w:name="_Hlk168927334"/>
      <w:r>
        <w:rPr>
          <w:rFonts w:hint="eastAsia"/>
          <w:lang w:val="en-US" w:eastAsia="zh-CN"/>
        </w:rPr>
        <w:t>2026年1月，</w:t>
      </w:r>
      <w:bookmarkEnd w:id="5"/>
      <w:r>
        <w:rPr>
          <w:rFonts w:hint="eastAsia"/>
        </w:rPr>
        <w:t>云南普阳煤化工有限责任公司</w:t>
      </w:r>
      <w:r>
        <w:rPr>
          <w:rFonts w:hint="eastAsia"/>
          <w:lang w:val="en-US" w:eastAsia="zh-CN"/>
        </w:rPr>
        <w:t>组织</w:t>
      </w:r>
      <w:r>
        <w:rPr>
          <w:rFonts w:hint="eastAsia"/>
        </w:rPr>
        <w:t>编制</w:t>
      </w:r>
      <w:r>
        <w:t>开发利用方案</w:t>
      </w:r>
      <w:r>
        <w:rPr>
          <w:rFonts w:hint="eastAsia"/>
          <w:lang w:eastAsia="zh-CN"/>
        </w:rPr>
        <w:t>。</w:t>
      </w:r>
    </w:p>
    <w:p w14:paraId="7F86B8D3">
      <w:pPr>
        <w:pStyle w:val="41"/>
        <w:bidi w:val="0"/>
        <w:rPr>
          <w:rFonts w:hint="eastAsia"/>
          <w:lang w:eastAsia="zh-CN"/>
        </w:rPr>
      </w:pPr>
      <w:r>
        <w:t>（</w:t>
      </w:r>
      <w:r>
        <w:rPr>
          <w:rFonts w:hint="eastAsia"/>
          <w:lang w:val="en-US" w:eastAsia="zh-CN"/>
        </w:rPr>
        <w:t>6</w:t>
      </w:r>
      <w:r>
        <w:t>）202</w:t>
      </w:r>
      <w:r>
        <w:rPr>
          <w:rFonts w:hint="eastAsia"/>
          <w:lang w:val="en-US" w:eastAsia="zh-CN"/>
        </w:rPr>
        <w:t>5</w:t>
      </w:r>
      <w:r>
        <w:t>年</w:t>
      </w:r>
      <w:r>
        <w:rPr>
          <w:rFonts w:hint="eastAsia"/>
          <w:lang w:val="en-US" w:eastAsia="zh-CN"/>
        </w:rPr>
        <w:t>8月</w:t>
      </w:r>
      <w:r>
        <w:t>，本项目取得了</w:t>
      </w:r>
      <w:r>
        <w:rPr>
          <w:rFonts w:hint="eastAsia"/>
          <w:lang w:val="en-US" w:eastAsia="zh-CN"/>
        </w:rPr>
        <w:t>选址并联审批表，砚山县人民政府、砚山县干河彝族乡人民政府、砚山县自然资源局、砚山县水务局、砚山县应急管理局、砚山县林业和草原局、文山壮族苗族自治州生态环境局砚山分局等各部门均同意项目选址</w:t>
      </w:r>
      <w:r>
        <w:t>（详见附件</w:t>
      </w:r>
      <w:r>
        <w:rPr>
          <w:rFonts w:hint="eastAsia"/>
          <w:lang w:val="en-US" w:eastAsia="zh-CN"/>
        </w:rPr>
        <w:t>3</w:t>
      </w:r>
      <w:r>
        <w:t>）</w:t>
      </w:r>
      <w:r>
        <w:rPr>
          <w:rFonts w:hint="eastAsia"/>
          <w:lang w:eastAsia="zh-CN"/>
        </w:rPr>
        <w:t>。</w:t>
      </w:r>
    </w:p>
    <w:p w14:paraId="24745F42">
      <w:pPr>
        <w:pStyle w:val="41"/>
        <w:bidi w:val="0"/>
      </w:pPr>
      <w:r>
        <w:t>（7）202</w:t>
      </w:r>
      <w:r>
        <w:rPr>
          <w:rFonts w:hint="eastAsia"/>
          <w:lang w:val="en-US" w:eastAsia="zh-CN"/>
        </w:rPr>
        <w:t>5</w:t>
      </w:r>
      <w:r>
        <w:t>年</w:t>
      </w:r>
      <w:r>
        <w:rPr>
          <w:rFonts w:hint="eastAsia"/>
          <w:lang w:val="en-US" w:eastAsia="zh-CN"/>
        </w:rPr>
        <w:t>9</w:t>
      </w:r>
      <w:r>
        <w:t>月</w:t>
      </w:r>
      <w:r>
        <w:rPr>
          <w:rFonts w:hint="eastAsia"/>
          <w:lang w:val="en-US" w:eastAsia="zh-CN"/>
        </w:rPr>
        <w:t>5日</w:t>
      </w:r>
      <w:r>
        <w:t>，取得投资项目备案证。</w:t>
      </w:r>
    </w:p>
    <w:p w14:paraId="3E3F9176">
      <w:pPr>
        <w:pStyle w:val="41"/>
        <w:bidi w:val="0"/>
      </w:pPr>
      <w:r>
        <w:t>根据项目地质勘查报告、开发利用方案</w:t>
      </w:r>
      <w:r>
        <w:rPr>
          <w:rFonts w:hint="eastAsia"/>
          <w:lang w:eastAsia="zh-CN"/>
        </w:rPr>
        <w:t>，</w:t>
      </w:r>
      <w:r>
        <w:rPr>
          <w:rFonts w:hint="eastAsia"/>
          <w:lang w:val="en-US" w:eastAsia="zh-CN"/>
        </w:rPr>
        <w:t>备案证</w:t>
      </w:r>
      <w:r>
        <w:t>，</w:t>
      </w:r>
      <w:r>
        <w:rPr>
          <w:rFonts w:hint="eastAsia"/>
          <w:lang w:val="en-US" w:eastAsia="zh-CN"/>
        </w:rPr>
        <w:t>云南普阳煤化工有限责任公司砚山县红舍克东山石灰石矿</w:t>
      </w:r>
      <w:r>
        <w:t>矿山设计开采面积0.2895km</w:t>
      </w:r>
      <w:r>
        <w:rPr>
          <w:vertAlign w:val="superscript"/>
        </w:rPr>
        <w:t>2</w:t>
      </w:r>
      <w:r>
        <w:t>，服务年限为</w:t>
      </w:r>
      <w:r>
        <w:rPr>
          <w:rFonts w:hint="eastAsia"/>
          <w:lang w:val="en-US" w:eastAsia="zh-CN"/>
        </w:rPr>
        <w:t>35.1</w:t>
      </w:r>
      <w:r>
        <w:t>年，项目建设投资</w:t>
      </w:r>
      <w:r>
        <w:rPr>
          <w:rFonts w:hint="eastAsia"/>
          <w:lang w:val="en-US" w:eastAsia="zh-CN"/>
        </w:rPr>
        <w:t>1000</w:t>
      </w:r>
      <w:r>
        <w:t>万元，采用露天分台阶开采，开采规模为50万t/年。</w:t>
      </w:r>
    </w:p>
    <w:p w14:paraId="56FC0C30">
      <w:pPr>
        <w:pStyle w:val="41"/>
        <w:bidi w:val="0"/>
      </w:pPr>
      <w:r>
        <w:t>根据《建设项目环境保护管理条例》及《中华人民共和国环境影响评价法》等有关要求，应对建设项目进行环境影响评价。同时根据《建设项目环境影响评价分类管理名录》（</w:t>
      </w:r>
      <w:r>
        <w:rPr>
          <w:rFonts w:hint="eastAsia"/>
          <w:lang w:val="en-US" w:eastAsia="zh-CN"/>
        </w:rPr>
        <w:t>2021年版</w:t>
      </w:r>
      <w:r>
        <w:t>）</w:t>
      </w:r>
      <w:r>
        <w:rPr>
          <w:rFonts w:hint="eastAsia"/>
          <w:lang w:eastAsia="zh-CN"/>
        </w:rPr>
        <w:t>，</w:t>
      </w:r>
      <w:r>
        <w:rPr>
          <w:rFonts w:hint="eastAsia"/>
          <w:lang w:val="en-US" w:eastAsia="zh-CN"/>
        </w:rPr>
        <w:t>本项目属于“八、非金属矿采选业</w:t>
      </w:r>
      <w:r>
        <w:rPr>
          <w:rFonts w:hint="default"/>
          <w:lang w:val="en-US" w:eastAsia="zh-CN"/>
        </w:rPr>
        <w:t>10</w:t>
      </w:r>
      <w:r>
        <w:rPr>
          <w:rFonts w:hint="eastAsia"/>
          <w:lang w:val="en-US" w:eastAsia="zh-CN"/>
        </w:rPr>
        <w:t>”中“</w:t>
      </w:r>
      <w:r>
        <w:rPr>
          <w:rFonts w:hint="default"/>
          <w:lang w:val="en-US" w:eastAsia="zh-CN"/>
        </w:rPr>
        <w:t>11</w:t>
      </w:r>
      <w:r>
        <w:rPr>
          <w:rFonts w:hint="eastAsia"/>
          <w:lang w:val="en-US" w:eastAsia="zh-CN"/>
        </w:rPr>
        <w:t>土砂石开采</w:t>
      </w:r>
      <w:r>
        <w:rPr>
          <w:rFonts w:hint="default"/>
          <w:lang w:val="en-US" w:eastAsia="zh-CN"/>
        </w:rPr>
        <w:t>101</w:t>
      </w:r>
      <w:r>
        <w:rPr>
          <w:rFonts w:hint="eastAsia"/>
          <w:lang w:val="en-US" w:eastAsia="zh-CN"/>
        </w:rPr>
        <w:t>（不含河道采砂项目）”，同时，本项目位于云南省文山州砚山县江那镇铳卡石门坎，根据项目与文山州砚山县干河彝族乡红舍克水库饮用水水源保护区位置关系图，本次矿山均位于该饮用水源保护区准保护区范围内，项目矿界距红舍克水库饮用水水源保护区二级保护区的最近距离为375m，属于本项目影响范围内，其属于《建设项目环境影响评价分类管理名录》（</w:t>
      </w:r>
      <w:r>
        <w:rPr>
          <w:rFonts w:hint="default"/>
          <w:lang w:val="en-US" w:eastAsia="zh-CN"/>
        </w:rPr>
        <w:t>2021</w:t>
      </w:r>
      <w:r>
        <w:rPr>
          <w:rFonts w:hint="eastAsia"/>
          <w:lang w:val="en-US" w:eastAsia="zh-CN"/>
        </w:rPr>
        <w:t>年版）环境敏感区中第三条（一）中的饮用水源保护区，则项目涉及环境敏感区的，应编制环境影响报告书。</w:t>
      </w:r>
    </w:p>
    <w:p w14:paraId="39F2129C">
      <w:pPr>
        <w:pStyle w:val="41"/>
        <w:bidi w:val="0"/>
      </w:pPr>
      <w:r>
        <w:t>受建设单位委托，</w:t>
      </w:r>
      <w:r>
        <w:rPr>
          <w:rFonts w:ascii="宋体" w:hAnsi="宋体" w:eastAsia="宋体" w:cs="宋体"/>
          <w:spacing w:val="-3"/>
          <w:sz w:val="24"/>
          <w:szCs w:val="24"/>
        </w:rPr>
        <w:t>云南明熙生态环境科技有限公司</w:t>
      </w:r>
      <w:r>
        <w:rPr>
          <w:rFonts w:ascii="宋体" w:hAnsi="宋体" w:eastAsia="宋体" w:cs="宋体"/>
          <w:spacing w:val="-4"/>
          <w:sz w:val="24"/>
          <w:szCs w:val="24"/>
        </w:rPr>
        <w:t>（以下简称环</w:t>
      </w:r>
      <w:r>
        <w:rPr>
          <w:rFonts w:ascii="宋体" w:hAnsi="宋体" w:eastAsia="宋体" w:cs="宋体"/>
          <w:spacing w:val="-3"/>
          <w:sz w:val="24"/>
          <w:szCs w:val="24"/>
        </w:rPr>
        <w:t>评单位）</w:t>
      </w:r>
      <w:r>
        <w:t>承担了本项目的环境影响评价工作。接受委托后，评价项目组踏勘了项目场址，考察了项目周围地区的环境状况，收集了相关资料。在此基础上，按照环境保护有关法律法规及环境影响评价有关技术规范要求，编制了《</w:t>
      </w:r>
      <w:r>
        <w:rPr>
          <w:rFonts w:hint="eastAsia"/>
          <w:lang w:eastAsia="zh-CN"/>
        </w:rPr>
        <w:t>云南普阳煤化工有限责任公司砚山县红舍克东山石灰石矿环境影响报告书</w:t>
      </w:r>
      <w:r>
        <w:t>》，供建设单位上报审批。</w:t>
      </w:r>
    </w:p>
    <w:p w14:paraId="31F7E097">
      <w:pPr>
        <w:adjustRightInd w:val="0"/>
        <w:snapToGrid w:val="0"/>
        <w:spacing w:before="156" w:beforeLines="50" w:line="360" w:lineRule="auto"/>
        <w:outlineLvl w:val="1"/>
        <w:rPr>
          <w:b/>
          <w:sz w:val="32"/>
          <w:szCs w:val="32"/>
        </w:rPr>
      </w:pPr>
      <w:bookmarkStart w:id="6" w:name="_Toc28109"/>
      <w:bookmarkStart w:id="7" w:name="_Toc31849"/>
      <w:bookmarkStart w:id="8" w:name="_Toc51158116"/>
      <w:r>
        <w:rPr>
          <w:rFonts w:hint="eastAsia"/>
          <w:b/>
          <w:sz w:val="32"/>
          <w:szCs w:val="32"/>
          <w:lang w:val="en-US" w:eastAsia="zh-CN"/>
        </w:rPr>
        <w:t>二、</w:t>
      </w:r>
      <w:r>
        <w:rPr>
          <w:b/>
          <w:sz w:val="32"/>
          <w:szCs w:val="32"/>
        </w:rPr>
        <w:t>项目建设特点</w:t>
      </w:r>
      <w:bookmarkEnd w:id="6"/>
      <w:bookmarkEnd w:id="7"/>
      <w:bookmarkEnd w:id="8"/>
    </w:p>
    <w:p w14:paraId="3E2AB0A6">
      <w:pPr>
        <w:pStyle w:val="41"/>
        <w:bidi w:val="0"/>
      </w:pPr>
      <w:bookmarkStart w:id="9" w:name="_Toc6687"/>
      <w:bookmarkStart w:id="10" w:name="_Toc51158118"/>
      <w:r>
        <w:rPr>
          <w:rFonts w:hint="eastAsia"/>
          <w:lang w:val="en-US" w:eastAsia="zh-CN"/>
        </w:rPr>
        <w:t>（</w:t>
      </w:r>
      <w:r>
        <w:rPr>
          <w:rFonts w:hint="default"/>
          <w:lang w:val="en-US" w:eastAsia="zh-CN"/>
        </w:rPr>
        <w:t>1</w:t>
      </w:r>
      <w:r>
        <w:rPr>
          <w:rFonts w:hint="eastAsia"/>
          <w:lang w:val="en-US" w:eastAsia="zh-CN"/>
        </w:rPr>
        <w:t>）本项目为改扩建矿山，</w:t>
      </w:r>
      <w:r>
        <w:rPr>
          <w:rFonts w:hint="eastAsia"/>
          <w:spacing w:val="-4"/>
        </w:rPr>
        <w:t>云南普阳煤化工有限责任公司砚山县红舍克东山石灰石矿</w:t>
      </w:r>
      <w:r>
        <w:rPr>
          <w:rFonts w:hint="eastAsia"/>
          <w:spacing w:val="-4"/>
          <w:lang w:val="en-US" w:eastAsia="zh-CN"/>
        </w:rPr>
        <w:t>因</w:t>
      </w:r>
      <w:r>
        <w:rPr>
          <w:rFonts w:hint="eastAsia"/>
          <w:spacing w:val="-4"/>
        </w:rPr>
        <w:t>北侧距离在建</w:t>
      </w:r>
      <w:r>
        <w:rPr>
          <w:rFonts w:hint="eastAsia"/>
        </w:rPr>
        <w:t>丘砚高速较近，不满足《公路安全保护条例》，为避让矿区北侧在建的丘砚高速，</w:t>
      </w:r>
      <w:r>
        <w:rPr>
          <w:rFonts w:hint="eastAsia"/>
          <w:lang w:val="en-US" w:eastAsia="zh-CN"/>
        </w:rPr>
        <w:t>本次</w:t>
      </w:r>
      <w:r>
        <w:rPr>
          <w:rFonts w:hint="eastAsia"/>
        </w:rPr>
        <w:t>拟申请缩减开采区域，开采区域由0.3201km</w:t>
      </w:r>
      <w:r>
        <w:rPr>
          <w:rFonts w:hint="eastAsia"/>
          <w:vertAlign w:val="superscript"/>
        </w:rPr>
        <w:t>2</w:t>
      </w:r>
      <w:r>
        <w:rPr>
          <w:rFonts w:hint="eastAsia"/>
        </w:rPr>
        <w:t>缩减为0.2895km</w:t>
      </w:r>
      <w:r>
        <w:rPr>
          <w:rFonts w:hint="eastAsia"/>
          <w:vertAlign w:val="superscript"/>
        </w:rPr>
        <w:t>2</w:t>
      </w:r>
      <w:r>
        <w:rPr>
          <w:rFonts w:hint="eastAsia"/>
        </w:rPr>
        <w:t>，缩减后开采区域距离丘砚高速水平距离为100m。</w:t>
      </w:r>
      <w:r>
        <w:rPr>
          <w:rFonts w:hint="eastAsia"/>
          <w:lang w:val="en-US" w:eastAsia="zh-CN"/>
        </w:rPr>
        <w:t>变更后项目矿区范围由13个拐点圈定，开采标高</w:t>
      </w:r>
      <w:r>
        <w:t>1690m-1565m</w:t>
      </w:r>
      <w:r>
        <w:rPr>
          <w:rFonts w:hint="eastAsia"/>
          <w:lang w:val="en-US" w:eastAsia="zh-CN"/>
        </w:rPr>
        <w:t>，矿区开采规模为</w:t>
      </w:r>
      <w:r>
        <w:rPr>
          <w:rFonts w:hint="default"/>
          <w:lang w:val="en-US" w:eastAsia="zh-CN"/>
        </w:rPr>
        <w:t>50</w:t>
      </w:r>
      <w:r>
        <w:rPr>
          <w:rFonts w:hint="eastAsia"/>
          <w:lang w:val="en-US" w:eastAsia="zh-CN"/>
        </w:rPr>
        <w:t>万t</w:t>
      </w:r>
      <w:r>
        <w:rPr>
          <w:rFonts w:hint="default"/>
          <w:lang w:val="en-US" w:eastAsia="zh-CN"/>
        </w:rPr>
        <w:t>/a</w:t>
      </w:r>
      <w:r>
        <w:rPr>
          <w:rFonts w:hint="eastAsia"/>
          <w:lang w:val="en-US" w:eastAsia="zh-CN"/>
        </w:rPr>
        <w:t>，</w:t>
      </w:r>
      <w:r>
        <w:rPr>
          <w:rFonts w:hint="eastAsia"/>
        </w:rPr>
        <w:t>设计开采矿种为</w:t>
      </w:r>
      <w:r>
        <w:rPr>
          <w:rFonts w:hint="eastAsia"/>
          <w:color w:val="000000"/>
          <w:szCs w:val="28"/>
        </w:rPr>
        <w:t>石灰岩</w:t>
      </w:r>
      <w:r>
        <w:rPr>
          <w:rFonts w:hint="eastAsia"/>
          <w:lang w:val="en-US" w:eastAsia="zh-CN"/>
        </w:rPr>
        <w:t>。</w:t>
      </w:r>
    </w:p>
    <w:p w14:paraId="7AB185CF">
      <w:pPr>
        <w:pStyle w:val="41"/>
        <w:bidi w:val="0"/>
      </w:pPr>
      <w:r>
        <w:rPr>
          <w:rFonts w:hint="eastAsia"/>
          <w:lang w:val="en-US" w:eastAsia="zh-CN"/>
        </w:rPr>
        <w:t>（</w:t>
      </w:r>
      <w:r>
        <w:rPr>
          <w:rFonts w:hint="default"/>
          <w:lang w:val="en-US" w:eastAsia="zh-CN"/>
        </w:rPr>
        <w:t>2</w:t>
      </w:r>
      <w:r>
        <w:rPr>
          <w:rFonts w:hint="eastAsia"/>
          <w:lang w:val="en-US" w:eastAsia="zh-CN"/>
        </w:rPr>
        <w:t>）由于本项目为改扩建，按照改造后矿山生产生活特点，延用原矿山的工业场地、生活办公区及相关辅助设施，本项目施工期主要为设备更新，施工期工程量小，因此本次环评主要针对营运期环境影响、生态影响进行分析并提出相应的整改措施。</w:t>
      </w:r>
    </w:p>
    <w:p w14:paraId="5924D221">
      <w:pPr>
        <w:pStyle w:val="41"/>
        <w:bidi w:val="0"/>
      </w:pPr>
      <w:r>
        <w:rPr>
          <w:rFonts w:hint="eastAsia"/>
          <w:lang w:val="en-US" w:eastAsia="zh-CN"/>
        </w:rPr>
        <w:t>（</w:t>
      </w:r>
      <w:r>
        <w:rPr>
          <w:rFonts w:hint="default"/>
          <w:lang w:val="en-US" w:eastAsia="zh-CN"/>
        </w:rPr>
        <w:t>3</w:t>
      </w:r>
      <w:r>
        <w:rPr>
          <w:rFonts w:hint="eastAsia"/>
          <w:lang w:val="en-US" w:eastAsia="zh-CN"/>
        </w:rPr>
        <w:t>）项目采石场共分为矿区（分为一采区、二采区）、工业场地加工区和办公生活区三部分，开采矿石通过场内道路由矿区运至工业场地进行砂石加工破碎、筛分等，同时项目营运期矿山开采及砂石加工产生的粉尘产污节点较多，需针对不同排放形式分别采取环保措施，减少粉尘污染。</w:t>
      </w:r>
    </w:p>
    <w:p w14:paraId="14FEDB94">
      <w:pPr>
        <w:pStyle w:val="41"/>
        <w:bidi w:val="0"/>
      </w:pPr>
      <w:r>
        <w:rPr>
          <w:rFonts w:hint="eastAsia"/>
          <w:lang w:val="en-US" w:eastAsia="zh-CN"/>
        </w:rPr>
        <w:t>（</w:t>
      </w:r>
      <w:r>
        <w:rPr>
          <w:rFonts w:hint="default"/>
          <w:lang w:val="en-US" w:eastAsia="zh-CN"/>
        </w:rPr>
        <w:t>4</w:t>
      </w:r>
      <w:r>
        <w:rPr>
          <w:rFonts w:hint="eastAsia"/>
          <w:lang w:val="en-US" w:eastAsia="zh-CN"/>
        </w:rPr>
        <w:t>）本项目矿山开采还涉及闭矿期，闭矿期将对采空区进行土地复垦，生态恢复，因生产破坏山体而造成对植被、动物、景观等生态环境要素的不利影响逐渐消失。</w:t>
      </w:r>
    </w:p>
    <w:p w14:paraId="77B812B7">
      <w:pPr>
        <w:pStyle w:val="41"/>
        <w:bidi w:val="0"/>
        <w:rPr>
          <w:rFonts w:hint="eastAsia"/>
          <w:lang w:val="en-US" w:eastAsia="zh-CN"/>
        </w:rPr>
      </w:pPr>
      <w:r>
        <w:rPr>
          <w:rFonts w:hint="eastAsia"/>
          <w:lang w:val="en-US" w:eastAsia="zh-CN"/>
        </w:rPr>
        <w:t>（</w:t>
      </w:r>
      <w:r>
        <w:rPr>
          <w:rFonts w:hint="default"/>
          <w:lang w:val="en-US" w:eastAsia="zh-CN"/>
        </w:rPr>
        <w:t>5</w:t>
      </w:r>
      <w:r>
        <w:rPr>
          <w:rFonts w:hint="eastAsia"/>
          <w:lang w:val="en-US" w:eastAsia="zh-CN"/>
        </w:rPr>
        <w:t>）项目用地均位于红舍克水库水源保护区准保护区范围内，矿界北侧距离红舍克水库水源保护区二级保护区最近距离仅375米，矿山开采及加工过程中应做好水土保持措施及污染防控措施，进一步防止水土流失，避免污染水源保护区水质。此外项目评价范围内无国家重点保护的野生植物分布，也无云南省重点保护野生动植物分布，未发现有名木古树分布，不涉及自然保护区、风景名胜区、水源保护区等其他敏感区域。</w:t>
      </w:r>
    </w:p>
    <w:p w14:paraId="49D9C0AC">
      <w:pPr>
        <w:adjustRightInd w:val="0"/>
        <w:snapToGrid w:val="0"/>
        <w:spacing w:before="156" w:beforeLines="50" w:line="360" w:lineRule="auto"/>
        <w:outlineLvl w:val="1"/>
        <w:rPr>
          <w:b/>
          <w:sz w:val="32"/>
          <w:szCs w:val="32"/>
        </w:rPr>
      </w:pPr>
      <w:bookmarkStart w:id="11" w:name="_Toc51158117"/>
      <w:bookmarkStart w:id="12" w:name="_Toc25273"/>
      <w:bookmarkStart w:id="13" w:name="_Toc25322"/>
      <w:r>
        <w:rPr>
          <w:rFonts w:hint="eastAsia"/>
          <w:b/>
          <w:sz w:val="32"/>
          <w:szCs w:val="32"/>
          <w:lang w:val="en-US" w:eastAsia="zh-CN"/>
        </w:rPr>
        <w:t>三、</w:t>
      </w:r>
      <w:r>
        <w:rPr>
          <w:b/>
          <w:sz w:val="32"/>
          <w:szCs w:val="32"/>
        </w:rPr>
        <w:t>环境影响评价工作过程</w:t>
      </w:r>
      <w:bookmarkEnd w:id="11"/>
      <w:bookmarkEnd w:id="12"/>
      <w:bookmarkEnd w:id="13"/>
    </w:p>
    <w:p w14:paraId="41F523C3">
      <w:pPr>
        <w:adjustRightInd w:val="0"/>
        <w:snapToGrid w:val="0"/>
        <w:spacing w:line="360" w:lineRule="auto"/>
        <w:ind w:firstLine="480" w:firstLineChars="200"/>
        <w:rPr>
          <w:sz w:val="24"/>
        </w:rPr>
      </w:pPr>
      <w:r>
        <w:rPr>
          <w:sz w:val="24"/>
        </w:rPr>
        <w:t>项目的环境影响评价工作程序见表1.3-1及图1。</w:t>
      </w:r>
    </w:p>
    <w:p w14:paraId="3A8A1B87">
      <w:pPr>
        <w:adjustRightInd w:val="0"/>
        <w:snapToGrid w:val="0"/>
        <w:spacing w:line="360" w:lineRule="auto"/>
        <w:ind w:firstLine="422" w:firstLineChars="200"/>
        <w:rPr>
          <w:b/>
          <w:szCs w:val="21"/>
        </w:rPr>
      </w:pPr>
    </w:p>
    <w:p w14:paraId="0B36F03B">
      <w:pPr>
        <w:adjustRightInd w:val="0"/>
        <w:snapToGrid w:val="0"/>
        <w:spacing w:line="360" w:lineRule="auto"/>
        <w:jc w:val="center"/>
        <w:rPr>
          <w:sz w:val="24"/>
        </w:rPr>
      </w:pPr>
      <w:r>
        <w:object>
          <v:shape id="_x0000_i1025" o:spt="75" type="#_x0000_t75" style="height:452.1pt;width:391.7pt;" o:ole="t" filled="f" o:preferrelative="t" stroked="f" coordsize="21600,21600">
            <v:path/>
            <v:fill on="f" focussize="0,0"/>
            <v:stroke on="f"/>
            <v:imagedata r:id="rId19" o:title=""/>
            <o:lock v:ext="edit" aspectratio="f"/>
            <w10:wrap type="none"/>
            <w10:anchorlock/>
          </v:shape>
          <o:OLEObject Type="Embed" ProgID="Visio.Drawing.11" ShapeID="_x0000_i1025" DrawAspect="Content" ObjectID="_1468075725" r:id="rId18">
            <o:LockedField>false</o:LockedField>
          </o:OLEObject>
        </w:object>
      </w:r>
    </w:p>
    <w:p w14:paraId="1E1CE981">
      <w:pPr>
        <w:pStyle w:val="45"/>
        <w:bidi w:val="0"/>
      </w:pPr>
      <w:r>
        <w:t>图</w:t>
      </w:r>
      <w:r>
        <w:rPr>
          <w:rFonts w:hint="eastAsia"/>
          <w:lang w:val="en-US" w:eastAsia="zh-CN"/>
        </w:rPr>
        <w:t>1</w:t>
      </w:r>
      <w:r>
        <w:t xml:space="preserve">  建设项目环境影响评价工作程序图</w:t>
      </w:r>
    </w:p>
    <w:p w14:paraId="198B8907">
      <w:pPr>
        <w:adjustRightInd w:val="0"/>
        <w:snapToGrid w:val="0"/>
        <w:spacing w:line="360" w:lineRule="auto"/>
        <w:jc w:val="center"/>
        <w:rPr>
          <w:b/>
          <w:szCs w:val="21"/>
        </w:rPr>
      </w:pPr>
      <w:r>
        <w:rPr>
          <w:b/>
          <w:szCs w:val="21"/>
        </w:rPr>
        <w:t>表1.3-1 项目评价流程表</w:t>
      </w:r>
    </w:p>
    <w:tbl>
      <w:tblPr>
        <w:tblStyle w:val="34"/>
        <w:tblW w:w="9069" w:type="dxa"/>
        <w:jc w:val="center"/>
        <w:tblLayout w:type="fixed"/>
        <w:tblCellMar>
          <w:top w:w="0" w:type="dxa"/>
          <w:left w:w="108" w:type="dxa"/>
          <w:bottom w:w="0" w:type="dxa"/>
          <w:right w:w="108" w:type="dxa"/>
        </w:tblCellMar>
      </w:tblPr>
      <w:tblGrid>
        <w:gridCol w:w="2975"/>
        <w:gridCol w:w="2834"/>
        <w:gridCol w:w="3260"/>
      </w:tblGrid>
      <w:tr w14:paraId="793760F9">
        <w:tblPrEx>
          <w:tblCellMar>
            <w:top w:w="0" w:type="dxa"/>
            <w:left w:w="108" w:type="dxa"/>
            <w:bottom w:w="0" w:type="dxa"/>
            <w:right w:w="108" w:type="dxa"/>
          </w:tblCellMar>
        </w:tblPrEx>
        <w:trPr>
          <w:trHeight w:val="454" w:hRule="atLeast"/>
          <w:tblHeader/>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59BAFDA5">
            <w:pPr>
              <w:pStyle w:val="43"/>
              <w:bidi w:val="0"/>
              <w:rPr>
                <w:b/>
                <w:bCs/>
              </w:rPr>
            </w:pPr>
            <w:r>
              <w:rPr>
                <w:b/>
                <w:bCs/>
              </w:rPr>
              <w:t>流 程</w:t>
            </w:r>
          </w:p>
        </w:tc>
        <w:tc>
          <w:tcPr>
            <w:tcW w:w="2834" w:type="dxa"/>
            <w:tcBorders>
              <w:top w:val="single" w:color="auto" w:sz="4" w:space="0"/>
              <w:left w:val="nil"/>
              <w:bottom w:val="single" w:color="auto" w:sz="4" w:space="0"/>
              <w:right w:val="single" w:color="auto" w:sz="4" w:space="0"/>
            </w:tcBorders>
            <w:noWrap w:val="0"/>
            <w:vAlign w:val="center"/>
          </w:tcPr>
          <w:p w14:paraId="23418AA6">
            <w:pPr>
              <w:pStyle w:val="43"/>
              <w:bidi w:val="0"/>
              <w:rPr>
                <w:b/>
                <w:bCs/>
              </w:rPr>
            </w:pPr>
            <w:r>
              <w:rPr>
                <w:b/>
                <w:bCs/>
              </w:rPr>
              <w:t>时  间</w:t>
            </w:r>
          </w:p>
        </w:tc>
        <w:tc>
          <w:tcPr>
            <w:tcW w:w="3260" w:type="dxa"/>
            <w:tcBorders>
              <w:top w:val="single" w:color="auto" w:sz="4" w:space="0"/>
              <w:left w:val="nil"/>
              <w:bottom w:val="single" w:color="auto" w:sz="4" w:space="0"/>
              <w:right w:val="single" w:color="auto" w:sz="4" w:space="0"/>
            </w:tcBorders>
            <w:noWrap w:val="0"/>
            <w:vAlign w:val="center"/>
          </w:tcPr>
          <w:p w14:paraId="177BEB4D">
            <w:pPr>
              <w:pStyle w:val="43"/>
              <w:bidi w:val="0"/>
              <w:rPr>
                <w:b/>
                <w:bCs/>
              </w:rPr>
            </w:pPr>
            <w:r>
              <w:rPr>
                <w:b/>
                <w:bCs/>
              </w:rPr>
              <w:t>备注</w:t>
            </w:r>
          </w:p>
        </w:tc>
      </w:tr>
      <w:tr w14:paraId="3CAEBBBF">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604C8D01">
            <w:pPr>
              <w:pStyle w:val="43"/>
              <w:bidi w:val="0"/>
            </w:pPr>
            <w:r>
              <w:t>签订合同，接受环评委托</w:t>
            </w:r>
          </w:p>
        </w:tc>
        <w:tc>
          <w:tcPr>
            <w:tcW w:w="2834" w:type="dxa"/>
            <w:tcBorders>
              <w:top w:val="single" w:color="auto" w:sz="4" w:space="0"/>
              <w:left w:val="nil"/>
              <w:bottom w:val="single" w:color="auto" w:sz="4" w:space="0"/>
              <w:right w:val="single" w:color="auto" w:sz="4" w:space="0"/>
            </w:tcBorders>
            <w:noWrap w:val="0"/>
            <w:vAlign w:val="center"/>
          </w:tcPr>
          <w:p w14:paraId="0B3771E1">
            <w:pPr>
              <w:pStyle w:val="43"/>
              <w:bidi w:val="0"/>
            </w:pPr>
            <w:r>
              <w:t>202</w:t>
            </w:r>
            <w:r>
              <w:rPr>
                <w:rFonts w:hint="eastAsia"/>
                <w:lang w:val="en-US" w:eastAsia="zh-CN"/>
              </w:rPr>
              <w:t>5</w:t>
            </w:r>
            <w:r>
              <w:t>年</w:t>
            </w:r>
            <w:r>
              <w:rPr>
                <w:rFonts w:hint="eastAsia"/>
                <w:lang w:val="en-US" w:eastAsia="zh-CN"/>
              </w:rPr>
              <w:t>8</w:t>
            </w:r>
            <w:r>
              <w:t>月</w:t>
            </w:r>
            <w:r>
              <w:rPr>
                <w:rFonts w:hint="eastAsia"/>
                <w:lang w:val="en-US" w:eastAsia="zh-CN"/>
              </w:rPr>
              <w:t>15</w:t>
            </w:r>
            <w:r>
              <w:t>日</w:t>
            </w:r>
          </w:p>
        </w:tc>
        <w:tc>
          <w:tcPr>
            <w:tcW w:w="3260" w:type="dxa"/>
            <w:tcBorders>
              <w:top w:val="single" w:color="auto" w:sz="4" w:space="0"/>
              <w:left w:val="nil"/>
              <w:bottom w:val="single" w:color="auto" w:sz="4" w:space="0"/>
              <w:right w:val="single" w:color="auto" w:sz="4" w:space="0"/>
            </w:tcBorders>
            <w:noWrap w:val="0"/>
            <w:vAlign w:val="center"/>
          </w:tcPr>
          <w:p w14:paraId="0C516329">
            <w:pPr>
              <w:pStyle w:val="43"/>
              <w:bidi w:val="0"/>
            </w:pPr>
            <w:r>
              <w:t>/</w:t>
            </w:r>
          </w:p>
        </w:tc>
      </w:tr>
      <w:tr w14:paraId="4AABAEC5">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609D7639">
            <w:pPr>
              <w:pStyle w:val="43"/>
              <w:bidi w:val="0"/>
              <w:rPr>
                <w:rFonts w:hint="default"/>
                <w:lang w:val="en-US" w:eastAsia="zh-CN"/>
              </w:rPr>
            </w:pPr>
            <w:r>
              <w:rPr>
                <w:rFonts w:hint="eastAsia"/>
                <w:lang w:val="en-US" w:eastAsia="zh-CN"/>
              </w:rPr>
              <w:t>收集项目相关资料</w:t>
            </w:r>
          </w:p>
        </w:tc>
        <w:tc>
          <w:tcPr>
            <w:tcW w:w="2834" w:type="dxa"/>
            <w:tcBorders>
              <w:top w:val="single" w:color="auto" w:sz="4" w:space="0"/>
              <w:left w:val="nil"/>
              <w:bottom w:val="single" w:color="auto" w:sz="4" w:space="0"/>
              <w:right w:val="single" w:color="auto" w:sz="4" w:space="0"/>
            </w:tcBorders>
            <w:noWrap w:val="0"/>
            <w:vAlign w:val="center"/>
          </w:tcPr>
          <w:p w14:paraId="7B5F3060">
            <w:pPr>
              <w:pStyle w:val="43"/>
              <w:bidi w:val="0"/>
              <w:rPr>
                <w:rFonts w:hint="default"/>
                <w:lang w:val="en-US" w:eastAsia="zh-CN"/>
              </w:rPr>
            </w:pPr>
            <w:r>
              <w:rPr>
                <w:rFonts w:hint="eastAsia"/>
                <w:lang w:val="en-US" w:eastAsia="zh-CN"/>
              </w:rPr>
              <w:t>2025年8月-2026年1月</w:t>
            </w:r>
          </w:p>
        </w:tc>
        <w:tc>
          <w:tcPr>
            <w:tcW w:w="3260" w:type="dxa"/>
            <w:tcBorders>
              <w:top w:val="single" w:color="auto" w:sz="4" w:space="0"/>
              <w:left w:val="nil"/>
              <w:bottom w:val="single" w:color="auto" w:sz="4" w:space="0"/>
              <w:right w:val="single" w:color="auto" w:sz="4" w:space="0"/>
            </w:tcBorders>
            <w:noWrap w:val="0"/>
            <w:vAlign w:val="center"/>
          </w:tcPr>
          <w:p w14:paraId="7AD1AEA1">
            <w:pPr>
              <w:pStyle w:val="43"/>
              <w:bidi w:val="0"/>
            </w:pPr>
          </w:p>
        </w:tc>
      </w:tr>
      <w:tr w14:paraId="0DF285A7">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3E9CD4E5">
            <w:pPr>
              <w:pStyle w:val="43"/>
              <w:bidi w:val="0"/>
            </w:pPr>
            <w:r>
              <w:t>现场踏勘</w:t>
            </w:r>
          </w:p>
        </w:tc>
        <w:tc>
          <w:tcPr>
            <w:tcW w:w="2834" w:type="dxa"/>
            <w:tcBorders>
              <w:top w:val="single" w:color="auto" w:sz="4" w:space="0"/>
              <w:left w:val="nil"/>
              <w:bottom w:val="single" w:color="auto" w:sz="4" w:space="0"/>
              <w:right w:val="single" w:color="auto" w:sz="4" w:space="0"/>
            </w:tcBorders>
            <w:noWrap w:val="0"/>
            <w:vAlign w:val="center"/>
          </w:tcPr>
          <w:p w14:paraId="60DE346B">
            <w:pPr>
              <w:pStyle w:val="43"/>
              <w:bidi w:val="0"/>
            </w:pPr>
            <w:r>
              <w:t>202</w:t>
            </w:r>
            <w:r>
              <w:rPr>
                <w:rFonts w:hint="eastAsia"/>
                <w:lang w:val="en-US" w:eastAsia="zh-CN"/>
              </w:rPr>
              <w:t>5</w:t>
            </w:r>
            <w:r>
              <w:t>年</w:t>
            </w:r>
            <w:r>
              <w:rPr>
                <w:rFonts w:hint="eastAsia"/>
                <w:lang w:val="en-US" w:eastAsia="zh-CN"/>
              </w:rPr>
              <w:t>8</w:t>
            </w:r>
            <w:r>
              <w:t>月</w:t>
            </w:r>
            <w:r>
              <w:rPr>
                <w:rFonts w:hint="eastAsia"/>
                <w:lang w:val="en-US" w:eastAsia="zh-CN"/>
              </w:rPr>
              <w:t>15</w:t>
            </w:r>
            <w:r>
              <w:t>日、</w:t>
            </w:r>
            <w:r>
              <w:rPr>
                <w:rFonts w:hint="eastAsia"/>
                <w:lang w:val="en-US" w:eastAsia="zh-CN"/>
              </w:rPr>
              <w:t>2026年1月15</w:t>
            </w:r>
            <w:r>
              <w:t>日</w:t>
            </w:r>
          </w:p>
        </w:tc>
        <w:tc>
          <w:tcPr>
            <w:tcW w:w="3260" w:type="dxa"/>
            <w:tcBorders>
              <w:top w:val="single" w:color="auto" w:sz="4" w:space="0"/>
              <w:left w:val="nil"/>
              <w:bottom w:val="single" w:color="auto" w:sz="4" w:space="0"/>
              <w:right w:val="single" w:color="auto" w:sz="4" w:space="0"/>
            </w:tcBorders>
            <w:noWrap w:val="0"/>
            <w:vAlign w:val="center"/>
          </w:tcPr>
          <w:p w14:paraId="43872B2B">
            <w:pPr>
              <w:pStyle w:val="43"/>
              <w:bidi w:val="0"/>
            </w:pPr>
            <w:r>
              <w:t>步行及驾车</w:t>
            </w:r>
          </w:p>
        </w:tc>
      </w:tr>
      <w:tr w14:paraId="387168E7">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30E9D76F">
            <w:pPr>
              <w:pStyle w:val="43"/>
              <w:bidi w:val="0"/>
            </w:pPr>
            <w:r>
              <w:t>第一次信息公示</w:t>
            </w:r>
          </w:p>
        </w:tc>
        <w:tc>
          <w:tcPr>
            <w:tcW w:w="2834" w:type="dxa"/>
            <w:tcBorders>
              <w:top w:val="single" w:color="auto" w:sz="4" w:space="0"/>
              <w:left w:val="nil"/>
              <w:bottom w:val="single" w:color="auto" w:sz="4" w:space="0"/>
              <w:right w:val="single" w:color="auto" w:sz="4" w:space="0"/>
            </w:tcBorders>
            <w:noWrap w:val="0"/>
            <w:vAlign w:val="center"/>
          </w:tcPr>
          <w:p w14:paraId="142A4236">
            <w:pPr>
              <w:pStyle w:val="43"/>
              <w:bidi w:val="0"/>
            </w:pPr>
            <w:r>
              <w:t>202</w:t>
            </w:r>
            <w:r>
              <w:rPr>
                <w:rFonts w:hint="eastAsia"/>
                <w:lang w:val="en-US" w:eastAsia="zh-CN"/>
              </w:rPr>
              <w:t>5</w:t>
            </w:r>
            <w:r>
              <w:rPr>
                <w:rFonts w:hint="eastAsia"/>
              </w:rPr>
              <w:t>年</w:t>
            </w:r>
            <w:r>
              <w:rPr>
                <w:rFonts w:hint="eastAsia"/>
                <w:lang w:val="en-US" w:eastAsia="zh-CN"/>
              </w:rPr>
              <w:t>8</w:t>
            </w:r>
            <w:r>
              <w:rPr>
                <w:rFonts w:hint="eastAsia"/>
              </w:rPr>
              <w:t>月</w:t>
            </w:r>
            <w:r>
              <w:rPr>
                <w:rFonts w:hint="eastAsia"/>
                <w:lang w:val="en-US" w:eastAsia="zh-CN"/>
              </w:rPr>
              <w:t>20</w:t>
            </w:r>
            <w:r>
              <w:rPr>
                <w:rFonts w:hint="eastAsia"/>
              </w:rPr>
              <w:t>日</w:t>
            </w:r>
            <w:r>
              <w:rPr>
                <w:rFonts w:hint="eastAsia"/>
                <w:lang w:eastAsia="zh-CN"/>
              </w:rPr>
              <w:t>—</w:t>
            </w:r>
            <w:r>
              <w:rPr>
                <w:rFonts w:hint="eastAsia"/>
                <w:lang w:val="en-US" w:eastAsia="zh-CN"/>
              </w:rPr>
              <w:t>9</w:t>
            </w:r>
            <w:r>
              <w:rPr>
                <w:rFonts w:hint="eastAsia"/>
              </w:rPr>
              <w:t>月</w:t>
            </w:r>
            <w:r>
              <w:rPr>
                <w:rFonts w:hint="eastAsia"/>
                <w:lang w:val="en-US" w:eastAsia="zh-CN"/>
              </w:rPr>
              <w:t>2</w:t>
            </w:r>
            <w:r>
              <w:rPr>
                <w:rFonts w:hint="eastAsia"/>
              </w:rPr>
              <w:t>日</w:t>
            </w:r>
          </w:p>
        </w:tc>
        <w:tc>
          <w:tcPr>
            <w:tcW w:w="3260" w:type="dxa"/>
            <w:tcBorders>
              <w:top w:val="single" w:color="auto" w:sz="4" w:space="0"/>
              <w:left w:val="nil"/>
              <w:bottom w:val="single" w:color="auto" w:sz="4" w:space="0"/>
              <w:right w:val="single" w:color="auto" w:sz="4" w:space="0"/>
            </w:tcBorders>
            <w:noWrap w:val="0"/>
            <w:vAlign w:val="center"/>
          </w:tcPr>
          <w:p w14:paraId="2BBF7B48">
            <w:pPr>
              <w:pStyle w:val="43"/>
              <w:bidi w:val="0"/>
            </w:pPr>
            <w:r>
              <w:rPr>
                <w:rFonts w:hint="eastAsia"/>
                <w:lang w:val="en-US" w:eastAsia="zh-CN"/>
              </w:rPr>
              <w:t>在砚山县人民政府网站进行</w:t>
            </w:r>
            <w:r>
              <w:t>网络公示</w:t>
            </w:r>
          </w:p>
        </w:tc>
      </w:tr>
      <w:tr w14:paraId="73DBB255">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right w:val="single" w:color="auto" w:sz="4" w:space="0"/>
            </w:tcBorders>
            <w:noWrap w:val="0"/>
            <w:vAlign w:val="center"/>
          </w:tcPr>
          <w:p w14:paraId="025D6653">
            <w:pPr>
              <w:pStyle w:val="43"/>
              <w:bidi w:val="0"/>
            </w:pPr>
            <w:r>
              <w:t>项目区环境质量现状调查及监测</w:t>
            </w:r>
          </w:p>
        </w:tc>
        <w:tc>
          <w:tcPr>
            <w:tcW w:w="2834" w:type="dxa"/>
            <w:tcBorders>
              <w:top w:val="single" w:color="auto" w:sz="4" w:space="0"/>
              <w:left w:val="nil"/>
              <w:bottom w:val="single" w:color="auto" w:sz="4" w:space="0"/>
              <w:right w:val="single" w:color="auto" w:sz="4" w:space="0"/>
            </w:tcBorders>
            <w:noWrap w:val="0"/>
            <w:vAlign w:val="center"/>
          </w:tcPr>
          <w:p w14:paraId="26042AAB">
            <w:pPr>
              <w:pStyle w:val="43"/>
              <w:bidi w:val="0"/>
            </w:pPr>
            <w:r>
              <w:t>202</w:t>
            </w:r>
            <w:r>
              <w:rPr>
                <w:rFonts w:hint="eastAsia"/>
                <w:lang w:val="en-US" w:eastAsia="zh-CN"/>
              </w:rPr>
              <w:t>5</w:t>
            </w:r>
            <w:r>
              <w:rPr>
                <w:rFonts w:hint="eastAsia"/>
              </w:rPr>
              <w:t>年</w:t>
            </w:r>
            <w:r>
              <w:rPr>
                <w:rFonts w:hint="eastAsia"/>
                <w:lang w:val="en-US" w:eastAsia="zh-CN"/>
              </w:rPr>
              <w:t>10</w:t>
            </w:r>
            <w:r>
              <w:rPr>
                <w:rFonts w:hint="eastAsia"/>
              </w:rPr>
              <w:t>月</w:t>
            </w:r>
            <w:r>
              <w:rPr>
                <w:rFonts w:hint="eastAsia"/>
                <w:lang w:val="en-US" w:eastAsia="zh-CN"/>
              </w:rPr>
              <w:t>23</w:t>
            </w:r>
            <w:r>
              <w:rPr>
                <w:rFonts w:hint="eastAsia"/>
              </w:rPr>
              <w:t>日</w:t>
            </w:r>
            <w:r>
              <w:rPr>
                <w:rFonts w:hint="eastAsia"/>
                <w:lang w:eastAsia="zh-CN"/>
              </w:rPr>
              <w:t>—</w:t>
            </w:r>
            <w:r>
              <w:rPr>
                <w:rFonts w:hint="eastAsia"/>
                <w:lang w:val="en-US" w:eastAsia="zh-CN"/>
              </w:rPr>
              <w:t>11</w:t>
            </w:r>
            <w:r>
              <w:rPr>
                <w:rFonts w:hint="eastAsia"/>
              </w:rPr>
              <w:t>月</w:t>
            </w:r>
            <w:r>
              <w:rPr>
                <w:rFonts w:hint="eastAsia"/>
                <w:lang w:val="en-US" w:eastAsia="zh-CN"/>
              </w:rPr>
              <w:t>2</w:t>
            </w:r>
            <w:r>
              <w:rPr>
                <w:rFonts w:hint="eastAsia"/>
              </w:rPr>
              <w:t>日</w:t>
            </w:r>
          </w:p>
        </w:tc>
        <w:tc>
          <w:tcPr>
            <w:tcW w:w="3260" w:type="dxa"/>
            <w:tcBorders>
              <w:top w:val="single" w:color="auto" w:sz="4" w:space="0"/>
              <w:left w:val="nil"/>
              <w:bottom w:val="single" w:color="auto" w:sz="4" w:space="0"/>
              <w:right w:val="single" w:color="auto" w:sz="4" w:space="0"/>
            </w:tcBorders>
            <w:noWrap w:val="0"/>
            <w:vAlign w:val="center"/>
          </w:tcPr>
          <w:p w14:paraId="4EDA980B">
            <w:pPr>
              <w:pStyle w:val="43"/>
              <w:bidi w:val="0"/>
              <w:rPr>
                <w:rFonts w:hint="eastAsia"/>
              </w:rPr>
            </w:pPr>
            <w:r>
              <w:t>委托</w:t>
            </w:r>
            <w:r>
              <w:rPr>
                <w:rFonts w:hint="eastAsia"/>
                <w:lang w:eastAsia="zh-CN"/>
              </w:rPr>
              <w:t>中博源检测（云南）</w:t>
            </w:r>
            <w:r>
              <w:rPr>
                <w:rFonts w:hint="default"/>
              </w:rPr>
              <w:t>有限公司</w:t>
            </w:r>
            <w:r>
              <w:rPr>
                <w:rFonts w:hint="eastAsia"/>
              </w:rPr>
              <w:t>对环境质量现状进行监测</w:t>
            </w:r>
          </w:p>
        </w:tc>
      </w:tr>
      <w:tr w14:paraId="2F967ED6">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179CF908">
            <w:pPr>
              <w:pStyle w:val="43"/>
              <w:bidi w:val="0"/>
            </w:pPr>
            <w:r>
              <w:t>环评报告（征求意见稿）编制</w:t>
            </w:r>
          </w:p>
        </w:tc>
        <w:tc>
          <w:tcPr>
            <w:tcW w:w="2834" w:type="dxa"/>
            <w:tcBorders>
              <w:top w:val="single" w:color="auto" w:sz="4" w:space="0"/>
              <w:left w:val="nil"/>
              <w:bottom w:val="single" w:color="auto" w:sz="4" w:space="0"/>
              <w:right w:val="single" w:color="auto" w:sz="4" w:space="0"/>
            </w:tcBorders>
            <w:noWrap w:val="0"/>
            <w:vAlign w:val="center"/>
          </w:tcPr>
          <w:p w14:paraId="152AC46F">
            <w:pPr>
              <w:pStyle w:val="43"/>
              <w:bidi w:val="0"/>
              <w:rPr>
                <w:rFonts w:hint="default" w:eastAsia="宋体"/>
                <w:lang w:val="en-US" w:eastAsia="zh-CN"/>
              </w:rPr>
            </w:pPr>
            <w:r>
              <w:rPr>
                <w:rFonts w:hint="eastAsia"/>
                <w:lang w:val="en-US" w:eastAsia="zh-CN"/>
              </w:rPr>
              <w:t>2025年9月1日—2026年6月4</w:t>
            </w:r>
            <w:r>
              <w:rPr>
                <w:rFonts w:hint="eastAsia"/>
              </w:rPr>
              <w:t>日</w:t>
            </w:r>
          </w:p>
        </w:tc>
        <w:tc>
          <w:tcPr>
            <w:tcW w:w="3260" w:type="dxa"/>
            <w:tcBorders>
              <w:top w:val="single" w:color="auto" w:sz="4" w:space="0"/>
              <w:left w:val="nil"/>
              <w:bottom w:val="single" w:color="auto" w:sz="4" w:space="0"/>
              <w:right w:val="single" w:color="auto" w:sz="4" w:space="0"/>
            </w:tcBorders>
            <w:noWrap w:val="0"/>
            <w:vAlign w:val="center"/>
          </w:tcPr>
          <w:p w14:paraId="0C9D55DF">
            <w:pPr>
              <w:pStyle w:val="43"/>
              <w:bidi w:val="0"/>
            </w:pPr>
            <w:r>
              <w:t>/</w:t>
            </w:r>
          </w:p>
        </w:tc>
      </w:tr>
      <w:tr w14:paraId="737081A0">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6BCBB160">
            <w:pPr>
              <w:pStyle w:val="43"/>
              <w:bidi w:val="0"/>
            </w:pPr>
            <w:r>
              <w:t>征求意见稿公示</w:t>
            </w:r>
          </w:p>
        </w:tc>
        <w:tc>
          <w:tcPr>
            <w:tcW w:w="2834" w:type="dxa"/>
            <w:tcBorders>
              <w:top w:val="single" w:color="auto" w:sz="4" w:space="0"/>
              <w:left w:val="nil"/>
              <w:bottom w:val="single" w:color="auto" w:sz="4" w:space="0"/>
              <w:right w:val="single" w:color="auto" w:sz="4" w:space="0"/>
            </w:tcBorders>
            <w:noWrap w:val="0"/>
            <w:vAlign w:val="center"/>
          </w:tcPr>
          <w:p w14:paraId="1D2EC724">
            <w:pPr>
              <w:pStyle w:val="43"/>
              <w:bidi w:val="0"/>
            </w:pPr>
          </w:p>
        </w:tc>
        <w:tc>
          <w:tcPr>
            <w:tcW w:w="3260" w:type="dxa"/>
            <w:tcBorders>
              <w:top w:val="single" w:color="auto" w:sz="4" w:space="0"/>
              <w:left w:val="nil"/>
              <w:bottom w:val="single" w:color="auto" w:sz="4" w:space="0"/>
              <w:right w:val="single" w:color="auto" w:sz="4" w:space="0"/>
            </w:tcBorders>
            <w:noWrap w:val="0"/>
            <w:vAlign w:val="center"/>
          </w:tcPr>
          <w:p w14:paraId="206BD5A3">
            <w:pPr>
              <w:pStyle w:val="43"/>
              <w:bidi w:val="0"/>
            </w:pPr>
          </w:p>
        </w:tc>
      </w:tr>
      <w:tr w14:paraId="4017D0DB">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7DCAE8FB">
            <w:pPr>
              <w:pStyle w:val="43"/>
              <w:bidi w:val="0"/>
            </w:pPr>
            <w:r>
              <w:rPr>
                <w:rFonts w:hint="eastAsia"/>
              </w:rPr>
              <w:t>环评报告（送审稿）编制</w:t>
            </w:r>
          </w:p>
        </w:tc>
        <w:tc>
          <w:tcPr>
            <w:tcW w:w="2834" w:type="dxa"/>
            <w:tcBorders>
              <w:top w:val="single" w:color="auto" w:sz="4" w:space="0"/>
              <w:left w:val="nil"/>
              <w:bottom w:val="single" w:color="auto" w:sz="4" w:space="0"/>
              <w:right w:val="single" w:color="auto" w:sz="4" w:space="0"/>
            </w:tcBorders>
            <w:noWrap w:val="0"/>
            <w:vAlign w:val="center"/>
          </w:tcPr>
          <w:p w14:paraId="08CFB64E">
            <w:pPr>
              <w:pStyle w:val="43"/>
              <w:bidi w:val="0"/>
            </w:pPr>
          </w:p>
        </w:tc>
        <w:tc>
          <w:tcPr>
            <w:tcW w:w="3260" w:type="dxa"/>
            <w:tcBorders>
              <w:top w:val="single" w:color="auto" w:sz="4" w:space="0"/>
              <w:left w:val="nil"/>
              <w:bottom w:val="single" w:color="auto" w:sz="4" w:space="0"/>
              <w:right w:val="single" w:color="auto" w:sz="4" w:space="0"/>
            </w:tcBorders>
            <w:noWrap w:val="0"/>
            <w:vAlign w:val="center"/>
          </w:tcPr>
          <w:p w14:paraId="58ACAF0E">
            <w:pPr>
              <w:pStyle w:val="43"/>
              <w:bidi w:val="0"/>
            </w:pPr>
            <w:r>
              <w:t>送审</w:t>
            </w:r>
          </w:p>
        </w:tc>
      </w:tr>
      <w:tr w14:paraId="353F809B">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1697BCB5">
            <w:pPr>
              <w:pStyle w:val="43"/>
              <w:bidi w:val="0"/>
              <w:rPr>
                <w:rFonts w:hint="eastAsia"/>
              </w:rPr>
            </w:pPr>
            <w:r>
              <w:rPr>
                <w:rFonts w:hint="eastAsia"/>
              </w:rPr>
              <w:t>项目评审</w:t>
            </w:r>
          </w:p>
        </w:tc>
        <w:tc>
          <w:tcPr>
            <w:tcW w:w="2834" w:type="dxa"/>
            <w:tcBorders>
              <w:top w:val="single" w:color="auto" w:sz="4" w:space="0"/>
              <w:left w:val="nil"/>
              <w:bottom w:val="single" w:color="auto" w:sz="4" w:space="0"/>
              <w:right w:val="single" w:color="auto" w:sz="4" w:space="0"/>
            </w:tcBorders>
            <w:noWrap w:val="0"/>
            <w:vAlign w:val="center"/>
          </w:tcPr>
          <w:p w14:paraId="250D44C2">
            <w:pPr>
              <w:pStyle w:val="43"/>
              <w:bidi w:val="0"/>
              <w:rPr>
                <w:rFonts w:hint="eastAsia"/>
              </w:rPr>
            </w:pPr>
          </w:p>
        </w:tc>
        <w:tc>
          <w:tcPr>
            <w:tcW w:w="3260" w:type="dxa"/>
            <w:tcBorders>
              <w:top w:val="single" w:color="auto" w:sz="4" w:space="0"/>
              <w:left w:val="nil"/>
              <w:bottom w:val="single" w:color="auto" w:sz="4" w:space="0"/>
              <w:right w:val="single" w:color="auto" w:sz="4" w:space="0"/>
            </w:tcBorders>
            <w:noWrap w:val="0"/>
            <w:vAlign w:val="center"/>
          </w:tcPr>
          <w:p w14:paraId="0DC5D5DC">
            <w:pPr>
              <w:pStyle w:val="43"/>
              <w:bidi w:val="0"/>
              <w:rPr>
                <w:rFonts w:hint="eastAsia"/>
              </w:rPr>
            </w:pPr>
            <w:r>
              <w:rPr>
                <w:rFonts w:hint="eastAsia"/>
              </w:rPr>
              <w:t>评审</w:t>
            </w:r>
          </w:p>
        </w:tc>
      </w:tr>
      <w:tr w14:paraId="07056C97">
        <w:tblPrEx>
          <w:tblCellMar>
            <w:top w:w="0" w:type="dxa"/>
            <w:left w:w="108" w:type="dxa"/>
            <w:bottom w:w="0" w:type="dxa"/>
            <w:right w:w="108" w:type="dxa"/>
          </w:tblCellMar>
        </w:tblPrEx>
        <w:trPr>
          <w:trHeight w:val="454" w:hRule="atLeast"/>
          <w:jc w:val="center"/>
        </w:trPr>
        <w:tc>
          <w:tcPr>
            <w:tcW w:w="2975" w:type="dxa"/>
            <w:tcBorders>
              <w:top w:val="single" w:color="auto" w:sz="4" w:space="0"/>
              <w:left w:val="single" w:color="auto" w:sz="4" w:space="0"/>
              <w:bottom w:val="single" w:color="auto" w:sz="4" w:space="0"/>
              <w:right w:val="single" w:color="auto" w:sz="4" w:space="0"/>
            </w:tcBorders>
            <w:noWrap w:val="0"/>
            <w:vAlign w:val="center"/>
          </w:tcPr>
          <w:p w14:paraId="4FDB11E5">
            <w:pPr>
              <w:pStyle w:val="43"/>
              <w:bidi w:val="0"/>
              <w:rPr>
                <w:rFonts w:hint="eastAsia"/>
              </w:rPr>
            </w:pPr>
            <w:r>
              <w:rPr>
                <w:rFonts w:hint="eastAsia"/>
              </w:rPr>
              <w:t>报告修改完善</w:t>
            </w:r>
          </w:p>
        </w:tc>
        <w:tc>
          <w:tcPr>
            <w:tcW w:w="2834" w:type="dxa"/>
            <w:tcBorders>
              <w:top w:val="single" w:color="auto" w:sz="4" w:space="0"/>
              <w:left w:val="nil"/>
              <w:bottom w:val="single" w:color="auto" w:sz="4" w:space="0"/>
              <w:right w:val="single" w:color="auto" w:sz="4" w:space="0"/>
            </w:tcBorders>
            <w:noWrap w:val="0"/>
            <w:vAlign w:val="center"/>
          </w:tcPr>
          <w:p w14:paraId="1E18683A">
            <w:pPr>
              <w:pStyle w:val="43"/>
              <w:bidi w:val="0"/>
              <w:rPr>
                <w:rFonts w:hint="eastAsia"/>
              </w:rPr>
            </w:pPr>
          </w:p>
        </w:tc>
        <w:tc>
          <w:tcPr>
            <w:tcW w:w="3260" w:type="dxa"/>
            <w:tcBorders>
              <w:top w:val="single" w:color="auto" w:sz="4" w:space="0"/>
              <w:left w:val="nil"/>
              <w:bottom w:val="single" w:color="auto" w:sz="4" w:space="0"/>
              <w:right w:val="single" w:color="auto" w:sz="4" w:space="0"/>
            </w:tcBorders>
            <w:noWrap w:val="0"/>
            <w:vAlign w:val="center"/>
          </w:tcPr>
          <w:p w14:paraId="350FDC02">
            <w:pPr>
              <w:pStyle w:val="43"/>
              <w:bidi w:val="0"/>
              <w:rPr>
                <w:rFonts w:hint="eastAsia"/>
              </w:rPr>
            </w:pPr>
            <w:r>
              <w:rPr>
                <w:rFonts w:hint="eastAsia"/>
              </w:rPr>
              <w:t>报批</w:t>
            </w:r>
          </w:p>
        </w:tc>
      </w:tr>
    </w:tbl>
    <w:p w14:paraId="578CFA2E">
      <w:pPr>
        <w:adjustRightInd w:val="0"/>
        <w:snapToGrid w:val="0"/>
        <w:spacing w:before="156" w:beforeLines="50" w:line="360" w:lineRule="auto"/>
        <w:outlineLvl w:val="1"/>
        <w:rPr>
          <w:b/>
          <w:sz w:val="32"/>
          <w:szCs w:val="32"/>
        </w:rPr>
      </w:pPr>
      <w:bookmarkStart w:id="14" w:name="_Toc23253"/>
      <w:r>
        <w:rPr>
          <w:rFonts w:hint="eastAsia"/>
          <w:b/>
          <w:sz w:val="32"/>
          <w:szCs w:val="32"/>
          <w:lang w:val="en-US" w:eastAsia="zh-CN"/>
        </w:rPr>
        <w:t>四、</w:t>
      </w:r>
      <w:r>
        <w:rPr>
          <w:b/>
          <w:sz w:val="32"/>
          <w:szCs w:val="32"/>
        </w:rPr>
        <w:t>分析判定相关情况</w:t>
      </w:r>
      <w:bookmarkEnd w:id="9"/>
      <w:bookmarkEnd w:id="10"/>
      <w:bookmarkEnd w:id="14"/>
    </w:p>
    <w:p w14:paraId="55E22185">
      <w:pPr>
        <w:pStyle w:val="41"/>
        <w:bidi w:val="0"/>
        <w:rPr>
          <w:b/>
          <w:bCs/>
        </w:rPr>
      </w:pPr>
      <w:bookmarkStart w:id="15" w:name="_Toc29346"/>
      <w:bookmarkStart w:id="16" w:name="_Toc51158119"/>
      <w:r>
        <w:rPr>
          <w:b/>
          <w:bCs/>
        </w:rPr>
        <w:t>（1）产业政策符合性</w:t>
      </w:r>
    </w:p>
    <w:p w14:paraId="5797EDDE">
      <w:pPr>
        <w:pStyle w:val="41"/>
        <w:bidi w:val="0"/>
      </w:pPr>
      <w:bookmarkStart w:id="17" w:name="bookmark522"/>
      <w:bookmarkEnd w:id="17"/>
      <w:r>
        <w:t>本项目属于《国民经济行业与代码》中其他未列明非金属矿采选（B1099）。项目未在《产业结构调整指导目录（2024年本）》鼓励类、限制类和淘汰类所列具体类别中，根据国务院《促进产业结构调整暂行规定》（国发〔2005〕40号）第十三条“不属于鼓励类、限制类及淘汰类，且符合国家有关</w:t>
      </w:r>
      <w:r>
        <w:rPr>
          <w:rFonts w:hint="eastAsia"/>
          <w:lang w:eastAsia="zh-CN"/>
        </w:rPr>
        <w:t>法律法规</w:t>
      </w:r>
      <w:r>
        <w:t>和政策规定的，可视为允许类”。</w:t>
      </w:r>
    </w:p>
    <w:p w14:paraId="2AD502E8">
      <w:pPr>
        <w:pStyle w:val="41"/>
        <w:bidi w:val="0"/>
      </w:pPr>
      <w:r>
        <w:t>项目生产设备、工艺及产品不在《部分工业行业淘汰落后生产工艺装备和产品指导目录（2010年本）》名录内；对照《云南省工业产业结构调整指导目录》（2014年本）内容，项目不属于该指导目录中的限制类、淘汰类。项目于2025年</w:t>
      </w:r>
      <w:r>
        <w:rPr>
          <w:rFonts w:hint="eastAsia"/>
          <w:lang w:val="en-US" w:eastAsia="zh-CN"/>
        </w:rPr>
        <w:t>9</w:t>
      </w:r>
      <w:r>
        <w:t>月</w:t>
      </w:r>
      <w:r>
        <w:rPr>
          <w:rFonts w:hint="eastAsia"/>
          <w:lang w:val="en-US" w:eastAsia="zh-CN"/>
        </w:rPr>
        <w:t>5</w:t>
      </w:r>
      <w:r>
        <w:t>日取得</w:t>
      </w:r>
      <w:r>
        <w:rPr>
          <w:rFonts w:hint="eastAsia"/>
          <w:lang w:val="en-US" w:eastAsia="zh-CN"/>
        </w:rPr>
        <w:t>砚山县</w:t>
      </w:r>
      <w:r>
        <w:t>发展和改革局的立项备案，项目代码：</w:t>
      </w:r>
      <w:r>
        <w:rPr>
          <w:rFonts w:hint="eastAsia"/>
          <w:lang w:eastAsia="zh-CN"/>
        </w:rPr>
        <w:t>2509-532622-04-02-662685</w:t>
      </w:r>
      <w:r>
        <w:t>。综上所述，项目符合国家及地方产业政策。</w:t>
      </w:r>
    </w:p>
    <w:p w14:paraId="4149BCEE">
      <w:pPr>
        <w:pStyle w:val="41"/>
        <w:bidi w:val="0"/>
        <w:rPr>
          <w:b/>
          <w:bCs/>
        </w:rPr>
      </w:pPr>
      <w:r>
        <w:rPr>
          <w:b/>
          <w:bCs/>
        </w:rPr>
        <w:t>（2）“三线一单”符合性</w:t>
      </w:r>
    </w:p>
    <w:p w14:paraId="5BCF81ED">
      <w:pPr>
        <w:pStyle w:val="41"/>
        <w:bidi w:val="0"/>
      </w:pPr>
      <w:r>
        <w:t>根据分析，项目符合《</w:t>
      </w:r>
      <w:r>
        <w:rPr>
          <w:rFonts w:hint="eastAsia"/>
          <w:lang w:val="en-US" w:eastAsia="zh-CN"/>
        </w:rPr>
        <w:t>文山州</w:t>
      </w:r>
      <w:r>
        <w:t>生态环境分区管控动态更新调整方案（2023年）》中的要求。</w:t>
      </w:r>
    </w:p>
    <w:p w14:paraId="330E9D5B">
      <w:pPr>
        <w:pStyle w:val="41"/>
        <w:bidi w:val="0"/>
        <w:rPr>
          <w:b/>
          <w:bCs/>
        </w:rPr>
      </w:pPr>
      <w:r>
        <w:rPr>
          <w:b/>
          <w:bCs/>
        </w:rPr>
        <w:t>（3）区域生态建设规划的协调性判定</w:t>
      </w:r>
    </w:p>
    <w:p w14:paraId="3DA54B25">
      <w:pPr>
        <w:pStyle w:val="41"/>
        <w:bidi w:val="0"/>
      </w:pPr>
      <w:r>
        <w:t>通过分析，项目符合《云南省主体功能区规划》《云南省生态功能区划》《云南省生物多样性保护战略与行动计划（2012-2030年）》等区域生态建设规划。</w:t>
      </w:r>
    </w:p>
    <w:p w14:paraId="6EFEC572">
      <w:pPr>
        <w:pStyle w:val="41"/>
        <w:bidi w:val="0"/>
        <w:rPr>
          <w:b/>
          <w:bCs/>
        </w:rPr>
      </w:pPr>
      <w:r>
        <w:rPr>
          <w:b/>
          <w:bCs/>
        </w:rPr>
        <w:t>（4）区域“非煤矿山”转型升级以及土砂石开采相关政策符合性</w:t>
      </w:r>
    </w:p>
    <w:p w14:paraId="008A0EBB">
      <w:pPr>
        <w:pStyle w:val="41"/>
        <w:bidi w:val="0"/>
      </w:pPr>
      <w:r>
        <w:t>通过分析，项目符合《云南省人民政府关于促进非煤矿山转型升级的实施意见》（云政发〔2015〕38号）、《云南省环境保护厅关于加强砂石开采行业环境监管工作的通知》（云环通〔2016〕172号）、《云南省人民政府办公厅关于印发〈云南省全面加强非煤矿山安全生产工作若干措施〉的通知》（云政办发〔2024〕44号）。</w:t>
      </w:r>
    </w:p>
    <w:p w14:paraId="0FED744A">
      <w:pPr>
        <w:pStyle w:val="41"/>
        <w:bidi w:val="0"/>
        <w:rPr>
          <w:b/>
          <w:bCs/>
        </w:rPr>
      </w:pPr>
      <w:r>
        <w:rPr>
          <w:b/>
          <w:bCs/>
        </w:rPr>
        <w:t>（5）矿区规划的符合性</w:t>
      </w:r>
    </w:p>
    <w:p w14:paraId="22DC1B88">
      <w:pPr>
        <w:pStyle w:val="41"/>
        <w:bidi w:val="0"/>
      </w:pPr>
      <w:r>
        <w:t>通过分析，项目符合《云南省矿产资源总体规划（2021-2025年）》《云南省矿产资源总体规划（2021-2025年）环境影响报告书》《</w:t>
      </w:r>
      <w:r>
        <w:rPr>
          <w:rFonts w:hint="eastAsia"/>
        </w:rPr>
        <w:t>文山州矿产资源总体规划（2021—2025年）</w:t>
      </w:r>
      <w:r>
        <w:t>（2021-2025）》《砚山县矿产资源总体规划（2021—2025年）》。</w:t>
      </w:r>
    </w:p>
    <w:p w14:paraId="6A61D621">
      <w:pPr>
        <w:pStyle w:val="41"/>
        <w:bidi w:val="0"/>
        <w:rPr>
          <w:b/>
          <w:bCs/>
        </w:rPr>
      </w:pPr>
      <w:r>
        <w:rPr>
          <w:b/>
          <w:bCs/>
        </w:rPr>
        <w:t>（6）其他相关法律法规、政策符合性</w:t>
      </w:r>
    </w:p>
    <w:p w14:paraId="4B59662E">
      <w:pPr>
        <w:pStyle w:val="41"/>
        <w:bidi w:val="0"/>
      </w:pPr>
      <w:r>
        <w:t>经过分析，项目建设符合“打赢蓝天保卫战三年行动计划</w:t>
      </w:r>
      <w:r>
        <w:rPr>
          <w:rFonts w:hint="eastAsia"/>
          <w:lang w:eastAsia="zh-CN"/>
        </w:rPr>
        <w:t>”“</w:t>
      </w:r>
      <w:r>
        <w:t>土十条</w:t>
      </w:r>
      <w:r>
        <w:rPr>
          <w:rFonts w:hint="eastAsia"/>
          <w:lang w:eastAsia="zh-CN"/>
        </w:rPr>
        <w:t>”“</w:t>
      </w:r>
      <w:r>
        <w:t>水十条”；符合《矿山生态环境保护与污染防治技术政策》（环发〔2005〕109号）；《云南省工业固体废物和重金属污染防治</w:t>
      </w:r>
      <w:r>
        <w:rPr>
          <w:rFonts w:hint="eastAsia"/>
          <w:lang w:eastAsia="zh-CN"/>
        </w:rPr>
        <w:t>“十四五”规划</w:t>
      </w:r>
      <w:r>
        <w:t>》《云南省土壤、地下水污染防治“十四五”规划》等“十四五”规划；符合《长江经济带发展负面清单指南》等长江经济带保护政策；符合《中华人民共和国水污染防治法》等相关法律；选址可行，平面布置合理。</w:t>
      </w:r>
    </w:p>
    <w:p w14:paraId="026594E7">
      <w:pPr>
        <w:adjustRightInd w:val="0"/>
        <w:snapToGrid w:val="0"/>
        <w:spacing w:before="156" w:beforeLines="50" w:line="360" w:lineRule="auto"/>
        <w:outlineLvl w:val="1"/>
        <w:rPr>
          <w:b/>
          <w:sz w:val="32"/>
          <w:szCs w:val="32"/>
        </w:rPr>
      </w:pPr>
      <w:bookmarkStart w:id="18" w:name="_Toc12667"/>
      <w:r>
        <w:rPr>
          <w:rFonts w:hint="eastAsia"/>
          <w:b/>
          <w:sz w:val="32"/>
          <w:szCs w:val="32"/>
          <w:lang w:val="en-US" w:eastAsia="zh-CN"/>
        </w:rPr>
        <w:t>五、</w:t>
      </w:r>
      <w:r>
        <w:rPr>
          <w:b/>
          <w:sz w:val="32"/>
          <w:szCs w:val="32"/>
        </w:rPr>
        <w:t>关注的主要环境问题及环境影响</w:t>
      </w:r>
      <w:bookmarkEnd w:id="15"/>
      <w:bookmarkEnd w:id="16"/>
      <w:bookmarkEnd w:id="18"/>
    </w:p>
    <w:p w14:paraId="1C9D3523">
      <w:pPr>
        <w:pStyle w:val="41"/>
        <w:bidi w:val="0"/>
      </w:pPr>
      <w:r>
        <w:t>本次评价主要关注的环境问题有：</w:t>
      </w:r>
    </w:p>
    <w:p w14:paraId="3BB244AC">
      <w:pPr>
        <w:pStyle w:val="41"/>
        <w:bidi w:val="0"/>
      </w:pPr>
      <w:bookmarkStart w:id="19" w:name="_Toc51158120"/>
      <w:bookmarkStart w:id="20" w:name="_Toc29672"/>
      <w:r>
        <w:rPr>
          <w:rFonts w:hint="eastAsia"/>
          <w:lang w:val="en-US" w:eastAsia="zh-CN"/>
        </w:rPr>
        <w:t>施工期：关注的主要环境问题是设备拆除及安装过程中，产生的扬尘、噪声、施工人员产生的少量生活污水及生产废水等环境影响。</w:t>
      </w:r>
    </w:p>
    <w:p w14:paraId="5D76F20F">
      <w:pPr>
        <w:pStyle w:val="41"/>
        <w:bidi w:val="0"/>
      </w:pPr>
      <w:r>
        <w:rPr>
          <w:rFonts w:hint="eastAsia"/>
          <w:lang w:val="en-US" w:eastAsia="zh-CN"/>
        </w:rPr>
        <w:t>营运期：营运期重点关注粉尘、噪声及生态保护。矿山开采及砂石加工产生的粉尘产污节点较多，需针对不同排放形式分别采取环保措施，减少粉尘污染。矿山开采过程中做好生态保护措施，矿区四周应设置截排水沟及沉淀池，以减少水土流失。</w:t>
      </w:r>
    </w:p>
    <w:p w14:paraId="6D42B718">
      <w:pPr>
        <w:pStyle w:val="41"/>
        <w:bidi w:val="0"/>
      </w:pPr>
      <w:r>
        <w:rPr>
          <w:rFonts w:hint="eastAsia"/>
          <w:lang w:val="en-US" w:eastAsia="zh-CN"/>
        </w:rPr>
        <w:t>闭矿期：闭矿期主要关注问题为生态恢复。矿山闭矿后，需对采空区进行土地复垦，生态恢复，因生产破坏山体而造成对植被、动物、景观等生态环境要素的不利影响逐渐消失。</w:t>
      </w:r>
    </w:p>
    <w:p w14:paraId="0180CD5C">
      <w:pPr>
        <w:adjustRightInd w:val="0"/>
        <w:snapToGrid w:val="0"/>
        <w:spacing w:before="156" w:beforeLines="50" w:line="360" w:lineRule="auto"/>
        <w:outlineLvl w:val="1"/>
        <w:rPr>
          <w:b/>
          <w:sz w:val="32"/>
          <w:szCs w:val="32"/>
        </w:rPr>
      </w:pPr>
      <w:bookmarkStart w:id="21" w:name="_Toc26055"/>
      <w:r>
        <w:rPr>
          <w:rFonts w:hint="eastAsia"/>
          <w:b/>
          <w:sz w:val="32"/>
          <w:szCs w:val="32"/>
          <w:lang w:val="en-US" w:eastAsia="zh-CN"/>
        </w:rPr>
        <w:t>六、</w:t>
      </w:r>
      <w:r>
        <w:rPr>
          <w:b/>
          <w:sz w:val="32"/>
          <w:szCs w:val="32"/>
        </w:rPr>
        <w:t>环境影响评价主要结论</w:t>
      </w:r>
      <w:bookmarkEnd w:id="19"/>
      <w:bookmarkEnd w:id="20"/>
      <w:bookmarkEnd w:id="21"/>
    </w:p>
    <w:p w14:paraId="0FA046B6">
      <w:pPr>
        <w:pStyle w:val="41"/>
        <w:bidi w:val="0"/>
      </w:pPr>
      <w:r>
        <w:t>综上所述，项目在建设和运行中，应落实本环评报告提出的有关污染防治对策和措施，降低其不利影响。建设单位在严格落实本报告书提出的各项环保措施、风险防控措施前提下，从环境影响角度出发，本项目的选址是合理的、建设是可行的。</w:t>
      </w:r>
    </w:p>
    <w:p w14:paraId="3D8A9951">
      <w:pPr>
        <w:pStyle w:val="41"/>
        <w:bidi w:val="0"/>
      </w:pPr>
    </w:p>
    <w:p w14:paraId="35D78C16">
      <w:pPr>
        <w:pStyle w:val="41"/>
        <w:bidi w:val="0"/>
        <w:rPr>
          <w:rFonts w:hint="eastAsia"/>
          <w:lang w:val="en-US" w:eastAsia="zh-CN"/>
        </w:rPr>
      </w:pPr>
    </w:p>
    <w:p w14:paraId="028360C4">
      <w:pPr>
        <w:rPr>
          <w:sz w:val="24"/>
        </w:rPr>
      </w:pPr>
    </w:p>
    <w:p w14:paraId="5AC0099C">
      <w:pPr>
        <w:rPr>
          <w:sz w:val="24"/>
        </w:rPr>
      </w:pPr>
    </w:p>
    <w:p w14:paraId="268F2BE1">
      <w:pPr>
        <w:rPr>
          <w:sz w:val="24"/>
        </w:rPr>
      </w:pPr>
    </w:p>
    <w:p w14:paraId="31553A70">
      <w:pPr>
        <w:rPr>
          <w:sz w:val="24"/>
        </w:rPr>
      </w:pPr>
    </w:p>
    <w:p w14:paraId="43FC292D">
      <w:pPr>
        <w:rPr>
          <w:sz w:val="24"/>
        </w:rPr>
      </w:pPr>
    </w:p>
    <w:p w14:paraId="79FFFEAF">
      <w:pPr>
        <w:pStyle w:val="2"/>
        <w:bidi w:val="0"/>
        <w:ind w:left="432" w:leftChars="0" w:hanging="432" w:firstLineChars="0"/>
        <w:rPr>
          <w:rFonts w:hint="default"/>
          <w:lang w:val="en-US" w:eastAsia="zh-CN"/>
        </w:rPr>
      </w:pPr>
      <w:bookmarkStart w:id="22" w:name="_Toc1497"/>
      <w:bookmarkStart w:id="23" w:name="_Toc32215"/>
      <w:bookmarkStart w:id="24" w:name="_Toc26637"/>
      <w:r>
        <w:rPr>
          <w:rFonts w:hint="default"/>
          <w:lang w:val="en-US" w:eastAsia="zh-CN"/>
        </w:rPr>
        <w:t>总则</w:t>
      </w:r>
      <w:bookmarkEnd w:id="22"/>
      <w:bookmarkEnd w:id="23"/>
    </w:p>
    <w:bookmarkEnd w:id="24"/>
    <w:p w14:paraId="120C460F">
      <w:pPr>
        <w:pStyle w:val="3"/>
        <w:bidi w:val="0"/>
        <w:ind w:left="575" w:leftChars="0" w:hanging="575" w:firstLineChars="0"/>
        <w:rPr>
          <w:rFonts w:hint="default"/>
        </w:rPr>
      </w:pPr>
      <w:bookmarkStart w:id="25" w:name="_Toc5344"/>
      <w:bookmarkStart w:id="26" w:name="_Toc32175"/>
      <w:r>
        <w:rPr>
          <w:rFonts w:hint="default"/>
        </w:rPr>
        <w:t>编制依据</w:t>
      </w:r>
      <w:bookmarkEnd w:id="25"/>
      <w:bookmarkEnd w:id="26"/>
    </w:p>
    <w:p w14:paraId="4CDDC814">
      <w:pPr>
        <w:pStyle w:val="4"/>
        <w:bidi w:val="0"/>
        <w:rPr>
          <w:rFonts w:hint="default"/>
        </w:rPr>
      </w:pPr>
      <w:bookmarkStart w:id="27" w:name="_Toc15614"/>
      <w:bookmarkStart w:id="28" w:name="_Toc8507"/>
      <w:r>
        <w:rPr>
          <w:rFonts w:hint="default"/>
        </w:rPr>
        <w:t>国家相关法律法规</w:t>
      </w:r>
      <w:bookmarkEnd w:id="27"/>
      <w:bookmarkEnd w:id="28"/>
    </w:p>
    <w:p w14:paraId="30AEB7E5">
      <w:pPr>
        <w:pStyle w:val="41"/>
        <w:bidi w:val="0"/>
      </w:pPr>
      <w:bookmarkStart w:id="29" w:name="_Toc18472"/>
      <w:r>
        <w:t>（1）《中华人民共和国环境保护法》（全国人大常委会，2015年1月1日修订）；</w:t>
      </w:r>
    </w:p>
    <w:p w14:paraId="7D66D4C7">
      <w:pPr>
        <w:pStyle w:val="41"/>
        <w:bidi w:val="0"/>
      </w:pPr>
      <w:r>
        <w:t>（2）《中华人民共和国环境影响评价法》（2018年12月29日修订）；</w:t>
      </w:r>
    </w:p>
    <w:p w14:paraId="2656FF74">
      <w:pPr>
        <w:pStyle w:val="41"/>
        <w:bidi w:val="0"/>
      </w:pPr>
      <w:r>
        <w:t>（3）《中华人民共和国水法》（2016年7月2日修订）；</w:t>
      </w:r>
    </w:p>
    <w:p w14:paraId="6F1221C4">
      <w:pPr>
        <w:pStyle w:val="41"/>
        <w:bidi w:val="0"/>
      </w:pPr>
      <w:r>
        <w:t>（4）《中华人民共和国水污染防治法》（2017年6月27日修正）；</w:t>
      </w:r>
    </w:p>
    <w:p w14:paraId="47B9EA0D">
      <w:pPr>
        <w:pStyle w:val="41"/>
        <w:bidi w:val="0"/>
      </w:pPr>
      <w:r>
        <w:t>（5）《中华人民共和国大气污染防治法》（2018年10月26日修正）；</w:t>
      </w:r>
    </w:p>
    <w:p w14:paraId="44DD76C9">
      <w:pPr>
        <w:pStyle w:val="41"/>
        <w:bidi w:val="0"/>
      </w:pPr>
      <w:r>
        <w:t>（6）《中华人民共和国环境噪声污染防治法》（2021年12月24日修正）；</w:t>
      </w:r>
    </w:p>
    <w:p w14:paraId="60686633">
      <w:pPr>
        <w:pStyle w:val="41"/>
        <w:bidi w:val="0"/>
      </w:pPr>
      <w:r>
        <w:t>（7）《中华人民共和国固体废物污染环境防治法》（2020年4月29日修订）；</w:t>
      </w:r>
    </w:p>
    <w:p w14:paraId="6A1270B8">
      <w:pPr>
        <w:pStyle w:val="41"/>
        <w:bidi w:val="0"/>
      </w:pPr>
      <w:r>
        <w:t>（8）《中华人民共和国土壤污染防治法》（2018年8月31日修订）；</w:t>
      </w:r>
    </w:p>
    <w:p w14:paraId="4D2E4DA2">
      <w:pPr>
        <w:pStyle w:val="41"/>
        <w:bidi w:val="0"/>
      </w:pPr>
      <w:r>
        <w:t>（9）《中华人民共和国森林法》（2019年12月28日修订）；</w:t>
      </w:r>
    </w:p>
    <w:p w14:paraId="5C9239A4">
      <w:pPr>
        <w:pStyle w:val="41"/>
        <w:bidi w:val="0"/>
      </w:pPr>
      <w:r>
        <w:t>（10）《中华人民共和国农业法》（2012年12月28日修正）；</w:t>
      </w:r>
    </w:p>
    <w:p w14:paraId="08F50303">
      <w:pPr>
        <w:pStyle w:val="41"/>
        <w:bidi w:val="0"/>
      </w:pPr>
      <w:r>
        <w:t>（11）《中华人民共和国水土保持法》（2010年12月25日修订）；</w:t>
      </w:r>
    </w:p>
    <w:p w14:paraId="4C728F01">
      <w:pPr>
        <w:pStyle w:val="41"/>
        <w:bidi w:val="0"/>
      </w:pPr>
      <w:r>
        <w:t>（12）《中华人民共和国土地管理法》（2019年8月26日修正）；</w:t>
      </w:r>
    </w:p>
    <w:p w14:paraId="696D1194">
      <w:pPr>
        <w:pStyle w:val="41"/>
        <w:bidi w:val="0"/>
      </w:pPr>
      <w:r>
        <w:t>（13）《中华人民共和国城乡规划法》（2019年4月23日修正）；</w:t>
      </w:r>
    </w:p>
    <w:p w14:paraId="13C9E666">
      <w:pPr>
        <w:pStyle w:val="41"/>
        <w:bidi w:val="0"/>
      </w:pPr>
      <w:r>
        <w:t>（14）《中华人民共和国野生动物保护法》（2022年12月30日修订）；</w:t>
      </w:r>
    </w:p>
    <w:p w14:paraId="45B0D1CD">
      <w:pPr>
        <w:pStyle w:val="41"/>
        <w:bidi w:val="0"/>
      </w:pPr>
      <w:r>
        <w:t>（15）《中华人民共和国陆生野生动物保护实施条例》（2016年2月6日修订）；</w:t>
      </w:r>
    </w:p>
    <w:p w14:paraId="421A5762">
      <w:pPr>
        <w:pStyle w:val="41"/>
        <w:bidi w:val="0"/>
      </w:pPr>
      <w:r>
        <w:t>（16）《中华人民共和国野生植物保护条例》（2017年10月7日修订后实施）；</w:t>
      </w:r>
    </w:p>
    <w:p w14:paraId="00463112">
      <w:pPr>
        <w:pStyle w:val="41"/>
        <w:bidi w:val="0"/>
      </w:pPr>
      <w:r>
        <w:t>（17）《土地复垦条例》（国务院令第592号，2011年3月5日）；</w:t>
      </w:r>
    </w:p>
    <w:p w14:paraId="0274C056">
      <w:pPr>
        <w:pStyle w:val="41"/>
        <w:bidi w:val="0"/>
      </w:pPr>
      <w:r>
        <w:t>（18）《中华人民共和国森林法实施条例》（2018年3月修订）；</w:t>
      </w:r>
    </w:p>
    <w:p w14:paraId="2B00A526">
      <w:pPr>
        <w:pStyle w:val="41"/>
        <w:bidi w:val="0"/>
      </w:pPr>
      <w:r>
        <w:t>（19）《中华人民共和国水土保持法实施条例》（2011修订）（国务院令第588号，2011年1月8日发布）；</w:t>
      </w:r>
    </w:p>
    <w:p w14:paraId="0EAEF365">
      <w:pPr>
        <w:pStyle w:val="41"/>
        <w:bidi w:val="0"/>
      </w:pPr>
      <w:r>
        <w:t>（20）《森林防火条例》（国务院令第541号，</w:t>
      </w:r>
      <w:r>
        <w:rPr>
          <w:rFonts w:hint="eastAsia"/>
          <w:lang w:eastAsia="zh-CN"/>
        </w:rPr>
        <w:t>2008年12月1日</w:t>
      </w:r>
      <w:r>
        <w:t>发布）；</w:t>
      </w:r>
    </w:p>
    <w:p w14:paraId="78C9FE27">
      <w:pPr>
        <w:pStyle w:val="41"/>
        <w:bidi w:val="0"/>
      </w:pPr>
      <w:bookmarkStart w:id="30" w:name="bookmark525"/>
      <w:bookmarkEnd w:id="30"/>
      <w:r>
        <w:t>（21）《县域陆生哺乳动物多样性调查与评估技术规定》（环境保护部公告2017年第84号）；</w:t>
      </w:r>
    </w:p>
    <w:p w14:paraId="0E767756">
      <w:pPr>
        <w:pStyle w:val="41"/>
        <w:bidi w:val="0"/>
      </w:pPr>
      <w:r>
        <w:t>（22）《国家林业局关于印发</w:t>
      </w:r>
      <w:r>
        <w:rPr>
          <w:rFonts w:hint="eastAsia"/>
          <w:lang w:eastAsia="zh-CN"/>
        </w:rPr>
        <w:t>〈</w:t>
      </w:r>
      <w:r>
        <w:t>天然林资源保护工程森林管护管理办法</w:t>
      </w:r>
      <w:r>
        <w:rPr>
          <w:rFonts w:hint="eastAsia"/>
          <w:lang w:eastAsia="zh-CN"/>
        </w:rPr>
        <w:t>〉</w:t>
      </w:r>
      <w:r>
        <w:t xml:space="preserve"> 的通知》（林天发〔2012〕33号）；</w:t>
      </w:r>
    </w:p>
    <w:p w14:paraId="052981C3">
      <w:pPr>
        <w:pStyle w:val="41"/>
        <w:bidi w:val="0"/>
      </w:pPr>
      <w:r>
        <w:t>（23）《土地复垦条例实施办法》（2019年7月24日起施行）；</w:t>
      </w:r>
    </w:p>
    <w:p w14:paraId="00AE98EA">
      <w:pPr>
        <w:pStyle w:val="41"/>
        <w:bidi w:val="0"/>
      </w:pPr>
      <w:r>
        <w:t>（24）《矿山生态环境保护与污染防治技术政策》（环发〔2005〕109号）；</w:t>
      </w:r>
    </w:p>
    <w:p w14:paraId="007BA4ED">
      <w:pPr>
        <w:pStyle w:val="41"/>
        <w:bidi w:val="0"/>
      </w:pPr>
      <w:r>
        <w:t>（25）《环境影响评价公众参与办法》（2019年1月1日起施行）；</w:t>
      </w:r>
    </w:p>
    <w:p w14:paraId="67BE90CC">
      <w:pPr>
        <w:pStyle w:val="41"/>
        <w:bidi w:val="0"/>
      </w:pPr>
      <w:r>
        <w:t>（26）《关于进一步加强环境影响评价管理防范环境风险的通知》（环发（2012）</w:t>
      </w:r>
    </w:p>
    <w:p w14:paraId="30DD26EA">
      <w:pPr>
        <w:pStyle w:val="41"/>
        <w:bidi w:val="0"/>
      </w:pPr>
      <w:r>
        <w:t>77号）；</w:t>
      </w:r>
    </w:p>
    <w:p w14:paraId="1475D68D">
      <w:pPr>
        <w:pStyle w:val="41"/>
        <w:bidi w:val="0"/>
      </w:pPr>
      <w:r>
        <w:t>（27）《国务院关于印发大气污染防治行动计划的通知》（国发〔2013〕37号），2013年9月10日；</w:t>
      </w:r>
    </w:p>
    <w:p w14:paraId="22FD7B1D">
      <w:pPr>
        <w:pStyle w:val="41"/>
        <w:bidi w:val="0"/>
      </w:pPr>
      <w:r>
        <w:t>（28）《国务院关于印发水污染防治行动计划的通知》（国发〔2015〕17号），2015年4月2日；</w:t>
      </w:r>
    </w:p>
    <w:p w14:paraId="71B47027">
      <w:pPr>
        <w:pStyle w:val="41"/>
        <w:bidi w:val="0"/>
      </w:pPr>
      <w:r>
        <w:t>（29）《国务院关于印发土壤污染防治行动计划的通知》（国发〔2016〕31号），2016年5月28日；</w:t>
      </w:r>
    </w:p>
    <w:p w14:paraId="446D0C16">
      <w:pPr>
        <w:pStyle w:val="41"/>
        <w:bidi w:val="0"/>
      </w:pPr>
      <w:r>
        <w:t>（30）推动长江经济带发展领导小组办公室关于印发《长江经济带发展负面清单指南（试行，2022年版）》的通知（长江办〔2022〕7号），2022年1月19日；</w:t>
      </w:r>
    </w:p>
    <w:p w14:paraId="63AE694E">
      <w:pPr>
        <w:pStyle w:val="41"/>
        <w:bidi w:val="0"/>
        <w:rPr>
          <w:rFonts w:ascii="宋体" w:hAnsi="宋体" w:eastAsia="宋体" w:cs="宋体"/>
          <w:szCs w:val="24"/>
        </w:rPr>
      </w:pPr>
      <w:r>
        <w:t>（31）《地下水管理条例》（国务院第149次常务会议通过），2021年12</w:t>
      </w:r>
      <w:r>
        <w:rPr>
          <w:rFonts w:ascii="宋体" w:hAnsi="宋体" w:eastAsia="宋体" w:cs="宋体"/>
          <w:spacing w:val="-14"/>
          <w:szCs w:val="24"/>
        </w:rPr>
        <w:t>月</w:t>
      </w:r>
      <w:r>
        <w:rPr>
          <w:rFonts w:ascii="Times New Roman" w:hAnsi="Times New Roman" w:eastAsia="Times New Roman" w:cs="Times New Roman"/>
          <w:spacing w:val="-14"/>
          <w:szCs w:val="24"/>
        </w:rPr>
        <w:t>1</w:t>
      </w:r>
      <w:r>
        <w:rPr>
          <w:rFonts w:ascii="宋体" w:hAnsi="宋体" w:eastAsia="宋体" w:cs="宋体"/>
          <w:spacing w:val="-14"/>
          <w:szCs w:val="24"/>
        </w:rPr>
        <w:t>日起施行。</w:t>
      </w:r>
    </w:p>
    <w:p w14:paraId="405F373A">
      <w:pPr>
        <w:pStyle w:val="4"/>
        <w:bidi w:val="0"/>
        <w:rPr>
          <w:rFonts w:hint="default"/>
        </w:rPr>
      </w:pPr>
      <w:bookmarkStart w:id="31" w:name="_Toc7131"/>
      <w:r>
        <w:rPr>
          <w:rFonts w:hint="default"/>
        </w:rPr>
        <w:t>国务院及直属部门规章与规范性文件</w:t>
      </w:r>
      <w:bookmarkEnd w:id="29"/>
      <w:bookmarkEnd w:id="31"/>
    </w:p>
    <w:p w14:paraId="0A8C368D">
      <w:pPr>
        <w:pStyle w:val="41"/>
        <w:bidi w:val="0"/>
        <w:rPr>
          <w:rFonts w:hint="default"/>
        </w:rPr>
      </w:pPr>
      <w:r>
        <w:rPr>
          <w:rFonts w:hint="default"/>
        </w:rPr>
        <w:t>（1）《建设项目环境保护管理条例》</w:t>
      </w:r>
      <w:r>
        <w:rPr>
          <w:rFonts w:hint="eastAsia"/>
          <w:lang w:eastAsia="zh-CN"/>
        </w:rPr>
        <w:t>（</w:t>
      </w:r>
      <w:r>
        <w:rPr>
          <w:rFonts w:hint="default"/>
        </w:rPr>
        <w:t>国务院令682号</w:t>
      </w:r>
      <w:r>
        <w:rPr>
          <w:rFonts w:hint="eastAsia"/>
          <w:lang w:eastAsia="zh-CN"/>
        </w:rPr>
        <w:t>）</w:t>
      </w:r>
      <w:r>
        <w:rPr>
          <w:rFonts w:hint="default"/>
        </w:rPr>
        <w:t>，2017.10.1；</w:t>
      </w:r>
    </w:p>
    <w:p w14:paraId="236585AD">
      <w:pPr>
        <w:pStyle w:val="41"/>
        <w:bidi w:val="0"/>
        <w:rPr>
          <w:rFonts w:hint="default"/>
        </w:rPr>
      </w:pPr>
      <w:r>
        <w:rPr>
          <w:rFonts w:hint="eastAsia"/>
          <w:lang w:val="en-US" w:eastAsia="zh-CN"/>
        </w:rPr>
        <w:t>（2）</w:t>
      </w:r>
      <w:r>
        <w:rPr>
          <w:rFonts w:hint="default"/>
          <w:lang w:val="en-US" w:eastAsia="zh-CN"/>
        </w:rPr>
        <w:t>《全国主体功能区规划》，2010年12月21日发布；</w:t>
      </w:r>
    </w:p>
    <w:p w14:paraId="659B74BE">
      <w:pPr>
        <w:pStyle w:val="41"/>
        <w:bidi w:val="0"/>
        <w:rPr>
          <w:rFonts w:hint="default"/>
        </w:rPr>
      </w:pPr>
      <w:r>
        <w:rPr>
          <w:rFonts w:hint="default"/>
        </w:rPr>
        <w:t>（3）《产业结构调整指导目录（</w:t>
      </w:r>
      <w:r>
        <w:rPr>
          <w:rFonts w:hint="default"/>
          <w:lang w:val="en-US" w:eastAsia="zh-CN"/>
        </w:rPr>
        <w:t>2024年</w:t>
      </w:r>
      <w:r>
        <w:rPr>
          <w:rFonts w:hint="default"/>
        </w:rPr>
        <w:t>本）》，202</w:t>
      </w:r>
      <w:r>
        <w:rPr>
          <w:rFonts w:hint="default"/>
          <w:lang w:val="en-US" w:eastAsia="zh-CN"/>
        </w:rPr>
        <w:t>3</w:t>
      </w:r>
      <w:r>
        <w:rPr>
          <w:rFonts w:hint="default"/>
        </w:rPr>
        <w:t>.</w:t>
      </w:r>
      <w:r>
        <w:rPr>
          <w:rFonts w:hint="default"/>
          <w:lang w:val="en-US" w:eastAsia="zh-CN"/>
        </w:rPr>
        <w:t>12.27</w:t>
      </w:r>
      <w:r>
        <w:rPr>
          <w:rFonts w:hint="default"/>
        </w:rPr>
        <w:t>；</w:t>
      </w:r>
    </w:p>
    <w:p w14:paraId="60A6520E">
      <w:pPr>
        <w:pStyle w:val="41"/>
        <w:bidi w:val="0"/>
        <w:rPr>
          <w:rFonts w:hint="eastAsia"/>
          <w:lang w:val="en-US" w:eastAsia="zh-CN"/>
        </w:rPr>
      </w:pPr>
      <w:r>
        <w:rPr>
          <w:rFonts w:hint="default"/>
        </w:rPr>
        <w:t>（4）</w:t>
      </w:r>
      <w:r>
        <w:rPr>
          <w:rFonts w:hint="eastAsia"/>
          <w:lang w:val="en-US" w:eastAsia="zh-CN"/>
        </w:rPr>
        <w:t xml:space="preserve">《环境影响评价公众参与办法》（生态环境部令 </w:t>
      </w:r>
      <w:r>
        <w:rPr>
          <w:rFonts w:hint="default"/>
          <w:lang w:val="en-US" w:eastAsia="zh-CN"/>
        </w:rPr>
        <w:t xml:space="preserve">4 </w:t>
      </w:r>
      <w:r>
        <w:rPr>
          <w:rFonts w:hint="eastAsia"/>
          <w:lang w:val="en-US" w:eastAsia="zh-CN"/>
        </w:rPr>
        <w:t>号，</w:t>
      </w:r>
      <w:r>
        <w:rPr>
          <w:rFonts w:hint="default"/>
          <w:lang w:val="en-US" w:eastAsia="zh-CN"/>
        </w:rPr>
        <w:t xml:space="preserve">2019 </w:t>
      </w:r>
      <w:r>
        <w:rPr>
          <w:rFonts w:hint="eastAsia"/>
          <w:lang w:val="en-US" w:eastAsia="zh-CN"/>
        </w:rPr>
        <w:t xml:space="preserve">年 </w:t>
      </w:r>
      <w:r>
        <w:rPr>
          <w:rFonts w:hint="default"/>
          <w:lang w:val="en-US" w:eastAsia="zh-CN"/>
        </w:rPr>
        <w:t xml:space="preserve">1 </w:t>
      </w:r>
      <w:r>
        <w:rPr>
          <w:rFonts w:hint="eastAsia"/>
          <w:lang w:val="en-US" w:eastAsia="zh-CN"/>
        </w:rPr>
        <w:t xml:space="preserve">月 </w:t>
      </w:r>
      <w:r>
        <w:rPr>
          <w:rFonts w:hint="default"/>
          <w:lang w:val="en-US" w:eastAsia="zh-CN"/>
        </w:rPr>
        <w:t xml:space="preserve">1 </w:t>
      </w:r>
      <w:r>
        <w:rPr>
          <w:rFonts w:hint="eastAsia"/>
          <w:lang w:val="en-US" w:eastAsia="zh-CN"/>
        </w:rPr>
        <w:t>日施行）；</w:t>
      </w:r>
    </w:p>
    <w:p w14:paraId="64B6A4E3">
      <w:pPr>
        <w:pStyle w:val="41"/>
        <w:bidi w:val="0"/>
        <w:rPr>
          <w:rFonts w:hint="default"/>
        </w:rPr>
      </w:pPr>
      <w:r>
        <w:rPr>
          <w:rFonts w:hint="default"/>
        </w:rPr>
        <w:t>（5）环境保护部环办〔2013〕103号《建设项目环境影响评价政府信息公开指南（试行）》的公告，2013.11.14；</w:t>
      </w:r>
    </w:p>
    <w:p w14:paraId="73459A4F">
      <w:pPr>
        <w:pStyle w:val="41"/>
        <w:bidi w:val="0"/>
        <w:rPr>
          <w:rFonts w:hint="default"/>
        </w:rPr>
      </w:pPr>
      <w:r>
        <w:rPr>
          <w:rFonts w:hint="default"/>
        </w:rPr>
        <w:t>（6）国家环保部环发〔2012〕77号《关于防范环境风险加强环境影响评价管理的通知》；</w:t>
      </w:r>
    </w:p>
    <w:p w14:paraId="797C72B5">
      <w:pPr>
        <w:pStyle w:val="41"/>
        <w:bidi w:val="0"/>
        <w:rPr>
          <w:rFonts w:hint="default"/>
        </w:rPr>
      </w:pPr>
      <w:r>
        <w:rPr>
          <w:rFonts w:hint="eastAsia"/>
          <w:lang w:val="en-US" w:eastAsia="zh-CN"/>
        </w:rPr>
        <w:t>（7）</w:t>
      </w:r>
      <w:r>
        <w:rPr>
          <w:rFonts w:hint="default"/>
          <w:lang w:val="en-US" w:eastAsia="zh-CN"/>
        </w:rPr>
        <w:t>《全国生态功能区划（修编版）》，2015年11月发布；</w:t>
      </w:r>
    </w:p>
    <w:p w14:paraId="4394A638">
      <w:pPr>
        <w:pStyle w:val="41"/>
        <w:bidi w:val="0"/>
        <w:rPr>
          <w:rFonts w:hint="default"/>
        </w:rPr>
      </w:pPr>
      <w:r>
        <w:rPr>
          <w:rFonts w:hint="default"/>
        </w:rPr>
        <w:t>（8）《建设项目环境影响评价分类管理名录</w:t>
      </w:r>
      <w:r>
        <w:rPr>
          <w:rFonts w:hint="default"/>
          <w:lang w:eastAsia="zh-CN"/>
        </w:rPr>
        <w:t>（</w:t>
      </w:r>
      <w:r>
        <w:rPr>
          <w:rFonts w:hint="default"/>
          <w:lang w:val="en-US" w:eastAsia="zh-CN"/>
        </w:rPr>
        <w:t>2021年版</w:t>
      </w:r>
      <w:r>
        <w:rPr>
          <w:rFonts w:hint="default"/>
          <w:lang w:eastAsia="zh-CN"/>
        </w:rPr>
        <w:t>）</w:t>
      </w:r>
      <w:r>
        <w:rPr>
          <w:rFonts w:hint="default"/>
        </w:rPr>
        <w:t>》，20</w:t>
      </w:r>
      <w:r>
        <w:rPr>
          <w:rFonts w:hint="default"/>
          <w:lang w:val="en-US" w:eastAsia="zh-CN"/>
        </w:rPr>
        <w:t>20.11.30</w:t>
      </w:r>
      <w:r>
        <w:rPr>
          <w:rFonts w:hint="default"/>
        </w:rPr>
        <w:t>；</w:t>
      </w:r>
    </w:p>
    <w:p w14:paraId="09EA9AC5">
      <w:pPr>
        <w:pStyle w:val="41"/>
        <w:bidi w:val="0"/>
        <w:rPr>
          <w:rFonts w:hint="default"/>
        </w:rPr>
      </w:pPr>
      <w:r>
        <w:rPr>
          <w:rFonts w:hint="default"/>
        </w:rPr>
        <w:t>（</w:t>
      </w:r>
      <w:bookmarkStart w:id="32" w:name="OLE_LINK97"/>
      <w:r>
        <w:rPr>
          <w:rFonts w:hint="default"/>
        </w:rPr>
        <w:t>9）</w:t>
      </w:r>
      <w:bookmarkEnd w:id="32"/>
      <w:r>
        <w:rPr>
          <w:rFonts w:hint="default"/>
        </w:rPr>
        <w:t>《国务院关于印发大气污染防治行动计划的通知》国发〔2013〕37号；</w:t>
      </w:r>
    </w:p>
    <w:p w14:paraId="60463A0D">
      <w:pPr>
        <w:pStyle w:val="41"/>
        <w:bidi w:val="0"/>
        <w:rPr>
          <w:rFonts w:hint="default"/>
        </w:rPr>
      </w:pPr>
    </w:p>
    <w:p w14:paraId="3A51BD7C">
      <w:pPr>
        <w:pStyle w:val="41"/>
        <w:bidi w:val="0"/>
        <w:rPr>
          <w:rFonts w:hint="default"/>
        </w:rPr>
      </w:pPr>
      <w:r>
        <w:rPr>
          <w:rFonts w:hint="default"/>
        </w:rPr>
        <w:t>（10）《国务院关于印发水污染防治行动计划的通知》国发〔2015〕17号；</w:t>
      </w:r>
    </w:p>
    <w:p w14:paraId="1901498A">
      <w:pPr>
        <w:pStyle w:val="41"/>
        <w:bidi w:val="0"/>
        <w:rPr>
          <w:rFonts w:hint="default"/>
        </w:rPr>
      </w:pPr>
      <w:r>
        <w:rPr>
          <w:rFonts w:hint="default"/>
        </w:rPr>
        <w:t>（1</w:t>
      </w:r>
      <w:r>
        <w:rPr>
          <w:rFonts w:hint="eastAsia"/>
          <w:lang w:val="en-US" w:eastAsia="zh-CN"/>
        </w:rPr>
        <w:t>1</w:t>
      </w:r>
      <w:r>
        <w:rPr>
          <w:rFonts w:hint="default"/>
        </w:rPr>
        <w:t>）《</w:t>
      </w:r>
      <w:r>
        <w:rPr>
          <w:rFonts w:hint="default"/>
        </w:rPr>
        <w:fldChar w:fldCharType="begin"/>
      </w:r>
      <w:r>
        <w:rPr>
          <w:rFonts w:hint="default"/>
        </w:rPr>
        <w:instrText xml:space="preserve"> HYPERLINK "http://www.mep.gov.cn/gkml/hbb/bl/201606/t20160621_354852.htm" </w:instrText>
      </w:r>
      <w:r>
        <w:rPr>
          <w:rFonts w:hint="default"/>
        </w:rPr>
        <w:fldChar w:fldCharType="separate"/>
      </w:r>
      <w:r>
        <w:rPr>
          <w:rStyle w:val="40"/>
          <w:rFonts w:hint="default" w:ascii="Times New Roman" w:hAnsi="Times New Roman" w:cs="Times New Roman"/>
          <w:color w:val="auto"/>
          <w:szCs w:val="24"/>
          <w:highlight w:val="none"/>
          <w:u w:val="none"/>
        </w:rPr>
        <w:t>国家危险废物名录</w:t>
      </w:r>
      <w:r>
        <w:rPr>
          <w:rFonts w:hint="default"/>
        </w:rPr>
        <w:fldChar w:fldCharType="end"/>
      </w:r>
      <w:r>
        <w:rPr>
          <w:rFonts w:hint="default"/>
        </w:rPr>
        <w:t>》</w:t>
      </w:r>
      <w:r>
        <w:rPr>
          <w:rFonts w:hint="eastAsia"/>
          <w:lang w:eastAsia="zh-CN"/>
        </w:rPr>
        <w:t>（</w:t>
      </w:r>
      <w:r>
        <w:rPr>
          <w:rFonts w:hint="default"/>
          <w:lang w:val="en-US" w:eastAsia="zh-CN"/>
        </w:rPr>
        <w:t>202</w:t>
      </w:r>
      <w:r>
        <w:rPr>
          <w:rFonts w:hint="eastAsia"/>
          <w:lang w:val="en-US" w:eastAsia="zh-CN"/>
        </w:rPr>
        <w:t>5年版）</w:t>
      </w:r>
      <w:r>
        <w:rPr>
          <w:rFonts w:hint="default"/>
        </w:rPr>
        <w:t>；</w:t>
      </w:r>
    </w:p>
    <w:p w14:paraId="73B0A4C8">
      <w:pPr>
        <w:pStyle w:val="41"/>
        <w:bidi w:val="0"/>
        <w:rPr>
          <w:rFonts w:hint="default"/>
        </w:rPr>
      </w:pPr>
      <w:r>
        <w:rPr>
          <w:rFonts w:hint="default"/>
        </w:rPr>
        <w:t>（1</w:t>
      </w:r>
      <w:r>
        <w:rPr>
          <w:rFonts w:hint="eastAsia"/>
          <w:lang w:val="en-US" w:eastAsia="zh-CN"/>
        </w:rPr>
        <w:t>2</w:t>
      </w:r>
      <w:r>
        <w:rPr>
          <w:rFonts w:hint="default"/>
        </w:rPr>
        <w:t>）《土壤污染防治行动计划》2016.5.28；</w:t>
      </w:r>
    </w:p>
    <w:p w14:paraId="64CD8D33">
      <w:pPr>
        <w:pStyle w:val="41"/>
        <w:bidi w:val="0"/>
        <w:rPr>
          <w:rFonts w:hint="default"/>
          <w:lang w:eastAsia="zh-CN"/>
        </w:rPr>
      </w:pPr>
      <w:r>
        <w:rPr>
          <w:rFonts w:hint="default"/>
        </w:rPr>
        <w:t>（1</w:t>
      </w:r>
      <w:r>
        <w:rPr>
          <w:rFonts w:hint="eastAsia"/>
          <w:lang w:val="en-US" w:eastAsia="zh-CN"/>
        </w:rPr>
        <w:t>3</w:t>
      </w:r>
      <w:r>
        <w:rPr>
          <w:rFonts w:hint="default"/>
        </w:rPr>
        <w:t>）《关于发布〈矿山生态环境保护与污染防治技术政策〉的通知》，国家环保总局，环发〔2005〕109 号</w:t>
      </w:r>
      <w:r>
        <w:rPr>
          <w:rFonts w:hint="default"/>
          <w:lang w:eastAsia="zh-CN"/>
        </w:rPr>
        <w:t>；</w:t>
      </w:r>
    </w:p>
    <w:p w14:paraId="7DA40113">
      <w:pPr>
        <w:pStyle w:val="41"/>
        <w:bidi w:val="0"/>
        <w:rPr>
          <w:rFonts w:hint="default"/>
          <w:lang w:val="en-US" w:eastAsia="zh-CN"/>
        </w:rPr>
      </w:pPr>
      <w:r>
        <w:rPr>
          <w:rFonts w:hint="default"/>
          <w:lang w:eastAsia="zh-CN"/>
        </w:rPr>
        <w:t>（</w:t>
      </w:r>
      <w:r>
        <w:rPr>
          <w:rFonts w:hint="default"/>
          <w:lang w:val="en-US" w:eastAsia="zh-CN"/>
        </w:rPr>
        <w:t>1</w:t>
      </w:r>
      <w:r>
        <w:rPr>
          <w:rFonts w:hint="eastAsia"/>
          <w:lang w:val="en-US" w:eastAsia="zh-CN"/>
        </w:rPr>
        <w:t>4</w:t>
      </w:r>
      <w:r>
        <w:rPr>
          <w:rFonts w:hint="default"/>
          <w:lang w:eastAsia="zh-CN"/>
        </w:rPr>
        <w:t>）</w:t>
      </w:r>
      <w:r>
        <w:rPr>
          <w:rFonts w:hint="default"/>
          <w:lang w:val="en-US" w:eastAsia="zh-CN"/>
        </w:rPr>
        <w:t>《建设项目环境影响报告书（表）编制监督管理办法》（2019年11月1日起施行）；</w:t>
      </w:r>
    </w:p>
    <w:p w14:paraId="68C5C9C6">
      <w:pPr>
        <w:pStyle w:val="41"/>
        <w:bidi w:val="0"/>
        <w:rPr>
          <w:rFonts w:hint="default"/>
          <w:lang w:val="en-US" w:eastAsia="zh-CN"/>
        </w:rPr>
      </w:pPr>
      <w:r>
        <w:rPr>
          <w:rFonts w:hint="default"/>
          <w:lang w:val="en-US" w:eastAsia="zh-CN"/>
        </w:rPr>
        <w:t>（1</w:t>
      </w:r>
      <w:r>
        <w:rPr>
          <w:rFonts w:hint="eastAsia"/>
          <w:lang w:val="en-US" w:eastAsia="zh-CN"/>
        </w:rPr>
        <w:t>5</w:t>
      </w:r>
      <w:r>
        <w:rPr>
          <w:rFonts w:hint="default"/>
          <w:lang w:val="en-US" w:eastAsia="zh-CN"/>
        </w:rPr>
        <w:t>）关于发布《建设项目环境影响报告书（表）编制监督管理办法》配套文件的公告；</w:t>
      </w:r>
    </w:p>
    <w:p w14:paraId="65870C00">
      <w:pPr>
        <w:pStyle w:val="41"/>
        <w:bidi w:val="0"/>
        <w:rPr>
          <w:rFonts w:hint="default"/>
          <w:lang w:val="en-US" w:eastAsia="zh-CN"/>
        </w:rPr>
      </w:pPr>
      <w:r>
        <w:rPr>
          <w:rFonts w:hint="eastAsia"/>
          <w:lang w:val="en-US" w:eastAsia="zh-CN"/>
        </w:rPr>
        <w:t>（16）</w:t>
      </w:r>
      <w:r>
        <w:rPr>
          <w:rFonts w:hint="default"/>
          <w:lang w:val="en-US" w:eastAsia="zh-CN"/>
        </w:rPr>
        <w:t>《全国矿产资源规划》（2021-2025年）</w:t>
      </w:r>
      <w:r>
        <w:rPr>
          <w:rFonts w:hint="eastAsia"/>
          <w:lang w:val="en-US" w:eastAsia="zh-CN"/>
        </w:rPr>
        <w:t>；</w:t>
      </w:r>
    </w:p>
    <w:p w14:paraId="7D124AD9">
      <w:pPr>
        <w:pStyle w:val="41"/>
        <w:bidi w:val="0"/>
        <w:rPr>
          <w:rFonts w:hint="default"/>
          <w:lang w:val="en-US" w:eastAsia="zh-CN"/>
        </w:rPr>
      </w:pPr>
      <w:r>
        <w:rPr>
          <w:rFonts w:hint="eastAsia"/>
          <w:lang w:val="en-US" w:eastAsia="zh-CN"/>
        </w:rPr>
        <w:t>（17）《</w:t>
      </w:r>
      <w:r>
        <w:rPr>
          <w:rFonts w:hint="default"/>
          <w:lang w:val="en-US"/>
        </w:rPr>
        <w:t>十四五土壤、地下水和农村生态环境保护规划</w:t>
      </w:r>
      <w:r>
        <w:rPr>
          <w:rFonts w:hint="eastAsia"/>
          <w:lang w:val="en-US" w:eastAsia="zh-CN"/>
        </w:rPr>
        <w:t>》</w:t>
      </w:r>
      <w:r>
        <w:rPr>
          <w:rFonts w:hint="default"/>
          <w:lang w:val="en-US" w:eastAsia="zh-CN"/>
        </w:rPr>
        <w:t>；</w:t>
      </w:r>
    </w:p>
    <w:p w14:paraId="7FF8A101">
      <w:pPr>
        <w:pStyle w:val="41"/>
        <w:bidi w:val="0"/>
        <w:rPr>
          <w:rFonts w:hint="default"/>
          <w:lang w:val="en-US" w:eastAsia="zh-CN"/>
        </w:rPr>
      </w:pPr>
      <w:r>
        <w:rPr>
          <w:rFonts w:hint="eastAsia"/>
          <w:lang w:val="en-US" w:eastAsia="zh-CN"/>
        </w:rPr>
        <w:t>（18）</w:t>
      </w:r>
      <w:r>
        <w:rPr>
          <w:rFonts w:hint="default"/>
          <w:lang w:val="en-US" w:eastAsia="zh-CN"/>
        </w:rPr>
        <w:t>《全国生态脆弱区保护规划纲要》，2008年9月27日发布；</w:t>
      </w:r>
    </w:p>
    <w:p w14:paraId="71C7F27C">
      <w:pPr>
        <w:pStyle w:val="41"/>
        <w:bidi w:val="0"/>
      </w:pPr>
      <w:r>
        <w:rPr>
          <w:rFonts w:hint="eastAsia"/>
          <w:lang w:val="en-US" w:eastAsia="zh-CN"/>
        </w:rPr>
        <w:t>（19）《自然资源部关于规范和完善砂石开采管理的通知》（自然资发〔</w:t>
      </w:r>
      <w:r>
        <w:rPr>
          <w:rFonts w:hint="default"/>
          <w:lang w:val="en-US" w:eastAsia="zh-CN"/>
        </w:rPr>
        <w:t>2023</w:t>
      </w:r>
      <w:r>
        <w:rPr>
          <w:rFonts w:hint="eastAsia"/>
          <w:lang w:val="en-US" w:eastAsia="zh-CN"/>
        </w:rPr>
        <w:t>〕</w:t>
      </w:r>
      <w:r>
        <w:rPr>
          <w:rFonts w:hint="default"/>
          <w:lang w:val="en-US" w:eastAsia="zh-CN"/>
        </w:rPr>
        <w:t>57</w:t>
      </w:r>
      <w:r>
        <w:rPr>
          <w:rFonts w:hint="eastAsia"/>
          <w:lang w:val="en-US" w:eastAsia="zh-CN"/>
        </w:rPr>
        <w:t>号，</w:t>
      </w:r>
      <w:r>
        <w:rPr>
          <w:rFonts w:hint="default"/>
          <w:lang w:val="en-US" w:eastAsia="zh-CN"/>
        </w:rPr>
        <w:t>2023</w:t>
      </w:r>
      <w:r>
        <w:rPr>
          <w:rFonts w:hint="eastAsia"/>
          <w:lang w:val="en-US" w:eastAsia="zh-CN"/>
        </w:rPr>
        <w:t>年</w:t>
      </w:r>
      <w:r>
        <w:rPr>
          <w:rFonts w:hint="default"/>
          <w:lang w:val="en-US" w:eastAsia="zh-CN"/>
        </w:rPr>
        <w:t>4</w:t>
      </w:r>
      <w:r>
        <w:rPr>
          <w:rFonts w:hint="eastAsia"/>
          <w:lang w:val="en-US" w:eastAsia="zh-CN"/>
        </w:rPr>
        <w:t>月</w:t>
      </w:r>
      <w:r>
        <w:rPr>
          <w:rFonts w:hint="default"/>
          <w:lang w:val="en-US" w:eastAsia="zh-CN"/>
        </w:rPr>
        <w:t>10</w:t>
      </w:r>
      <w:r>
        <w:rPr>
          <w:rFonts w:hint="eastAsia"/>
          <w:lang w:val="en-US" w:eastAsia="zh-CN"/>
        </w:rPr>
        <w:t>日）；</w:t>
      </w:r>
    </w:p>
    <w:p w14:paraId="046C56FC">
      <w:pPr>
        <w:pStyle w:val="41"/>
        <w:bidi w:val="0"/>
        <w:rPr>
          <w:rFonts w:hint="eastAsia"/>
          <w:lang w:val="en-US" w:eastAsia="zh-CN"/>
        </w:rPr>
      </w:pPr>
      <w:r>
        <w:rPr>
          <w:rFonts w:hint="eastAsia"/>
          <w:lang w:val="en-US" w:eastAsia="zh-CN"/>
        </w:rPr>
        <w:t>（20）《自然资源部办公厅 生态环境部办公厅关于加快推进露天矿山综合整治工作实施意见的函》（自然资办函〔</w:t>
      </w:r>
      <w:r>
        <w:rPr>
          <w:rFonts w:hint="default"/>
          <w:lang w:val="en-US" w:eastAsia="zh-CN"/>
        </w:rPr>
        <w:t>2019</w:t>
      </w:r>
      <w:r>
        <w:rPr>
          <w:rFonts w:hint="eastAsia"/>
          <w:lang w:val="en-US" w:eastAsia="zh-CN"/>
        </w:rPr>
        <w:t>〕</w:t>
      </w:r>
      <w:r>
        <w:rPr>
          <w:rFonts w:hint="default"/>
          <w:lang w:val="en-US" w:eastAsia="zh-CN"/>
        </w:rPr>
        <w:t>819</w:t>
      </w:r>
      <w:r>
        <w:rPr>
          <w:rFonts w:hint="eastAsia"/>
          <w:lang w:val="en-US" w:eastAsia="zh-CN"/>
        </w:rPr>
        <w:t>号，</w:t>
      </w:r>
      <w:r>
        <w:rPr>
          <w:rFonts w:hint="default"/>
          <w:lang w:val="en-US" w:eastAsia="zh-CN"/>
        </w:rPr>
        <w:t>2019</w:t>
      </w:r>
      <w:r>
        <w:rPr>
          <w:rFonts w:hint="eastAsia"/>
          <w:lang w:val="en-US" w:eastAsia="zh-CN"/>
        </w:rPr>
        <w:t>年</w:t>
      </w:r>
      <w:r>
        <w:rPr>
          <w:rFonts w:hint="default"/>
          <w:lang w:val="en-US" w:eastAsia="zh-CN"/>
        </w:rPr>
        <w:t>5</w:t>
      </w:r>
      <w:r>
        <w:rPr>
          <w:rFonts w:hint="eastAsia"/>
          <w:lang w:val="en-US" w:eastAsia="zh-CN"/>
        </w:rPr>
        <w:t>月</w:t>
      </w:r>
      <w:r>
        <w:rPr>
          <w:rFonts w:hint="default"/>
          <w:lang w:val="en-US" w:eastAsia="zh-CN"/>
        </w:rPr>
        <w:t>29</w:t>
      </w:r>
      <w:r>
        <w:rPr>
          <w:rFonts w:hint="eastAsia"/>
          <w:lang w:val="en-US" w:eastAsia="zh-CN"/>
        </w:rPr>
        <w:t>日）；</w:t>
      </w:r>
    </w:p>
    <w:p w14:paraId="45433B87">
      <w:pPr>
        <w:pStyle w:val="41"/>
        <w:bidi w:val="0"/>
        <w:rPr>
          <w:rFonts w:hint="default"/>
        </w:rPr>
      </w:pPr>
      <w:r>
        <w:rPr>
          <w:rFonts w:hint="default"/>
        </w:rPr>
        <w:t>（</w:t>
      </w:r>
      <w:r>
        <w:rPr>
          <w:rFonts w:hint="eastAsia"/>
          <w:lang w:val="en-US" w:eastAsia="zh-CN"/>
        </w:rPr>
        <w:t>21</w:t>
      </w:r>
      <w:r>
        <w:rPr>
          <w:rFonts w:hint="default"/>
        </w:rPr>
        <w:t>）《固定污染源排污许可分类管理名录》（2019年版）；</w:t>
      </w:r>
    </w:p>
    <w:p w14:paraId="76A1B683">
      <w:pPr>
        <w:pStyle w:val="41"/>
        <w:bidi w:val="0"/>
        <w:rPr>
          <w:rFonts w:hint="default"/>
          <w:lang w:val="en-US" w:eastAsia="zh-CN"/>
        </w:rPr>
      </w:pPr>
      <w:r>
        <w:rPr>
          <w:rFonts w:hint="eastAsia"/>
          <w:lang w:eastAsia="zh-CN"/>
        </w:rPr>
        <w:t>（</w:t>
      </w:r>
      <w:r>
        <w:rPr>
          <w:rFonts w:hint="eastAsia"/>
          <w:lang w:val="en-US" w:eastAsia="zh-CN"/>
        </w:rPr>
        <w:t>22</w:t>
      </w:r>
      <w:r>
        <w:rPr>
          <w:rFonts w:hint="eastAsia"/>
          <w:lang w:eastAsia="zh-CN"/>
        </w:rPr>
        <w:t>）</w:t>
      </w:r>
      <w:r>
        <w:rPr>
          <w:rFonts w:hint="eastAsia"/>
        </w:rPr>
        <w:t>《自然资源部 生态环境部 国家林业和草原局关于加强生态保护红线管理的通知》（自然资发〔2022〕142号</w:t>
      </w:r>
      <w:r>
        <w:rPr>
          <w:rFonts w:hint="eastAsia"/>
          <w:lang w:val="en-US" w:eastAsia="zh-CN"/>
        </w:rPr>
        <w:t>。</w:t>
      </w:r>
    </w:p>
    <w:p w14:paraId="5664B1E5">
      <w:pPr>
        <w:pStyle w:val="4"/>
        <w:bidi w:val="0"/>
        <w:rPr>
          <w:rFonts w:hint="default"/>
        </w:rPr>
      </w:pPr>
      <w:bookmarkStart w:id="33" w:name="_Toc31369"/>
      <w:bookmarkStart w:id="34" w:name="_Toc10464"/>
      <w:r>
        <w:rPr>
          <w:rFonts w:hint="default"/>
        </w:rPr>
        <w:t>地方政府及直属部门规章与规范性文件</w:t>
      </w:r>
      <w:bookmarkEnd w:id="33"/>
      <w:bookmarkEnd w:id="34"/>
    </w:p>
    <w:p w14:paraId="48657594">
      <w:pPr>
        <w:pStyle w:val="41"/>
        <w:bidi w:val="0"/>
        <w:rPr>
          <w:rFonts w:hint="default"/>
        </w:rPr>
      </w:pPr>
      <w:bookmarkStart w:id="35" w:name="_Toc3186"/>
      <w:r>
        <w:rPr>
          <w:rFonts w:hint="default"/>
        </w:rPr>
        <w:t>（1）</w:t>
      </w:r>
      <w:r>
        <w:rPr>
          <w:rFonts w:hint="eastAsia"/>
          <w:lang w:eastAsia="zh-CN"/>
        </w:rPr>
        <w:t>《</w:t>
      </w:r>
      <w:r>
        <w:rPr>
          <w:rFonts w:hint="default"/>
        </w:rPr>
        <w:t>云南省生态环境保护条例》（2024年11</w:t>
      </w:r>
      <w:r>
        <w:rPr>
          <w:rFonts w:hint="eastAsia"/>
          <w:lang w:eastAsia="zh-CN"/>
        </w:rPr>
        <w:t>月1日起施行</w:t>
      </w:r>
      <w:r>
        <w:rPr>
          <w:rFonts w:hint="default"/>
        </w:rPr>
        <w:t>）；</w:t>
      </w:r>
    </w:p>
    <w:p w14:paraId="42EFA529">
      <w:pPr>
        <w:pStyle w:val="41"/>
        <w:bidi w:val="0"/>
        <w:rPr>
          <w:rFonts w:hint="default"/>
        </w:rPr>
      </w:pPr>
      <w:r>
        <w:rPr>
          <w:rFonts w:hint="default"/>
        </w:rPr>
        <w:t>（2）</w:t>
      </w:r>
      <w:r>
        <w:rPr>
          <w:rFonts w:hint="eastAsia"/>
          <w:lang w:eastAsia="zh-CN"/>
        </w:rPr>
        <w:t>《</w:t>
      </w:r>
      <w:r>
        <w:rPr>
          <w:rFonts w:hint="default"/>
        </w:rPr>
        <w:t>云南省陆生野生动物保护条例》（2014年7月27日修正）；</w:t>
      </w:r>
    </w:p>
    <w:p w14:paraId="652C212D">
      <w:pPr>
        <w:pStyle w:val="41"/>
        <w:bidi w:val="0"/>
        <w:rPr>
          <w:rFonts w:hint="default"/>
        </w:rPr>
      </w:pPr>
      <w:r>
        <w:rPr>
          <w:rFonts w:hint="default"/>
        </w:rPr>
        <w:t>（3）</w:t>
      </w:r>
      <w:r>
        <w:rPr>
          <w:rFonts w:hint="eastAsia"/>
          <w:lang w:eastAsia="zh-CN"/>
        </w:rPr>
        <w:t>《</w:t>
      </w:r>
      <w:r>
        <w:rPr>
          <w:rFonts w:hint="default"/>
        </w:rPr>
        <w:t>云南省固体废物污染环境防治条例》（2023年3</w:t>
      </w:r>
      <w:r>
        <w:rPr>
          <w:rFonts w:hint="eastAsia"/>
          <w:lang w:eastAsia="zh-CN"/>
        </w:rPr>
        <w:t>月1日起施行</w:t>
      </w:r>
      <w:r>
        <w:rPr>
          <w:rFonts w:hint="default"/>
        </w:rPr>
        <w:t>）；</w:t>
      </w:r>
    </w:p>
    <w:p w14:paraId="393511EE">
      <w:pPr>
        <w:pStyle w:val="41"/>
        <w:bidi w:val="0"/>
        <w:rPr>
          <w:rFonts w:hint="default"/>
        </w:rPr>
      </w:pPr>
      <w:r>
        <w:rPr>
          <w:rFonts w:hint="default"/>
        </w:rPr>
        <w:t>（4）</w:t>
      </w:r>
      <w:r>
        <w:rPr>
          <w:rFonts w:hint="eastAsia"/>
          <w:lang w:eastAsia="zh-CN"/>
        </w:rPr>
        <w:t>《</w:t>
      </w:r>
      <w:r>
        <w:rPr>
          <w:rFonts w:hint="default"/>
        </w:rPr>
        <w:t>云南省土壤污染防治条例》（2022年5月）；</w:t>
      </w:r>
    </w:p>
    <w:p w14:paraId="2657C4DE">
      <w:pPr>
        <w:pStyle w:val="41"/>
        <w:bidi w:val="0"/>
        <w:rPr>
          <w:rFonts w:hint="default"/>
        </w:rPr>
      </w:pPr>
      <w:r>
        <w:rPr>
          <w:rFonts w:hint="default"/>
        </w:rPr>
        <w:t>（5）</w:t>
      </w:r>
      <w:r>
        <w:rPr>
          <w:rFonts w:hint="eastAsia"/>
          <w:lang w:eastAsia="zh-CN"/>
        </w:rPr>
        <w:t>《</w:t>
      </w:r>
      <w:r>
        <w:rPr>
          <w:rFonts w:hint="default"/>
        </w:rPr>
        <w:t>云南省生物多样性保护条例》（2019年1月）；</w:t>
      </w:r>
    </w:p>
    <w:p w14:paraId="57D373B4">
      <w:pPr>
        <w:pStyle w:val="41"/>
        <w:bidi w:val="0"/>
        <w:rPr>
          <w:rFonts w:hint="default"/>
        </w:rPr>
      </w:pPr>
      <w:r>
        <w:rPr>
          <w:rFonts w:hint="default"/>
        </w:rPr>
        <w:t>（6）</w:t>
      </w:r>
      <w:r>
        <w:rPr>
          <w:rFonts w:hint="eastAsia"/>
          <w:lang w:eastAsia="zh-CN"/>
        </w:rPr>
        <w:t>《</w:t>
      </w:r>
      <w:r>
        <w:rPr>
          <w:rFonts w:hint="default"/>
        </w:rPr>
        <w:t>云南省土地管理条例》（2025</w:t>
      </w:r>
      <w:r>
        <w:rPr>
          <w:rFonts w:hint="eastAsia"/>
          <w:lang w:eastAsia="zh-CN"/>
        </w:rPr>
        <w:t>年1月1日起施行</w:t>
      </w:r>
      <w:r>
        <w:rPr>
          <w:rFonts w:hint="default"/>
        </w:rPr>
        <w:t>）；</w:t>
      </w:r>
    </w:p>
    <w:p w14:paraId="490A9FC4">
      <w:pPr>
        <w:pStyle w:val="41"/>
        <w:bidi w:val="0"/>
        <w:rPr>
          <w:rFonts w:hint="default"/>
        </w:rPr>
      </w:pPr>
      <w:r>
        <w:rPr>
          <w:rFonts w:hint="default"/>
        </w:rPr>
        <w:t>（7）</w:t>
      </w:r>
      <w:r>
        <w:rPr>
          <w:rFonts w:hint="eastAsia"/>
          <w:lang w:eastAsia="zh-CN"/>
        </w:rPr>
        <w:t>《</w:t>
      </w:r>
      <w:r>
        <w:rPr>
          <w:rFonts w:hint="default"/>
        </w:rPr>
        <w:t>云南省地质环境保护条例》（2018年11月29日修正）；</w:t>
      </w:r>
    </w:p>
    <w:p w14:paraId="67D65C80">
      <w:pPr>
        <w:pStyle w:val="41"/>
        <w:bidi w:val="0"/>
        <w:rPr>
          <w:rFonts w:hint="default"/>
        </w:rPr>
      </w:pPr>
      <w:r>
        <w:rPr>
          <w:rFonts w:hint="default"/>
        </w:rPr>
        <w:t>（8）</w:t>
      </w:r>
      <w:r>
        <w:rPr>
          <w:rFonts w:hint="eastAsia"/>
          <w:lang w:eastAsia="zh-CN"/>
        </w:rPr>
        <w:t>《</w:t>
      </w:r>
      <w:r>
        <w:rPr>
          <w:rFonts w:hint="default"/>
        </w:rPr>
        <w:t>云南省大气污染防治条例》（2019</w:t>
      </w:r>
      <w:r>
        <w:rPr>
          <w:rFonts w:hint="eastAsia"/>
          <w:lang w:eastAsia="zh-CN"/>
        </w:rPr>
        <w:t>年1月1日起施行</w:t>
      </w:r>
      <w:r>
        <w:rPr>
          <w:rFonts w:hint="default"/>
        </w:rPr>
        <w:t>）；</w:t>
      </w:r>
    </w:p>
    <w:p w14:paraId="662E022E">
      <w:pPr>
        <w:pStyle w:val="41"/>
        <w:bidi w:val="0"/>
        <w:rPr>
          <w:rFonts w:hint="default"/>
        </w:rPr>
      </w:pPr>
      <w:r>
        <w:rPr>
          <w:rFonts w:hint="default"/>
        </w:rPr>
        <w:t>（9）</w:t>
      </w:r>
      <w:r>
        <w:rPr>
          <w:rFonts w:hint="eastAsia"/>
          <w:lang w:eastAsia="zh-CN"/>
        </w:rPr>
        <w:t>《</w:t>
      </w:r>
      <w:r>
        <w:rPr>
          <w:rFonts w:hint="default"/>
        </w:rPr>
        <w:t>云南省生态功能区划》（2009年9月7日）；</w:t>
      </w:r>
    </w:p>
    <w:p w14:paraId="08545258">
      <w:pPr>
        <w:pStyle w:val="41"/>
        <w:bidi w:val="0"/>
        <w:rPr>
          <w:rFonts w:hint="default"/>
        </w:rPr>
      </w:pPr>
      <w:r>
        <w:rPr>
          <w:rFonts w:hint="default"/>
        </w:rPr>
        <w:t>（10）</w:t>
      </w:r>
      <w:r>
        <w:rPr>
          <w:rFonts w:hint="eastAsia"/>
          <w:lang w:eastAsia="zh-CN"/>
        </w:rPr>
        <w:t>《</w:t>
      </w:r>
      <w:r>
        <w:rPr>
          <w:rFonts w:hint="default"/>
        </w:rPr>
        <w:t>云南省国土空间规划（2021-2035）》；</w:t>
      </w:r>
    </w:p>
    <w:p w14:paraId="24D1EAB8">
      <w:pPr>
        <w:pStyle w:val="41"/>
        <w:bidi w:val="0"/>
        <w:rPr>
          <w:rFonts w:hint="default"/>
        </w:rPr>
      </w:pPr>
      <w:r>
        <w:rPr>
          <w:rFonts w:hint="default"/>
        </w:rPr>
        <w:t>（11）</w:t>
      </w:r>
      <w:r>
        <w:rPr>
          <w:rFonts w:hint="eastAsia"/>
          <w:lang w:eastAsia="zh-CN"/>
        </w:rPr>
        <w:t>《</w:t>
      </w:r>
      <w:r>
        <w:rPr>
          <w:rFonts w:hint="default"/>
        </w:rPr>
        <w:t>云南省人民政府关于促进非煤矿山转型升级的实施意见》（2015.05.29）；</w:t>
      </w:r>
    </w:p>
    <w:p w14:paraId="073C15EF">
      <w:pPr>
        <w:pStyle w:val="41"/>
        <w:bidi w:val="0"/>
        <w:rPr>
          <w:rFonts w:hint="default"/>
        </w:rPr>
      </w:pPr>
      <w:r>
        <w:rPr>
          <w:rFonts w:hint="default"/>
        </w:rPr>
        <w:t>（12）</w:t>
      </w:r>
      <w:r>
        <w:rPr>
          <w:rFonts w:hint="eastAsia"/>
          <w:lang w:eastAsia="zh-CN"/>
        </w:rPr>
        <w:t>《</w:t>
      </w:r>
      <w:r>
        <w:rPr>
          <w:rFonts w:hint="default"/>
        </w:rPr>
        <w:t>云南省土壤、地下水污染防治</w:t>
      </w:r>
      <w:r>
        <w:rPr>
          <w:rFonts w:hint="eastAsia"/>
          <w:lang w:eastAsia="zh-CN"/>
        </w:rPr>
        <w:t>“</w:t>
      </w:r>
      <w:r>
        <w:rPr>
          <w:rFonts w:hint="default"/>
        </w:rPr>
        <w:t>十四五</w:t>
      </w:r>
      <w:r>
        <w:rPr>
          <w:rFonts w:hint="eastAsia"/>
          <w:lang w:eastAsia="zh-CN"/>
        </w:rPr>
        <w:t>”</w:t>
      </w:r>
      <w:r>
        <w:rPr>
          <w:rFonts w:hint="default"/>
        </w:rPr>
        <w:t>规划》（2022.07）；</w:t>
      </w:r>
    </w:p>
    <w:p w14:paraId="021B12C3">
      <w:pPr>
        <w:pStyle w:val="41"/>
        <w:bidi w:val="0"/>
        <w:rPr>
          <w:rFonts w:hint="default"/>
        </w:rPr>
      </w:pPr>
      <w:r>
        <w:rPr>
          <w:rFonts w:hint="default"/>
        </w:rPr>
        <w:t>（13）</w:t>
      </w:r>
      <w:r>
        <w:rPr>
          <w:rFonts w:hint="eastAsia"/>
          <w:lang w:eastAsia="zh-CN"/>
        </w:rPr>
        <w:t>《</w:t>
      </w:r>
      <w:r>
        <w:rPr>
          <w:rFonts w:hint="default"/>
        </w:rPr>
        <w:t>云南省</w:t>
      </w:r>
      <w:r>
        <w:rPr>
          <w:rFonts w:hint="eastAsia"/>
          <w:lang w:eastAsia="zh-CN"/>
        </w:rPr>
        <w:t>“</w:t>
      </w:r>
      <w:r>
        <w:rPr>
          <w:rFonts w:hint="default"/>
        </w:rPr>
        <w:t>十四五</w:t>
      </w:r>
      <w:r>
        <w:rPr>
          <w:rFonts w:hint="eastAsia"/>
          <w:lang w:eastAsia="zh-CN"/>
        </w:rPr>
        <w:t>”</w:t>
      </w:r>
      <w:r>
        <w:rPr>
          <w:rFonts w:hint="default"/>
        </w:rPr>
        <w:t>生态环境保护规划》（云环发（2022</w:t>
      </w:r>
      <w:r>
        <w:rPr>
          <w:rFonts w:hint="eastAsia"/>
          <w:lang w:eastAsia="zh-CN"/>
        </w:rPr>
        <w:t>〕</w:t>
      </w:r>
      <w:r>
        <w:rPr>
          <w:rFonts w:hint="default"/>
        </w:rPr>
        <w:t>13号）；</w:t>
      </w:r>
    </w:p>
    <w:p w14:paraId="6F53D55F">
      <w:pPr>
        <w:pStyle w:val="41"/>
        <w:bidi w:val="0"/>
        <w:rPr>
          <w:rFonts w:hint="default"/>
        </w:rPr>
      </w:pPr>
      <w:r>
        <w:rPr>
          <w:rFonts w:hint="default"/>
        </w:rPr>
        <w:t>（14）</w:t>
      </w:r>
      <w:r>
        <w:rPr>
          <w:rFonts w:hint="eastAsia"/>
          <w:lang w:eastAsia="zh-CN"/>
        </w:rPr>
        <w:t>《</w:t>
      </w:r>
      <w:r>
        <w:rPr>
          <w:rFonts w:hint="default"/>
        </w:rPr>
        <w:t>云南省工业固体废物和重金属污染防治</w:t>
      </w:r>
      <w:r>
        <w:rPr>
          <w:rFonts w:hint="eastAsia"/>
          <w:lang w:eastAsia="zh-CN"/>
        </w:rPr>
        <w:t>“</w:t>
      </w:r>
      <w:r>
        <w:rPr>
          <w:rFonts w:hint="default"/>
        </w:rPr>
        <w:t>十四五</w:t>
      </w:r>
      <w:r>
        <w:rPr>
          <w:rFonts w:hint="eastAsia"/>
          <w:lang w:eastAsia="zh-CN"/>
        </w:rPr>
        <w:t>”</w:t>
      </w:r>
      <w:r>
        <w:rPr>
          <w:rFonts w:hint="default"/>
        </w:rPr>
        <w:t>规划》（云环发</w:t>
      </w:r>
      <w:r>
        <w:rPr>
          <w:rFonts w:hint="eastAsia"/>
          <w:lang w:eastAsia="zh-CN"/>
        </w:rPr>
        <w:t>〔2022〕22号</w:t>
      </w:r>
      <w:r>
        <w:rPr>
          <w:rFonts w:hint="default"/>
        </w:rPr>
        <w:t>）；</w:t>
      </w:r>
    </w:p>
    <w:p w14:paraId="22C2E58F">
      <w:pPr>
        <w:pStyle w:val="41"/>
        <w:bidi w:val="0"/>
        <w:rPr>
          <w:rFonts w:hint="default"/>
        </w:rPr>
      </w:pPr>
      <w:r>
        <w:rPr>
          <w:rFonts w:hint="default"/>
        </w:rPr>
        <w:t>（15）</w:t>
      </w:r>
      <w:r>
        <w:rPr>
          <w:rFonts w:hint="eastAsia"/>
          <w:lang w:eastAsia="zh-CN"/>
        </w:rPr>
        <w:t>《</w:t>
      </w:r>
      <w:r>
        <w:rPr>
          <w:rFonts w:hint="default"/>
        </w:rPr>
        <w:t>云南省生物多样性保护战略与行动计划（2024-2030）》；</w:t>
      </w:r>
    </w:p>
    <w:p w14:paraId="376D6080">
      <w:pPr>
        <w:pStyle w:val="41"/>
        <w:bidi w:val="0"/>
        <w:rPr>
          <w:rFonts w:hint="default"/>
        </w:rPr>
      </w:pPr>
      <w:r>
        <w:rPr>
          <w:rFonts w:hint="default"/>
        </w:rPr>
        <w:t>（16）</w:t>
      </w:r>
      <w:r>
        <w:rPr>
          <w:rFonts w:hint="eastAsia"/>
          <w:lang w:eastAsia="zh-CN"/>
        </w:rPr>
        <w:t>《</w:t>
      </w:r>
      <w:r>
        <w:rPr>
          <w:rFonts w:hint="default"/>
        </w:rPr>
        <w:t>关于加强生态环境分区管控的实施意见》（中共云南省委办公厅 云南省人民政府办公厅，2024年7月13日）；</w:t>
      </w:r>
    </w:p>
    <w:p w14:paraId="7E0E0A35">
      <w:pPr>
        <w:pStyle w:val="41"/>
        <w:bidi w:val="0"/>
        <w:rPr>
          <w:rFonts w:hint="default"/>
        </w:rPr>
      </w:pPr>
      <w:r>
        <w:rPr>
          <w:rFonts w:hint="default"/>
        </w:rPr>
        <w:t>（17）</w:t>
      </w:r>
      <w:r>
        <w:rPr>
          <w:rFonts w:hint="eastAsia"/>
          <w:lang w:eastAsia="zh-CN"/>
        </w:rPr>
        <w:t>《</w:t>
      </w:r>
      <w:r>
        <w:rPr>
          <w:rFonts w:hint="default"/>
        </w:rPr>
        <w:t>云南省水功能区划》（云南省水利厅，2014.2年修订）；</w:t>
      </w:r>
    </w:p>
    <w:p w14:paraId="3F42A9F3">
      <w:pPr>
        <w:pStyle w:val="41"/>
        <w:bidi w:val="0"/>
        <w:rPr>
          <w:rFonts w:hint="default"/>
        </w:rPr>
      </w:pPr>
      <w:r>
        <w:rPr>
          <w:rFonts w:hint="default"/>
        </w:rPr>
        <w:t>（18）</w:t>
      </w:r>
      <w:r>
        <w:rPr>
          <w:rFonts w:hint="eastAsia"/>
          <w:lang w:eastAsia="zh-CN"/>
        </w:rPr>
        <w:t>《</w:t>
      </w:r>
      <w:r>
        <w:rPr>
          <w:rFonts w:hint="default"/>
        </w:rPr>
        <w:t>云南省重点保护野生植物名录》（2023年12月15日）；</w:t>
      </w:r>
    </w:p>
    <w:p w14:paraId="693B7A37">
      <w:pPr>
        <w:pStyle w:val="41"/>
        <w:bidi w:val="0"/>
        <w:rPr>
          <w:rFonts w:hint="default"/>
        </w:rPr>
      </w:pPr>
      <w:r>
        <w:rPr>
          <w:rFonts w:hint="default"/>
        </w:rPr>
        <w:t>（19）</w:t>
      </w:r>
      <w:r>
        <w:rPr>
          <w:rFonts w:hint="eastAsia"/>
          <w:lang w:eastAsia="zh-CN"/>
        </w:rPr>
        <w:t>《</w:t>
      </w:r>
      <w:r>
        <w:rPr>
          <w:rFonts w:hint="default"/>
        </w:rPr>
        <w:t>云南省重点保护陆生野生动物名录》（2023年12月13日）；</w:t>
      </w:r>
    </w:p>
    <w:p w14:paraId="451F7238">
      <w:pPr>
        <w:pStyle w:val="41"/>
        <w:bidi w:val="0"/>
        <w:rPr>
          <w:rFonts w:hint="default"/>
          <w:highlight w:val="none"/>
        </w:rPr>
      </w:pPr>
      <w:r>
        <w:rPr>
          <w:rFonts w:hint="default"/>
          <w:highlight w:val="none"/>
        </w:rPr>
        <w:t>（20）</w:t>
      </w:r>
      <w:r>
        <w:rPr>
          <w:rFonts w:hint="eastAsia"/>
          <w:highlight w:val="none"/>
          <w:lang w:eastAsia="zh-CN"/>
        </w:rPr>
        <w:t>《</w:t>
      </w:r>
      <w:r>
        <w:rPr>
          <w:rFonts w:hint="eastAsia"/>
          <w:highlight w:val="none"/>
          <w:lang w:val="en-US" w:eastAsia="zh-CN"/>
        </w:rPr>
        <w:t>文山</w:t>
      </w:r>
      <w:r>
        <w:rPr>
          <w:rFonts w:hint="default"/>
          <w:highlight w:val="none"/>
        </w:rPr>
        <w:t>州生态环境分区管控动态更新调整方案（2023年）》；</w:t>
      </w:r>
    </w:p>
    <w:p w14:paraId="3EA1D91C">
      <w:pPr>
        <w:pStyle w:val="41"/>
        <w:bidi w:val="0"/>
        <w:rPr>
          <w:rFonts w:hint="default"/>
        </w:rPr>
      </w:pPr>
      <w:r>
        <w:rPr>
          <w:rFonts w:hint="default"/>
        </w:rPr>
        <w:t>（21）</w:t>
      </w:r>
      <w:r>
        <w:rPr>
          <w:rFonts w:hint="eastAsia"/>
          <w:lang w:eastAsia="zh-CN"/>
        </w:rPr>
        <w:t>《</w:t>
      </w:r>
      <w:r>
        <w:rPr>
          <w:rFonts w:hint="default"/>
        </w:rPr>
        <w:t>云南省全面加强非煤矿山安全生产工作若干措施》（云政办</w:t>
      </w:r>
      <w:r>
        <w:rPr>
          <w:rFonts w:hint="eastAsia"/>
          <w:lang w:eastAsia="zh-CN"/>
        </w:rPr>
        <w:t>〔2024〕44号</w:t>
      </w:r>
      <w:r>
        <w:rPr>
          <w:rFonts w:hint="default"/>
        </w:rPr>
        <w:t>）；</w:t>
      </w:r>
    </w:p>
    <w:p w14:paraId="4E78A171">
      <w:pPr>
        <w:pStyle w:val="41"/>
        <w:bidi w:val="0"/>
        <w:rPr>
          <w:rFonts w:hint="default"/>
        </w:rPr>
      </w:pPr>
      <w:r>
        <w:rPr>
          <w:rFonts w:hint="default"/>
        </w:rPr>
        <w:t>（22）</w:t>
      </w:r>
      <w:r>
        <w:rPr>
          <w:rFonts w:hint="eastAsia"/>
          <w:lang w:eastAsia="zh-CN"/>
        </w:rPr>
        <w:t>《</w:t>
      </w:r>
      <w:r>
        <w:rPr>
          <w:rFonts w:hint="default"/>
        </w:rPr>
        <w:t>云南省建筑垃圾管理办法（试行）》（云政办规〔2024〕4号）；</w:t>
      </w:r>
    </w:p>
    <w:p w14:paraId="2B769869">
      <w:pPr>
        <w:pStyle w:val="41"/>
        <w:bidi w:val="0"/>
        <w:rPr>
          <w:rFonts w:hint="default"/>
        </w:rPr>
      </w:pPr>
      <w:r>
        <w:rPr>
          <w:rFonts w:hint="default"/>
        </w:rPr>
        <w:t>（23）</w:t>
      </w:r>
      <w:r>
        <w:rPr>
          <w:rFonts w:hint="eastAsia"/>
          <w:lang w:eastAsia="zh-CN"/>
        </w:rPr>
        <w:t>《</w:t>
      </w:r>
      <w:r>
        <w:rPr>
          <w:rFonts w:hint="default"/>
        </w:rPr>
        <w:t>云南省突发环境事件应急预案管理办法》（云南省生态环境厅，</w:t>
      </w:r>
    </w:p>
    <w:p w14:paraId="688FABA1">
      <w:pPr>
        <w:pStyle w:val="41"/>
        <w:bidi w:val="0"/>
        <w:rPr>
          <w:rFonts w:hint="default"/>
        </w:rPr>
      </w:pPr>
      <w:r>
        <w:rPr>
          <w:rFonts w:hint="default"/>
        </w:rPr>
        <w:t>（24）</w:t>
      </w:r>
      <w:r>
        <w:rPr>
          <w:rFonts w:hint="eastAsia"/>
          <w:lang w:eastAsia="zh-CN"/>
        </w:rPr>
        <w:t>《</w:t>
      </w:r>
      <w:r>
        <w:rPr>
          <w:rFonts w:hint="default"/>
        </w:rPr>
        <w:t>云南省地下水管理办法》（2024年2月1日）；</w:t>
      </w:r>
    </w:p>
    <w:p w14:paraId="4F359EC9">
      <w:pPr>
        <w:pStyle w:val="41"/>
        <w:bidi w:val="0"/>
        <w:rPr>
          <w:rFonts w:hint="default"/>
        </w:rPr>
      </w:pPr>
      <w:r>
        <w:rPr>
          <w:rFonts w:hint="default"/>
        </w:rPr>
        <w:t>（25）</w:t>
      </w:r>
      <w:r>
        <w:rPr>
          <w:rFonts w:hint="eastAsia"/>
          <w:lang w:eastAsia="zh-CN"/>
        </w:rPr>
        <w:t>《</w:t>
      </w:r>
      <w:r>
        <w:rPr>
          <w:rFonts w:hint="default"/>
        </w:rPr>
        <w:t>云南省长江经济带发展负面清单指南实施细则（试行，2022年版）》（2022年8月19日）；</w:t>
      </w:r>
    </w:p>
    <w:p w14:paraId="1113C33E">
      <w:pPr>
        <w:pStyle w:val="41"/>
        <w:bidi w:val="0"/>
        <w:rPr>
          <w:rFonts w:hint="default"/>
        </w:rPr>
      </w:pPr>
      <w:r>
        <w:rPr>
          <w:rFonts w:hint="default"/>
          <w:lang w:eastAsia="zh-CN"/>
        </w:rPr>
        <w:t>（</w:t>
      </w:r>
      <w:r>
        <w:rPr>
          <w:rFonts w:hint="default"/>
          <w:lang w:val="en-US" w:eastAsia="zh-CN"/>
        </w:rPr>
        <w:t>26）</w:t>
      </w:r>
      <w:r>
        <w:rPr>
          <w:rFonts w:hint="eastAsia"/>
          <w:lang w:eastAsia="zh-CN"/>
        </w:rPr>
        <w:t>《</w:t>
      </w:r>
      <w:r>
        <w:rPr>
          <w:rFonts w:hint="default"/>
        </w:rPr>
        <w:t>云南省矿产资源总体规划》（2021-2025年）；</w:t>
      </w:r>
    </w:p>
    <w:p w14:paraId="31ABCED1">
      <w:pPr>
        <w:pStyle w:val="41"/>
        <w:bidi w:val="0"/>
        <w:rPr>
          <w:rFonts w:hint="default"/>
          <w:lang w:eastAsia="zh-CN"/>
        </w:rPr>
      </w:pPr>
      <w:r>
        <w:rPr>
          <w:rFonts w:hint="default"/>
          <w:lang w:eastAsia="zh-CN"/>
        </w:rPr>
        <w:t>（</w:t>
      </w:r>
      <w:r>
        <w:rPr>
          <w:rFonts w:hint="default"/>
          <w:lang w:val="en-US" w:eastAsia="zh-CN"/>
        </w:rPr>
        <w:t>27）</w:t>
      </w:r>
      <w:r>
        <w:rPr>
          <w:rFonts w:hint="eastAsia"/>
          <w:lang w:eastAsia="zh-CN"/>
        </w:rPr>
        <w:t>《</w:t>
      </w:r>
      <w:r>
        <w:rPr>
          <w:rFonts w:hint="default"/>
        </w:rPr>
        <w:t>云南省矿产资源总体规划（2021-2025年）环境影响报告书》</w:t>
      </w:r>
      <w:r>
        <w:rPr>
          <w:rFonts w:hint="default"/>
          <w:lang w:eastAsia="zh-CN"/>
        </w:rPr>
        <w:t>；</w:t>
      </w:r>
    </w:p>
    <w:p w14:paraId="4BFF689C">
      <w:pPr>
        <w:pStyle w:val="41"/>
        <w:bidi w:val="0"/>
        <w:rPr>
          <w:rFonts w:hint="default"/>
          <w:lang w:eastAsia="zh-CN"/>
        </w:rPr>
      </w:pPr>
      <w:r>
        <w:rPr>
          <w:rFonts w:hint="eastAsia"/>
          <w:lang w:eastAsia="zh-CN"/>
        </w:rPr>
        <w:t>（</w:t>
      </w:r>
      <w:r>
        <w:rPr>
          <w:rFonts w:hint="eastAsia"/>
          <w:lang w:val="en-US" w:eastAsia="zh-CN"/>
        </w:rPr>
        <w:t>28）</w:t>
      </w:r>
      <w:r>
        <w:t>《文山州矿产资源总体规划（2021—2025年）》</w:t>
      </w:r>
    </w:p>
    <w:p w14:paraId="658A2C68">
      <w:pPr>
        <w:pStyle w:val="41"/>
        <w:bidi w:val="0"/>
        <w:rPr>
          <w:rFonts w:hint="default"/>
          <w:lang w:val="en-US" w:eastAsia="zh-CN"/>
        </w:rPr>
      </w:pPr>
      <w:r>
        <w:rPr>
          <w:rFonts w:hint="default"/>
          <w:lang w:eastAsia="zh-CN"/>
        </w:rPr>
        <w:t>（</w:t>
      </w:r>
      <w:r>
        <w:rPr>
          <w:rFonts w:hint="eastAsia"/>
          <w:lang w:val="en-US" w:eastAsia="zh-CN"/>
        </w:rPr>
        <w:t>29</w:t>
      </w:r>
      <w:r>
        <w:rPr>
          <w:rFonts w:hint="default"/>
          <w:lang w:val="en-US" w:eastAsia="zh-CN"/>
        </w:rPr>
        <w:t>）</w:t>
      </w:r>
      <w:r>
        <w:rPr>
          <w:rFonts w:hint="eastAsia"/>
          <w:lang w:eastAsia="zh-CN"/>
        </w:rPr>
        <w:t>《</w:t>
      </w:r>
      <w:r>
        <w:rPr>
          <w:rFonts w:hint="default"/>
        </w:rPr>
        <w:t>云南省人民政府关于发布云南省生态保护红线的通知》（云政发〔2018〕32号）</w:t>
      </w:r>
      <w:r>
        <w:rPr>
          <w:rFonts w:hint="default"/>
          <w:lang w:eastAsia="zh-CN"/>
        </w:rPr>
        <w:t>。</w:t>
      </w:r>
    </w:p>
    <w:p w14:paraId="6B96056A">
      <w:pPr>
        <w:pStyle w:val="4"/>
        <w:bidi w:val="0"/>
        <w:rPr>
          <w:rFonts w:hint="default"/>
        </w:rPr>
      </w:pPr>
      <w:bookmarkStart w:id="36" w:name="_Toc17679"/>
      <w:r>
        <w:rPr>
          <w:rFonts w:hint="default"/>
        </w:rPr>
        <w:t>技术导则及规范</w:t>
      </w:r>
      <w:bookmarkEnd w:id="35"/>
      <w:bookmarkEnd w:id="36"/>
    </w:p>
    <w:p w14:paraId="3DB549C4">
      <w:pPr>
        <w:pStyle w:val="41"/>
        <w:bidi w:val="0"/>
        <w:rPr>
          <w:rFonts w:hint="default"/>
        </w:rPr>
      </w:pPr>
      <w:r>
        <w:rPr>
          <w:rFonts w:hint="default"/>
        </w:rPr>
        <w:t>（1）《建设项目环境影响评价技术导则 总纲》（HJ2.1－2016）；</w:t>
      </w:r>
    </w:p>
    <w:p w14:paraId="4EE3F7B8">
      <w:pPr>
        <w:pStyle w:val="41"/>
        <w:bidi w:val="0"/>
        <w:rPr>
          <w:rFonts w:hint="default"/>
        </w:rPr>
      </w:pPr>
      <w:r>
        <w:rPr>
          <w:rFonts w:hint="eastAsia"/>
          <w:lang w:eastAsia="zh-CN"/>
        </w:rPr>
        <w:t>（</w:t>
      </w:r>
      <w:r>
        <w:rPr>
          <w:rFonts w:hint="default"/>
        </w:rPr>
        <w:t>2）《环境影响评价技术导则 大气环境》（HJ2.2-2018）；</w:t>
      </w:r>
    </w:p>
    <w:p w14:paraId="7E10258C">
      <w:pPr>
        <w:pStyle w:val="41"/>
        <w:bidi w:val="0"/>
        <w:rPr>
          <w:rFonts w:hint="default"/>
        </w:rPr>
      </w:pPr>
      <w:r>
        <w:rPr>
          <w:rFonts w:hint="eastAsia"/>
          <w:lang w:eastAsia="zh-CN"/>
        </w:rPr>
        <w:t>（</w:t>
      </w:r>
      <w:r>
        <w:rPr>
          <w:rFonts w:hint="default"/>
        </w:rPr>
        <w:t>3）《环境影响评价技术导则 地表水环境》（HJ2.3-2018）；</w:t>
      </w:r>
    </w:p>
    <w:p w14:paraId="65D5BEA5">
      <w:pPr>
        <w:pStyle w:val="41"/>
        <w:bidi w:val="0"/>
        <w:rPr>
          <w:rFonts w:hint="default"/>
        </w:rPr>
      </w:pPr>
      <w:r>
        <w:rPr>
          <w:rFonts w:hint="eastAsia"/>
          <w:lang w:eastAsia="zh-CN"/>
        </w:rPr>
        <w:t>（</w:t>
      </w:r>
      <w:r>
        <w:rPr>
          <w:rFonts w:hint="default"/>
        </w:rPr>
        <w:t>4）《环境影响评价技术导则 声环境》（HJ2.4-2021）；</w:t>
      </w:r>
    </w:p>
    <w:p w14:paraId="6420B084">
      <w:pPr>
        <w:pStyle w:val="41"/>
        <w:bidi w:val="0"/>
        <w:rPr>
          <w:rFonts w:hint="default"/>
        </w:rPr>
      </w:pPr>
      <w:r>
        <w:rPr>
          <w:rFonts w:hint="eastAsia"/>
          <w:lang w:eastAsia="zh-CN"/>
        </w:rPr>
        <w:t>（</w:t>
      </w:r>
      <w:r>
        <w:rPr>
          <w:rFonts w:hint="default"/>
        </w:rPr>
        <w:t>5）《环境影响评价技术导则 生态影响》</w:t>
      </w:r>
      <w:r>
        <w:rPr>
          <w:rFonts w:hint="eastAsia"/>
          <w:lang w:eastAsia="zh-CN"/>
        </w:rPr>
        <w:t>（</w:t>
      </w:r>
      <w:r>
        <w:rPr>
          <w:rFonts w:hint="default"/>
        </w:rPr>
        <w:t>HJ19-2022</w:t>
      </w:r>
      <w:r>
        <w:rPr>
          <w:rFonts w:hint="eastAsia"/>
          <w:lang w:eastAsia="zh-CN"/>
        </w:rPr>
        <w:t>）</w:t>
      </w:r>
      <w:r>
        <w:rPr>
          <w:rFonts w:hint="default"/>
        </w:rPr>
        <w:t>；</w:t>
      </w:r>
    </w:p>
    <w:p w14:paraId="5DDA9BC0">
      <w:pPr>
        <w:pStyle w:val="41"/>
        <w:bidi w:val="0"/>
        <w:rPr>
          <w:rFonts w:hint="default"/>
        </w:rPr>
      </w:pPr>
      <w:r>
        <w:rPr>
          <w:rFonts w:hint="eastAsia"/>
          <w:lang w:eastAsia="zh-CN"/>
        </w:rPr>
        <w:t>（</w:t>
      </w:r>
      <w:r>
        <w:rPr>
          <w:rFonts w:hint="default"/>
        </w:rPr>
        <w:t>6）《建设项目环境风险评价技术导则》（HJ169-2018）；</w:t>
      </w:r>
    </w:p>
    <w:p w14:paraId="51545496">
      <w:pPr>
        <w:pStyle w:val="41"/>
        <w:bidi w:val="0"/>
        <w:rPr>
          <w:rFonts w:hint="default"/>
        </w:rPr>
      </w:pPr>
      <w:r>
        <w:rPr>
          <w:rFonts w:hint="eastAsia"/>
          <w:lang w:eastAsia="zh-CN"/>
        </w:rPr>
        <w:t>（</w:t>
      </w:r>
      <w:r>
        <w:rPr>
          <w:rFonts w:hint="default"/>
        </w:rPr>
        <w:t>7）《环境影响评价技术导则 地下水环境》（HJ610-2016）；</w:t>
      </w:r>
    </w:p>
    <w:p w14:paraId="50C51F71">
      <w:pPr>
        <w:pStyle w:val="41"/>
        <w:bidi w:val="0"/>
        <w:rPr>
          <w:rFonts w:hint="default"/>
        </w:rPr>
      </w:pPr>
      <w:r>
        <w:rPr>
          <w:rFonts w:hint="eastAsia"/>
          <w:lang w:eastAsia="zh-CN"/>
        </w:rPr>
        <w:t>（</w:t>
      </w:r>
      <w:r>
        <w:rPr>
          <w:rFonts w:hint="default"/>
        </w:rPr>
        <w:t>8）《环境影响评价技术导则 土壤环境（试行）》（HJ964</w:t>
      </w:r>
      <w:r>
        <w:rPr>
          <w:rFonts w:hint="eastAsia"/>
          <w:lang w:val="en-US" w:eastAsia="zh-CN"/>
        </w:rPr>
        <w:t>-</w:t>
      </w:r>
      <w:r>
        <w:rPr>
          <w:rFonts w:hint="default"/>
        </w:rPr>
        <w:t>2018）；</w:t>
      </w:r>
    </w:p>
    <w:p w14:paraId="3B2CD9FE">
      <w:pPr>
        <w:pStyle w:val="41"/>
        <w:bidi w:val="0"/>
        <w:rPr>
          <w:rFonts w:hint="default"/>
        </w:rPr>
      </w:pPr>
      <w:r>
        <w:rPr>
          <w:rFonts w:hint="eastAsia"/>
          <w:lang w:eastAsia="zh-CN"/>
        </w:rPr>
        <w:t>（</w:t>
      </w:r>
      <w:r>
        <w:rPr>
          <w:rFonts w:hint="default"/>
        </w:rPr>
        <w:t>9）《生产建设项目水土保持技术标准》（GB50433-2018）；</w:t>
      </w:r>
    </w:p>
    <w:p w14:paraId="5A01429B">
      <w:pPr>
        <w:pStyle w:val="41"/>
        <w:bidi w:val="0"/>
        <w:rPr>
          <w:rFonts w:hint="default"/>
        </w:rPr>
      </w:pPr>
      <w:r>
        <w:rPr>
          <w:rFonts w:hint="eastAsia"/>
          <w:lang w:eastAsia="zh-CN"/>
        </w:rPr>
        <w:t>（</w:t>
      </w:r>
      <w:r>
        <w:rPr>
          <w:rFonts w:hint="default"/>
        </w:rPr>
        <w:t>10）《矿山生态环境保护与恢复治理技术规范（试行）》（HJ651-2013）；</w:t>
      </w:r>
    </w:p>
    <w:p w14:paraId="4A342CC3">
      <w:pPr>
        <w:pStyle w:val="41"/>
        <w:bidi w:val="0"/>
        <w:rPr>
          <w:rFonts w:hint="default"/>
        </w:rPr>
      </w:pPr>
      <w:r>
        <w:rPr>
          <w:rFonts w:hint="eastAsia"/>
          <w:lang w:eastAsia="zh-CN"/>
        </w:rPr>
        <w:t>（</w:t>
      </w:r>
      <w:r>
        <w:rPr>
          <w:rFonts w:hint="default"/>
        </w:rPr>
        <w:t>11）《水污染治理工程技术导则》（HJ/T 2015-2012）；</w:t>
      </w:r>
    </w:p>
    <w:p w14:paraId="18C8A989">
      <w:pPr>
        <w:pStyle w:val="41"/>
        <w:bidi w:val="0"/>
        <w:rPr>
          <w:rFonts w:hint="eastAsia"/>
          <w:lang w:eastAsia="zh-CN"/>
        </w:rPr>
      </w:pPr>
      <w:r>
        <w:rPr>
          <w:rFonts w:hint="eastAsia"/>
          <w:lang w:eastAsia="zh-CN"/>
        </w:rPr>
        <w:t>（</w:t>
      </w:r>
      <w:r>
        <w:rPr>
          <w:rFonts w:hint="default"/>
        </w:rPr>
        <w:t>12）《大气污染治理工程技术导则》（HJ 2000-2010）；</w:t>
      </w:r>
    </w:p>
    <w:p w14:paraId="77306F9B">
      <w:pPr>
        <w:pStyle w:val="41"/>
        <w:bidi w:val="0"/>
        <w:rPr>
          <w:rFonts w:hint="eastAsia"/>
          <w:lang w:eastAsia="zh-CN"/>
        </w:rPr>
      </w:pPr>
      <w:r>
        <w:rPr>
          <w:rFonts w:hint="eastAsia"/>
          <w:lang w:eastAsia="zh-CN"/>
        </w:rPr>
        <w:t>（</w:t>
      </w:r>
      <w:r>
        <w:rPr>
          <w:rFonts w:hint="default"/>
        </w:rPr>
        <w:t>1</w:t>
      </w:r>
      <w:r>
        <w:rPr>
          <w:rFonts w:hint="eastAsia"/>
          <w:lang w:val="en-US" w:eastAsia="zh-CN"/>
        </w:rPr>
        <w:t>3</w:t>
      </w:r>
      <w:r>
        <w:rPr>
          <w:rFonts w:hint="default"/>
        </w:rPr>
        <w:t>）《排污单位自行监测技术指南 总则》（HJ 819-2017）</w:t>
      </w:r>
      <w:r>
        <w:rPr>
          <w:rFonts w:hint="eastAsia"/>
          <w:lang w:eastAsia="zh-CN"/>
        </w:rPr>
        <w:t>。</w:t>
      </w:r>
    </w:p>
    <w:p w14:paraId="618FF0E5">
      <w:pPr>
        <w:pStyle w:val="4"/>
        <w:bidi w:val="0"/>
        <w:rPr>
          <w:rFonts w:hint="default"/>
        </w:rPr>
      </w:pPr>
      <w:bookmarkStart w:id="37" w:name="_Toc14582"/>
      <w:bookmarkStart w:id="38" w:name="_Toc11653"/>
      <w:r>
        <w:rPr>
          <w:rFonts w:hint="default"/>
        </w:rPr>
        <w:t>与项目有关资料及文件</w:t>
      </w:r>
      <w:bookmarkEnd w:id="37"/>
      <w:bookmarkEnd w:id="38"/>
    </w:p>
    <w:p w14:paraId="11080732">
      <w:pPr>
        <w:pStyle w:val="41"/>
        <w:numPr>
          <w:ilvl w:val="0"/>
          <w:numId w:val="3"/>
        </w:numPr>
        <w:bidi w:val="0"/>
        <w:rPr>
          <w:rFonts w:hint="default"/>
        </w:rPr>
      </w:pPr>
      <w:r>
        <w:t>《云南普阳煤化工有限责任公司砚山县红舍克东山石灰岩矿2号矿建设项目环境影响报告表》</w:t>
      </w:r>
      <w:r>
        <w:rPr>
          <w:rFonts w:hint="eastAsia"/>
          <w:lang w:eastAsia="zh-CN"/>
        </w:rPr>
        <w:t>；</w:t>
      </w:r>
    </w:p>
    <w:p w14:paraId="5B2C3EC9">
      <w:pPr>
        <w:pStyle w:val="41"/>
        <w:numPr>
          <w:ilvl w:val="0"/>
          <w:numId w:val="3"/>
        </w:numPr>
        <w:bidi w:val="0"/>
        <w:rPr>
          <w:rFonts w:hint="eastAsia"/>
          <w:lang w:eastAsia="zh-CN"/>
        </w:rPr>
      </w:pPr>
      <w:r>
        <w:t>云南普阳煤化工有限责任公司砚山县红舍克东山石灰岩矿2号矿建设项目竣工环境保护验收调查表</w:t>
      </w:r>
      <w:r>
        <w:rPr>
          <w:rFonts w:hint="eastAsia"/>
          <w:lang w:eastAsia="zh-CN"/>
        </w:rPr>
        <w:t>；</w:t>
      </w:r>
    </w:p>
    <w:p w14:paraId="34043474">
      <w:pPr>
        <w:pStyle w:val="41"/>
        <w:numPr>
          <w:ilvl w:val="0"/>
          <w:numId w:val="3"/>
        </w:numPr>
        <w:bidi w:val="0"/>
        <w:rPr>
          <w:rFonts w:hint="default"/>
        </w:rPr>
      </w:pPr>
      <w:r>
        <w:t>《文山州生态环境局砚山分局关于对</w:t>
      </w:r>
      <w:r>
        <w:rPr>
          <w:rFonts w:hint="eastAsia"/>
          <w:lang w:eastAsia="zh-CN"/>
        </w:rPr>
        <w:t>〈</w:t>
      </w:r>
      <w:r>
        <w:t>云南普阳煤化工有限责任公司砚山县红舍克东山石灰岩矿2号矿建设项目环境影响报告表</w:t>
      </w:r>
      <w:r>
        <w:rPr>
          <w:rFonts w:hint="eastAsia"/>
          <w:lang w:eastAsia="zh-CN"/>
        </w:rPr>
        <w:t>〉</w:t>
      </w:r>
      <w:r>
        <w:t>的批复》</w:t>
      </w:r>
      <w:r>
        <w:rPr>
          <w:rFonts w:hint="eastAsia"/>
          <w:lang w:eastAsia="zh-CN"/>
        </w:rPr>
        <w:t>（</w:t>
      </w:r>
      <w:r>
        <w:t>砚环审〔2021〕8号</w:t>
      </w:r>
      <w:r>
        <w:rPr>
          <w:rFonts w:hint="eastAsia"/>
          <w:lang w:eastAsia="zh-CN"/>
        </w:rPr>
        <w:t>）</w:t>
      </w:r>
    </w:p>
    <w:p w14:paraId="65409AF9">
      <w:pPr>
        <w:pStyle w:val="41"/>
        <w:numPr>
          <w:ilvl w:val="0"/>
          <w:numId w:val="3"/>
        </w:numPr>
        <w:bidi w:val="0"/>
      </w:pPr>
      <w:r>
        <w:rPr>
          <w:rFonts w:hint="eastAsia"/>
        </w:rPr>
        <w:t>云南普阳煤化工有限责任公司于2025年11月提交的《云南省砚山县红舍克东山石灰岩矿资源储量核实报告（2025年9月30日）》；</w:t>
      </w:r>
    </w:p>
    <w:p w14:paraId="1AAF1F69">
      <w:pPr>
        <w:pStyle w:val="41"/>
        <w:numPr>
          <w:ilvl w:val="0"/>
          <w:numId w:val="3"/>
        </w:numPr>
        <w:bidi w:val="0"/>
        <w:rPr>
          <w:rFonts w:hint="eastAsia"/>
        </w:rPr>
      </w:pPr>
      <w:r>
        <w:t>《</w:t>
      </w:r>
      <w:r>
        <w:rPr>
          <w:rFonts w:hint="eastAsia"/>
        </w:rPr>
        <w:t>云南省砚山县红舍克东山石灰岩矿资源储量核实报告</w:t>
      </w:r>
      <w:r>
        <w:t>》</w:t>
      </w:r>
      <w:r>
        <w:rPr>
          <w:rFonts w:hint="eastAsia"/>
        </w:rPr>
        <w:t>（2025年9月30日）矿产资源储量评审意见书</w:t>
      </w:r>
      <w:r>
        <w:t>（</w:t>
      </w:r>
      <w:r>
        <w:rPr>
          <w:rFonts w:hint="eastAsia"/>
        </w:rPr>
        <w:t>金涌道矿评储字〔2025〕24号</w:t>
      </w:r>
      <w:r>
        <w:t>）；</w:t>
      </w:r>
    </w:p>
    <w:p w14:paraId="27867E83">
      <w:pPr>
        <w:pStyle w:val="41"/>
        <w:numPr>
          <w:ilvl w:val="0"/>
          <w:numId w:val="3"/>
        </w:numPr>
        <w:bidi w:val="0"/>
      </w:pPr>
      <w:r>
        <w:rPr>
          <w:rFonts w:hint="eastAsia"/>
          <w:lang w:eastAsia="zh-CN"/>
        </w:rPr>
        <w:t>《</w:t>
      </w:r>
      <w:r>
        <w:rPr>
          <w:rFonts w:hint="eastAsia"/>
        </w:rPr>
        <w:t>云南普阳煤化工有限责任公司砚山县红舍克东山石灰石矿</w:t>
      </w:r>
      <w:r>
        <w:t>开</w:t>
      </w:r>
      <w:r>
        <w:rPr>
          <w:rFonts w:hint="eastAsia"/>
        </w:rPr>
        <w:t>采</w:t>
      </w:r>
      <w:r>
        <w:t>方案</w:t>
      </w:r>
      <w:r>
        <w:rPr>
          <w:rFonts w:hint="eastAsia"/>
          <w:lang w:eastAsia="zh-CN"/>
        </w:rPr>
        <w:t>》</w:t>
      </w:r>
      <w:r>
        <w:rPr>
          <w:rFonts w:hint="eastAsia"/>
          <w:lang w:val="en-US" w:eastAsia="zh-CN"/>
        </w:rPr>
        <w:t>2026年1月；</w:t>
      </w:r>
    </w:p>
    <w:p w14:paraId="25F94C42">
      <w:pPr>
        <w:pStyle w:val="41"/>
        <w:numPr>
          <w:ilvl w:val="0"/>
          <w:numId w:val="3"/>
        </w:numPr>
        <w:bidi w:val="0"/>
      </w:pPr>
      <w:r>
        <w:rPr>
          <w:rFonts w:hint="eastAsia"/>
          <w:lang w:val="en-US" w:eastAsia="zh-CN"/>
        </w:rPr>
        <w:t>《</w:t>
      </w:r>
      <w:r>
        <w:rPr>
          <w:rFonts w:hint="eastAsia"/>
        </w:rPr>
        <w:t>文山州采矿权联勘联审、生态环境评估及相关规划审查意见表</w:t>
      </w:r>
      <w:r>
        <w:rPr>
          <w:rFonts w:hint="eastAsia"/>
          <w:lang w:eastAsia="zh-CN"/>
        </w:rPr>
        <w:t>》</w:t>
      </w:r>
      <w:r>
        <w:rPr>
          <w:rFonts w:hint="eastAsia"/>
        </w:rPr>
        <w:t>；</w:t>
      </w:r>
    </w:p>
    <w:p w14:paraId="75F7D073">
      <w:pPr>
        <w:pStyle w:val="41"/>
        <w:bidi w:val="0"/>
        <w:rPr>
          <w:rFonts w:hint="eastAsia"/>
          <w:lang w:eastAsia="zh-CN"/>
        </w:rPr>
      </w:pPr>
      <w:r>
        <w:rPr>
          <w:rFonts w:hint="eastAsia"/>
          <w:lang w:val="en-US" w:eastAsia="zh-CN"/>
        </w:rPr>
        <w:t>（8）其他相关资料。</w:t>
      </w:r>
    </w:p>
    <w:p w14:paraId="2B2F3DFB">
      <w:pPr>
        <w:pStyle w:val="3"/>
        <w:numPr>
          <w:ilvl w:val="1"/>
          <w:numId w:val="0"/>
        </w:numPr>
        <w:bidi w:val="0"/>
        <w:ind w:leftChars="0"/>
        <w:rPr>
          <w:rFonts w:hint="default"/>
          <w:lang w:val="en-US" w:eastAsia="zh-CN"/>
        </w:rPr>
      </w:pPr>
      <w:bookmarkStart w:id="39" w:name="_Toc3415"/>
      <w:bookmarkStart w:id="40" w:name="_Toc6712"/>
      <w:r>
        <w:rPr>
          <w:rFonts w:hint="default"/>
          <w:lang w:val="en-US" w:eastAsia="zh-CN"/>
        </w:rPr>
        <w:t>1.2评价目的和评价原则</w:t>
      </w:r>
      <w:bookmarkEnd w:id="39"/>
      <w:bookmarkEnd w:id="40"/>
    </w:p>
    <w:p w14:paraId="6DB6042A">
      <w:pPr>
        <w:pStyle w:val="4"/>
        <w:numPr>
          <w:ilvl w:val="2"/>
          <w:numId w:val="0"/>
        </w:numPr>
        <w:bidi w:val="0"/>
        <w:ind w:leftChars="0"/>
        <w:rPr>
          <w:rFonts w:hint="default"/>
        </w:rPr>
      </w:pPr>
      <w:bookmarkStart w:id="41" w:name="_Toc9125"/>
      <w:bookmarkStart w:id="42" w:name="_Toc32202"/>
      <w:r>
        <w:rPr>
          <w:rFonts w:hint="default"/>
        </w:rPr>
        <w:t>1.</w:t>
      </w:r>
      <w:r>
        <w:rPr>
          <w:rFonts w:hint="default"/>
          <w:lang w:val="en-US" w:eastAsia="zh-CN"/>
        </w:rPr>
        <w:t>2</w:t>
      </w:r>
      <w:r>
        <w:rPr>
          <w:rFonts w:hint="default"/>
        </w:rPr>
        <w:t>.1评价目的</w:t>
      </w:r>
      <w:bookmarkEnd w:id="41"/>
      <w:bookmarkEnd w:id="42"/>
    </w:p>
    <w:p w14:paraId="5957FC76">
      <w:pPr>
        <w:pStyle w:val="41"/>
        <w:bidi w:val="0"/>
        <w:rPr>
          <w:rFonts w:hint="default"/>
        </w:rPr>
      </w:pPr>
      <w:r>
        <w:rPr>
          <w:rFonts w:hint="default" w:ascii="Times New Roman" w:hAnsi="Times New Roman" w:cs="Times New Roman"/>
          <w:color w:val="000000" w:themeColor="text1"/>
          <w:highlight w:val="none"/>
          <w14:textFill>
            <w14:solidFill>
              <w14:schemeClr w14:val="tx1"/>
            </w14:solidFill>
          </w14:textFill>
        </w:rPr>
        <w:t>（</w:t>
      </w:r>
      <w:r>
        <w:rPr>
          <w:rFonts w:hint="default"/>
        </w:rPr>
        <w:t>1）通过对建设项目厂址周围的自然环境、环境质量现状的调查与分析，为项目建设提供现状资料。</w:t>
      </w:r>
    </w:p>
    <w:p w14:paraId="2AB11BA0">
      <w:pPr>
        <w:pStyle w:val="41"/>
        <w:bidi w:val="0"/>
        <w:rPr>
          <w:rFonts w:hint="default"/>
        </w:rPr>
      </w:pPr>
      <w:r>
        <w:rPr>
          <w:rFonts w:hint="default"/>
        </w:rPr>
        <w:t>（2）通过工程分析，查清该项目的污染类型、排污节点、主要污染源及污染物排放规律、浓度和治理情况，确定环境影响要素、污染因子，预测对环境的影响范围，提出切实可行的污染防治措施。</w:t>
      </w:r>
    </w:p>
    <w:p w14:paraId="02F0E610">
      <w:pPr>
        <w:pStyle w:val="41"/>
        <w:bidi w:val="0"/>
        <w:rPr>
          <w:rFonts w:hint="default"/>
        </w:rPr>
      </w:pPr>
      <w:r>
        <w:rPr>
          <w:rFonts w:hint="default"/>
        </w:rPr>
        <w:t>（3）通过分析项目建成投产后主要污染物排放对周围环境的影响程度，根据区域环境条件，提出污染物排放总量控制指标。</w:t>
      </w:r>
    </w:p>
    <w:p w14:paraId="5AEA5F51">
      <w:pPr>
        <w:pStyle w:val="41"/>
        <w:bidi w:val="0"/>
        <w:rPr>
          <w:rFonts w:hint="default"/>
        </w:rPr>
      </w:pPr>
      <w:r>
        <w:rPr>
          <w:rFonts w:hint="default"/>
        </w:rPr>
        <w:t>（4）明确</w:t>
      </w:r>
      <w:r>
        <w:rPr>
          <w:rFonts w:hint="default"/>
          <w:lang w:val="en-US" w:eastAsia="zh-CN"/>
        </w:rPr>
        <w:t>新设矿山</w:t>
      </w:r>
      <w:r>
        <w:rPr>
          <w:rFonts w:hint="default"/>
        </w:rPr>
        <w:t>是否符合相关规划要求。</w:t>
      </w:r>
    </w:p>
    <w:p w14:paraId="2B7CC681">
      <w:pPr>
        <w:pStyle w:val="41"/>
        <w:bidi w:val="0"/>
        <w:rPr>
          <w:rFonts w:hint="default"/>
          <w:lang w:eastAsia="zh-CN"/>
        </w:rPr>
      </w:pPr>
      <w:r>
        <w:rPr>
          <w:rFonts w:hint="default"/>
        </w:rPr>
        <w:t>（5）依据国家有关法律、环保法规、产业政策等，对该项目污染特点、污染防治措施等进行综合分析，从环保角度对工程的可行性作出明确结论，为设计单位设计、环境管理部门决策、建设单位环境管理提供科学依据</w:t>
      </w:r>
      <w:r>
        <w:rPr>
          <w:rFonts w:hint="default"/>
          <w:lang w:eastAsia="zh-CN"/>
        </w:rPr>
        <w:t>。</w:t>
      </w:r>
    </w:p>
    <w:p w14:paraId="0B5AE70F">
      <w:pPr>
        <w:pStyle w:val="4"/>
        <w:numPr>
          <w:ilvl w:val="2"/>
          <w:numId w:val="0"/>
        </w:numPr>
        <w:bidi w:val="0"/>
        <w:ind w:leftChars="0"/>
        <w:rPr>
          <w:rFonts w:hint="default"/>
        </w:rPr>
      </w:pPr>
      <w:bookmarkStart w:id="43" w:name="_Toc24087"/>
      <w:bookmarkStart w:id="44" w:name="_Toc31577"/>
      <w:r>
        <w:rPr>
          <w:rFonts w:hint="default"/>
        </w:rPr>
        <w:t>1.</w:t>
      </w:r>
      <w:r>
        <w:rPr>
          <w:rFonts w:hint="default"/>
          <w:lang w:val="en-US" w:eastAsia="zh-CN"/>
        </w:rPr>
        <w:t>2</w:t>
      </w:r>
      <w:r>
        <w:rPr>
          <w:rFonts w:hint="default"/>
        </w:rPr>
        <w:t>.2评价原则</w:t>
      </w:r>
      <w:bookmarkEnd w:id="43"/>
      <w:bookmarkEnd w:id="44"/>
    </w:p>
    <w:p w14:paraId="6BB2EDC6">
      <w:pPr>
        <w:pStyle w:val="41"/>
        <w:bidi w:val="0"/>
        <w:rPr>
          <w:rFonts w:hint="default"/>
        </w:rPr>
      </w:pPr>
      <w:r>
        <w:rPr>
          <w:rFonts w:hint="default"/>
        </w:rPr>
        <w:t>根据建设项目的建设规模、内容、施工和运行特点、对环境影响的情况，结合所在区域的环境现状和环境保护的政策法规，在进行评价工作时遵从以下原则：</w:t>
      </w:r>
    </w:p>
    <w:p w14:paraId="009BAA3B">
      <w:pPr>
        <w:pStyle w:val="41"/>
        <w:bidi w:val="0"/>
        <w:rPr>
          <w:rFonts w:hint="default"/>
        </w:rPr>
      </w:pPr>
      <w:r>
        <w:rPr>
          <w:rFonts w:hint="default"/>
        </w:rPr>
        <w:t>（1）依法评价：符合国家及云南省环境保护相关法律法规、标准、政策和规划等要求。</w:t>
      </w:r>
    </w:p>
    <w:p w14:paraId="16D1871D">
      <w:pPr>
        <w:pStyle w:val="41"/>
        <w:bidi w:val="0"/>
        <w:rPr>
          <w:rFonts w:hint="default"/>
        </w:rPr>
      </w:pPr>
      <w:r>
        <w:rPr>
          <w:rFonts w:hint="default"/>
        </w:rPr>
        <w:t>（2）科学评价：科学分析项目建设对环境质量的影响。</w:t>
      </w:r>
    </w:p>
    <w:p w14:paraId="5BCE56BB">
      <w:pPr>
        <w:pStyle w:val="41"/>
        <w:bidi w:val="0"/>
        <w:rPr>
          <w:rFonts w:hint="default" w:ascii="Times New Roman" w:hAnsi="Times New Roman" w:cs="Times New Roman"/>
          <w:color w:val="000000" w:themeColor="text1"/>
          <w:highlight w:val="none"/>
          <w14:textFill>
            <w14:solidFill>
              <w14:schemeClr w14:val="tx1"/>
            </w14:solidFill>
          </w14:textFill>
        </w:rPr>
      </w:pPr>
      <w:r>
        <w:rPr>
          <w:rFonts w:hint="default"/>
        </w:rPr>
        <w:t>（3）突出重点：根据建设项目的工程内容及其特点，明确与环境要素间的作用效应关系，充分利用相关的数据资料及成果，对建设项目主要环境影响予以重点分析和评价。</w:t>
      </w:r>
    </w:p>
    <w:p w14:paraId="613BFD59">
      <w:pPr>
        <w:pStyle w:val="3"/>
        <w:numPr>
          <w:ilvl w:val="1"/>
          <w:numId w:val="0"/>
        </w:numPr>
        <w:bidi w:val="0"/>
        <w:ind w:leftChars="0"/>
        <w:rPr>
          <w:rFonts w:hint="default" w:ascii="Times New Roman" w:hAnsi="Times New Roman" w:cs="Times New Roman"/>
          <w:color w:val="000000" w:themeColor="text1"/>
          <w:highlight w:val="none"/>
          <w:lang w:val="en-US"/>
          <w14:textFill>
            <w14:solidFill>
              <w14:schemeClr w14:val="tx1"/>
            </w14:solidFill>
          </w14:textFill>
        </w:rPr>
      </w:pPr>
      <w:bookmarkStart w:id="45" w:name="_Toc3926"/>
      <w:bookmarkStart w:id="46" w:name="_Toc26001"/>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3环境影响因素识别、评价因子筛选</w:t>
      </w:r>
      <w:bookmarkEnd w:id="45"/>
      <w:bookmarkEnd w:id="46"/>
    </w:p>
    <w:p w14:paraId="415254FD">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47" w:name="_Toc27540"/>
      <w:bookmarkStart w:id="48" w:name="_Toc20317"/>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环境影响因素识别</w:t>
      </w:r>
      <w:bookmarkEnd w:id="47"/>
      <w:bookmarkEnd w:id="48"/>
    </w:p>
    <w:p w14:paraId="088D3191">
      <w:pPr>
        <w:pStyle w:val="41"/>
        <w:bidi w:val="0"/>
        <w:rPr>
          <w:rFonts w:hint="default"/>
        </w:rPr>
      </w:pPr>
      <w:r>
        <w:rPr>
          <w:rFonts w:hint="default"/>
        </w:rPr>
        <w:t>评价分施工期和运营期两个时段进行，为了识别环境影响，设置环境问题识别矩阵，本项目的主要环境问题采用矩阵法进行筛选，详见表</w:t>
      </w:r>
      <w:r>
        <w:rPr>
          <w:rFonts w:hint="default"/>
          <w:lang w:val="en-US" w:eastAsia="zh-CN"/>
        </w:rPr>
        <w:t>1.3-</w:t>
      </w:r>
      <w:r>
        <w:rPr>
          <w:rFonts w:hint="eastAsia"/>
          <w:lang w:val="en-US" w:eastAsia="zh-CN"/>
        </w:rPr>
        <w:t>1</w:t>
      </w:r>
      <w:r>
        <w:rPr>
          <w:rFonts w:hint="default"/>
        </w:rPr>
        <w:t>。</w:t>
      </w:r>
    </w:p>
    <w:p w14:paraId="6E16CE20">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1.3-</w:t>
      </w:r>
      <w:r>
        <w:rPr>
          <w:rFonts w:hint="eastAsia"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b/>
          <w:bCs/>
          <w:color w:val="000000" w:themeColor="text1"/>
          <w:highlight w:val="none"/>
          <w14:textFill>
            <w14:solidFill>
              <w14:schemeClr w14:val="tx1"/>
            </w14:solidFill>
          </w14:textFill>
        </w:rPr>
        <w:t xml:space="preserve"> 主要环境问题识别矩阵</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529"/>
        <w:gridCol w:w="655"/>
        <w:gridCol w:w="585"/>
        <w:gridCol w:w="622"/>
        <w:gridCol w:w="656"/>
        <w:gridCol w:w="639"/>
        <w:gridCol w:w="634"/>
        <w:gridCol w:w="583"/>
        <w:gridCol w:w="556"/>
        <w:gridCol w:w="649"/>
        <w:gridCol w:w="653"/>
      </w:tblGrid>
      <w:tr w14:paraId="40B1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blHeader/>
          <w:jc w:val="center"/>
        </w:trPr>
        <w:tc>
          <w:tcPr>
            <w:tcW w:w="2290" w:type="dxa"/>
            <w:gridSpan w:val="2"/>
            <w:noWrap w:val="0"/>
            <w:vAlign w:val="center"/>
          </w:tcPr>
          <w:p w14:paraId="0FFE5CE4">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污染因子</w:t>
            </w:r>
          </w:p>
        </w:tc>
        <w:tc>
          <w:tcPr>
            <w:tcW w:w="1240" w:type="dxa"/>
            <w:gridSpan w:val="2"/>
            <w:noWrap w:val="0"/>
            <w:vAlign w:val="center"/>
          </w:tcPr>
          <w:p w14:paraId="41CB7EA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废气</w:t>
            </w:r>
          </w:p>
        </w:tc>
        <w:tc>
          <w:tcPr>
            <w:tcW w:w="1278" w:type="dxa"/>
            <w:gridSpan w:val="2"/>
            <w:noWrap w:val="0"/>
            <w:vAlign w:val="center"/>
          </w:tcPr>
          <w:p w14:paraId="237B67B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废水</w:t>
            </w:r>
          </w:p>
        </w:tc>
        <w:tc>
          <w:tcPr>
            <w:tcW w:w="1273" w:type="dxa"/>
            <w:gridSpan w:val="2"/>
            <w:noWrap w:val="0"/>
            <w:vAlign w:val="center"/>
          </w:tcPr>
          <w:p w14:paraId="750A5AB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固废</w:t>
            </w:r>
          </w:p>
        </w:tc>
        <w:tc>
          <w:tcPr>
            <w:tcW w:w="1139" w:type="dxa"/>
            <w:gridSpan w:val="2"/>
            <w:noWrap w:val="0"/>
            <w:vAlign w:val="center"/>
          </w:tcPr>
          <w:p w14:paraId="552D727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噪声</w:t>
            </w:r>
          </w:p>
        </w:tc>
        <w:tc>
          <w:tcPr>
            <w:tcW w:w="1302" w:type="dxa"/>
            <w:gridSpan w:val="2"/>
            <w:noWrap w:val="0"/>
            <w:vAlign w:val="center"/>
          </w:tcPr>
          <w:p w14:paraId="653648B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生态</w:t>
            </w:r>
          </w:p>
        </w:tc>
      </w:tr>
      <w:tr w14:paraId="0024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blHeader/>
          <w:jc w:val="center"/>
        </w:trPr>
        <w:tc>
          <w:tcPr>
            <w:tcW w:w="2290" w:type="dxa"/>
            <w:gridSpan w:val="2"/>
            <w:tcBorders>
              <w:tl2br w:val="single" w:color="auto" w:sz="4" w:space="0"/>
            </w:tcBorders>
            <w:noWrap w:val="0"/>
            <w:vAlign w:val="center"/>
          </w:tcPr>
          <w:p w14:paraId="37A5C0CB">
            <w:pPr>
              <w:pStyle w:val="43"/>
              <w:bidi w:val="0"/>
              <w:jc w:val="righ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时段</w:t>
            </w:r>
          </w:p>
          <w:p w14:paraId="68D0FBD6">
            <w:pPr>
              <w:pStyle w:val="43"/>
              <w:bidi w:val="0"/>
              <w:jc w:val="lef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环境因素</w:t>
            </w:r>
          </w:p>
        </w:tc>
        <w:tc>
          <w:tcPr>
            <w:tcW w:w="655" w:type="dxa"/>
            <w:noWrap w:val="0"/>
            <w:vAlign w:val="center"/>
          </w:tcPr>
          <w:p w14:paraId="64BE92C8">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施工期</w:t>
            </w:r>
          </w:p>
        </w:tc>
        <w:tc>
          <w:tcPr>
            <w:tcW w:w="585" w:type="dxa"/>
            <w:noWrap w:val="0"/>
            <w:vAlign w:val="center"/>
          </w:tcPr>
          <w:p w14:paraId="5CADE9B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运行期</w:t>
            </w:r>
          </w:p>
        </w:tc>
        <w:tc>
          <w:tcPr>
            <w:tcW w:w="622" w:type="dxa"/>
            <w:noWrap w:val="0"/>
            <w:vAlign w:val="center"/>
          </w:tcPr>
          <w:p w14:paraId="5BAE8FC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施工期</w:t>
            </w:r>
          </w:p>
        </w:tc>
        <w:tc>
          <w:tcPr>
            <w:tcW w:w="656" w:type="dxa"/>
            <w:noWrap w:val="0"/>
            <w:vAlign w:val="center"/>
          </w:tcPr>
          <w:p w14:paraId="1BAEF10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运行期</w:t>
            </w:r>
          </w:p>
        </w:tc>
        <w:tc>
          <w:tcPr>
            <w:tcW w:w="639" w:type="dxa"/>
            <w:noWrap w:val="0"/>
            <w:vAlign w:val="center"/>
          </w:tcPr>
          <w:p w14:paraId="0320F3B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施工期</w:t>
            </w:r>
          </w:p>
        </w:tc>
        <w:tc>
          <w:tcPr>
            <w:tcW w:w="634" w:type="dxa"/>
            <w:noWrap w:val="0"/>
            <w:vAlign w:val="center"/>
          </w:tcPr>
          <w:p w14:paraId="62C1E12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运行期</w:t>
            </w:r>
          </w:p>
        </w:tc>
        <w:tc>
          <w:tcPr>
            <w:tcW w:w="583" w:type="dxa"/>
            <w:noWrap w:val="0"/>
            <w:vAlign w:val="center"/>
          </w:tcPr>
          <w:p w14:paraId="5D578C5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施工期</w:t>
            </w:r>
          </w:p>
        </w:tc>
        <w:tc>
          <w:tcPr>
            <w:tcW w:w="556" w:type="dxa"/>
            <w:noWrap w:val="0"/>
            <w:vAlign w:val="center"/>
          </w:tcPr>
          <w:p w14:paraId="24D2067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运行期</w:t>
            </w:r>
          </w:p>
        </w:tc>
        <w:tc>
          <w:tcPr>
            <w:tcW w:w="649" w:type="dxa"/>
            <w:noWrap w:val="0"/>
            <w:vAlign w:val="center"/>
          </w:tcPr>
          <w:p w14:paraId="1BD1A7A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施工期</w:t>
            </w:r>
          </w:p>
        </w:tc>
        <w:tc>
          <w:tcPr>
            <w:tcW w:w="653" w:type="dxa"/>
            <w:noWrap w:val="0"/>
            <w:vAlign w:val="center"/>
          </w:tcPr>
          <w:p w14:paraId="0E972D05">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运行期</w:t>
            </w:r>
          </w:p>
        </w:tc>
      </w:tr>
      <w:tr w14:paraId="4EED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restart"/>
            <w:noWrap w:val="0"/>
            <w:vAlign w:val="center"/>
          </w:tcPr>
          <w:p w14:paraId="7689B08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自然</w:t>
            </w:r>
          </w:p>
          <w:p w14:paraId="6CFB350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环境</w:t>
            </w:r>
          </w:p>
        </w:tc>
        <w:tc>
          <w:tcPr>
            <w:tcW w:w="1529" w:type="dxa"/>
            <w:noWrap w:val="0"/>
            <w:vAlign w:val="center"/>
          </w:tcPr>
          <w:p w14:paraId="030A3D9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地质、地貌</w:t>
            </w:r>
          </w:p>
        </w:tc>
        <w:tc>
          <w:tcPr>
            <w:tcW w:w="655" w:type="dxa"/>
            <w:noWrap w:val="0"/>
            <w:vAlign w:val="center"/>
          </w:tcPr>
          <w:p w14:paraId="6896E885">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05D0316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72A908B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5CA6AEA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214371E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4" w:type="dxa"/>
            <w:noWrap w:val="0"/>
            <w:vAlign w:val="center"/>
          </w:tcPr>
          <w:p w14:paraId="4822C3B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-L2</w:t>
            </w:r>
          </w:p>
        </w:tc>
        <w:tc>
          <w:tcPr>
            <w:tcW w:w="583" w:type="dxa"/>
            <w:noWrap w:val="0"/>
            <w:vAlign w:val="center"/>
          </w:tcPr>
          <w:p w14:paraId="2FA912F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223B644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13E3899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653" w:type="dxa"/>
            <w:noWrap w:val="0"/>
            <w:vAlign w:val="center"/>
          </w:tcPr>
          <w:p w14:paraId="0424FDE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-L2</w:t>
            </w:r>
          </w:p>
        </w:tc>
      </w:tr>
      <w:tr w14:paraId="7E04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4E349722">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34411E97">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大气</w:t>
            </w:r>
            <w:r>
              <w:rPr>
                <w:rFonts w:hint="default" w:ascii="Times New Roman" w:hAnsi="Times New Roman" w:cs="Times New Roman"/>
                <w:color w:val="000000" w:themeColor="text1"/>
                <w:highlight w:val="none"/>
                <w:lang w:val="en-US" w:eastAsia="zh-CN"/>
                <w14:textFill>
                  <w14:solidFill>
                    <w14:schemeClr w14:val="tx1"/>
                  </w14:solidFill>
                </w14:textFill>
              </w:rPr>
              <w:t>环境</w:t>
            </w:r>
          </w:p>
        </w:tc>
        <w:tc>
          <w:tcPr>
            <w:tcW w:w="655" w:type="dxa"/>
            <w:noWrap w:val="0"/>
            <w:vAlign w:val="center"/>
          </w:tcPr>
          <w:p w14:paraId="6BFA126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585" w:type="dxa"/>
            <w:noWrap w:val="0"/>
            <w:vAlign w:val="center"/>
          </w:tcPr>
          <w:p w14:paraId="1FC9ED3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-L2</w:t>
            </w:r>
          </w:p>
        </w:tc>
        <w:tc>
          <w:tcPr>
            <w:tcW w:w="622" w:type="dxa"/>
            <w:noWrap w:val="0"/>
            <w:vAlign w:val="center"/>
          </w:tcPr>
          <w:p w14:paraId="6B9B8F6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7D9770A1">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07502E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4" w:type="dxa"/>
            <w:noWrap w:val="0"/>
            <w:vAlign w:val="center"/>
          </w:tcPr>
          <w:p w14:paraId="44D1238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L</w:t>
            </w:r>
            <w:r>
              <w:rPr>
                <w:rFonts w:hint="default" w:ascii="Times New Roman" w:hAnsi="Times New Roman" w:cs="Times New Roman"/>
                <w:color w:val="000000" w:themeColor="text1"/>
                <w:highlight w:val="none"/>
                <w14:textFill>
                  <w14:solidFill>
                    <w14:schemeClr w14:val="tx1"/>
                  </w14:solidFill>
                </w14:textFill>
              </w:rPr>
              <w:t>1</w:t>
            </w:r>
          </w:p>
        </w:tc>
        <w:tc>
          <w:tcPr>
            <w:tcW w:w="583" w:type="dxa"/>
            <w:noWrap w:val="0"/>
            <w:vAlign w:val="center"/>
          </w:tcPr>
          <w:p w14:paraId="654E9AF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603301C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538C876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0820FB32">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58E2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6FB55025">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52D1D472">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地表水</w:t>
            </w:r>
            <w:r>
              <w:rPr>
                <w:rFonts w:hint="default" w:ascii="Times New Roman" w:hAnsi="Times New Roman" w:cs="Times New Roman"/>
                <w:color w:val="000000" w:themeColor="text1"/>
                <w:highlight w:val="none"/>
                <w:lang w:val="en-US" w:eastAsia="zh-CN"/>
                <w14:textFill>
                  <w14:solidFill>
                    <w14:schemeClr w14:val="tx1"/>
                  </w14:solidFill>
                </w14:textFill>
              </w:rPr>
              <w:t>环境</w:t>
            </w:r>
          </w:p>
        </w:tc>
        <w:tc>
          <w:tcPr>
            <w:tcW w:w="655" w:type="dxa"/>
            <w:noWrap w:val="0"/>
            <w:vAlign w:val="center"/>
          </w:tcPr>
          <w:p w14:paraId="5584202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68F897B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7A059C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56" w:type="dxa"/>
            <w:noWrap w:val="0"/>
            <w:vAlign w:val="center"/>
          </w:tcPr>
          <w:p w14:paraId="27591996">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w:t>
            </w:r>
            <w:r>
              <w:rPr>
                <w:rFonts w:hint="default" w:ascii="Times New Roman" w:hAnsi="Times New Roman" w:cs="Times New Roman"/>
                <w:color w:val="000000" w:themeColor="text1"/>
                <w:highlight w:val="none"/>
                <w:lang w:val="en-US" w:eastAsia="zh-CN"/>
                <w14:textFill>
                  <w14:solidFill>
                    <w14:schemeClr w14:val="tx1"/>
                  </w14:solidFill>
                </w14:textFill>
              </w:rPr>
              <w:t>2</w:t>
            </w:r>
          </w:p>
        </w:tc>
        <w:tc>
          <w:tcPr>
            <w:tcW w:w="639" w:type="dxa"/>
            <w:noWrap w:val="0"/>
            <w:vAlign w:val="center"/>
          </w:tcPr>
          <w:p w14:paraId="5E13DC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4" w:type="dxa"/>
            <w:noWrap w:val="0"/>
            <w:vAlign w:val="center"/>
          </w:tcPr>
          <w:p w14:paraId="1582E07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583" w:type="dxa"/>
            <w:noWrap w:val="0"/>
            <w:vAlign w:val="center"/>
          </w:tcPr>
          <w:p w14:paraId="76BD2862">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28F56AF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7BB5D9D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35AE784B">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08B8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11669A5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5C2A454A">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地下水</w:t>
            </w:r>
            <w:r>
              <w:rPr>
                <w:rFonts w:hint="default" w:ascii="Times New Roman" w:hAnsi="Times New Roman" w:cs="Times New Roman"/>
                <w:color w:val="000000" w:themeColor="text1"/>
                <w:highlight w:val="none"/>
                <w:lang w:val="en-US" w:eastAsia="zh-CN"/>
                <w14:textFill>
                  <w14:solidFill>
                    <w14:schemeClr w14:val="tx1"/>
                  </w14:solidFill>
                </w14:textFill>
              </w:rPr>
              <w:t>环境</w:t>
            </w:r>
          </w:p>
        </w:tc>
        <w:tc>
          <w:tcPr>
            <w:tcW w:w="655" w:type="dxa"/>
            <w:noWrap w:val="0"/>
            <w:vAlign w:val="center"/>
          </w:tcPr>
          <w:p w14:paraId="6807F0C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0EB10EE2">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7F832D3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56" w:type="dxa"/>
            <w:noWrap w:val="0"/>
            <w:vAlign w:val="center"/>
          </w:tcPr>
          <w:p w14:paraId="542A322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639" w:type="dxa"/>
            <w:noWrap w:val="0"/>
            <w:vAlign w:val="center"/>
          </w:tcPr>
          <w:p w14:paraId="2FE75A8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4" w:type="dxa"/>
            <w:noWrap w:val="0"/>
            <w:vAlign w:val="center"/>
          </w:tcPr>
          <w:p w14:paraId="7F11BE6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583" w:type="dxa"/>
            <w:noWrap w:val="0"/>
            <w:vAlign w:val="center"/>
          </w:tcPr>
          <w:p w14:paraId="6CBF808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092800D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6C9F7BD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5D067C1C">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3CC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70BC86E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29084D17">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声</w:t>
            </w:r>
            <w:r>
              <w:rPr>
                <w:rFonts w:hint="default" w:ascii="Times New Roman" w:hAnsi="Times New Roman" w:cs="Times New Roman"/>
                <w:color w:val="000000" w:themeColor="text1"/>
                <w:highlight w:val="none"/>
                <w:lang w:val="en-US" w:eastAsia="zh-CN"/>
                <w14:textFill>
                  <w14:solidFill>
                    <w14:schemeClr w14:val="tx1"/>
                  </w14:solidFill>
                </w14:textFill>
              </w:rPr>
              <w:t>环境</w:t>
            </w:r>
          </w:p>
        </w:tc>
        <w:tc>
          <w:tcPr>
            <w:tcW w:w="655" w:type="dxa"/>
            <w:noWrap w:val="0"/>
            <w:vAlign w:val="center"/>
          </w:tcPr>
          <w:p w14:paraId="643C4D0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550268F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3B091A7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041B17B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37D8EF5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4" w:type="dxa"/>
            <w:noWrap w:val="0"/>
            <w:vAlign w:val="center"/>
          </w:tcPr>
          <w:p w14:paraId="21D98AE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3" w:type="dxa"/>
            <w:noWrap w:val="0"/>
            <w:vAlign w:val="center"/>
          </w:tcPr>
          <w:p w14:paraId="3811ECE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556" w:type="dxa"/>
            <w:noWrap w:val="0"/>
            <w:vAlign w:val="center"/>
          </w:tcPr>
          <w:p w14:paraId="149C8E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649" w:type="dxa"/>
            <w:noWrap w:val="0"/>
            <w:vAlign w:val="center"/>
          </w:tcPr>
          <w:p w14:paraId="2FA5CC8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5369BB71">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6621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66578921">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5DC703F9">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土壤</w:t>
            </w:r>
            <w:r>
              <w:rPr>
                <w:rFonts w:hint="default" w:ascii="Times New Roman" w:hAnsi="Times New Roman" w:cs="Times New Roman"/>
                <w:color w:val="000000" w:themeColor="text1"/>
                <w:highlight w:val="none"/>
                <w:lang w:val="en-US" w:eastAsia="zh-CN"/>
                <w14:textFill>
                  <w14:solidFill>
                    <w14:schemeClr w14:val="tx1"/>
                  </w14:solidFill>
                </w14:textFill>
              </w:rPr>
              <w:t>环境</w:t>
            </w:r>
          </w:p>
        </w:tc>
        <w:tc>
          <w:tcPr>
            <w:tcW w:w="655" w:type="dxa"/>
            <w:noWrap w:val="0"/>
            <w:vAlign w:val="center"/>
          </w:tcPr>
          <w:p w14:paraId="13E9461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5E1C61B8">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4DAE791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4BEAA3C5">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6935D28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4" w:type="dxa"/>
            <w:noWrap w:val="0"/>
            <w:vAlign w:val="center"/>
          </w:tcPr>
          <w:p w14:paraId="52F20BB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583" w:type="dxa"/>
            <w:noWrap w:val="0"/>
            <w:vAlign w:val="center"/>
          </w:tcPr>
          <w:p w14:paraId="20762577">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148F2FC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6106BC15">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3FCE52B4">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671D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tcBorders>
              <w:bottom w:val="single" w:color="auto" w:sz="2" w:space="0"/>
            </w:tcBorders>
            <w:noWrap w:val="0"/>
            <w:vAlign w:val="center"/>
          </w:tcPr>
          <w:p w14:paraId="28C4265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0544E284">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动植物</w:t>
            </w:r>
          </w:p>
        </w:tc>
        <w:tc>
          <w:tcPr>
            <w:tcW w:w="655" w:type="dxa"/>
            <w:noWrap w:val="0"/>
            <w:vAlign w:val="center"/>
          </w:tcPr>
          <w:p w14:paraId="45DD7632">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3FC136E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622" w:type="dxa"/>
            <w:noWrap w:val="0"/>
            <w:vAlign w:val="center"/>
          </w:tcPr>
          <w:p w14:paraId="7116A4C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7F77934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538630E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4" w:type="dxa"/>
            <w:noWrap w:val="0"/>
            <w:vAlign w:val="center"/>
          </w:tcPr>
          <w:p w14:paraId="19FC34B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3" w:type="dxa"/>
            <w:noWrap w:val="0"/>
            <w:vAlign w:val="center"/>
          </w:tcPr>
          <w:p w14:paraId="6FC6958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0743382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602D947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53" w:type="dxa"/>
            <w:noWrap w:val="0"/>
            <w:vAlign w:val="center"/>
          </w:tcPr>
          <w:p w14:paraId="12383AC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-L2</w:t>
            </w:r>
          </w:p>
        </w:tc>
      </w:tr>
      <w:tr w14:paraId="07E8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restart"/>
            <w:noWrap w:val="0"/>
            <w:vAlign w:val="center"/>
          </w:tcPr>
          <w:p w14:paraId="3E2489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自然</w:t>
            </w:r>
          </w:p>
          <w:p w14:paraId="5DE2B20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资源</w:t>
            </w:r>
          </w:p>
        </w:tc>
        <w:tc>
          <w:tcPr>
            <w:tcW w:w="1529" w:type="dxa"/>
            <w:noWrap w:val="0"/>
            <w:vAlign w:val="center"/>
          </w:tcPr>
          <w:p w14:paraId="75C8282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水资源</w:t>
            </w:r>
          </w:p>
        </w:tc>
        <w:tc>
          <w:tcPr>
            <w:tcW w:w="655" w:type="dxa"/>
            <w:noWrap w:val="0"/>
            <w:vAlign w:val="center"/>
          </w:tcPr>
          <w:p w14:paraId="0C919BB2">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0936B31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37E9037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56" w:type="dxa"/>
            <w:noWrap w:val="0"/>
            <w:vAlign w:val="center"/>
          </w:tcPr>
          <w:p w14:paraId="1A0F8DF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639" w:type="dxa"/>
            <w:noWrap w:val="0"/>
            <w:vAlign w:val="center"/>
          </w:tcPr>
          <w:p w14:paraId="61D2CAD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4" w:type="dxa"/>
            <w:noWrap w:val="0"/>
            <w:vAlign w:val="center"/>
          </w:tcPr>
          <w:p w14:paraId="42A07628">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3" w:type="dxa"/>
            <w:noWrap w:val="0"/>
            <w:vAlign w:val="center"/>
          </w:tcPr>
          <w:p w14:paraId="31EF0BC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777A8DE0">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0242E268">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3F5EAC6D">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6E0C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761" w:type="dxa"/>
            <w:vMerge w:val="continue"/>
            <w:noWrap w:val="0"/>
            <w:vAlign w:val="center"/>
          </w:tcPr>
          <w:p w14:paraId="74E3C34D">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529" w:type="dxa"/>
            <w:noWrap w:val="0"/>
            <w:vAlign w:val="center"/>
          </w:tcPr>
          <w:p w14:paraId="256A195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土地资源</w:t>
            </w:r>
          </w:p>
        </w:tc>
        <w:tc>
          <w:tcPr>
            <w:tcW w:w="655" w:type="dxa"/>
            <w:noWrap w:val="0"/>
            <w:vAlign w:val="center"/>
          </w:tcPr>
          <w:p w14:paraId="71F4F080">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7AC74FD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4BF0927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3A9DE6A8">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9" w:type="dxa"/>
            <w:noWrap w:val="0"/>
            <w:vAlign w:val="center"/>
          </w:tcPr>
          <w:p w14:paraId="79E9E71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4" w:type="dxa"/>
            <w:noWrap w:val="0"/>
            <w:vAlign w:val="center"/>
          </w:tcPr>
          <w:p w14:paraId="7E57731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583" w:type="dxa"/>
            <w:noWrap w:val="0"/>
            <w:vAlign w:val="center"/>
          </w:tcPr>
          <w:p w14:paraId="43EC728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37DBF33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420D20E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53" w:type="dxa"/>
            <w:noWrap w:val="0"/>
            <w:vAlign w:val="center"/>
          </w:tcPr>
          <w:p w14:paraId="784C4C3A">
            <w:pPr>
              <w:pStyle w:val="43"/>
              <w:bidi w:val="0"/>
              <w:rPr>
                <w:rFonts w:hint="default" w:ascii="Times New Roman" w:hAnsi="Times New Roman" w:cs="Times New Roman"/>
                <w:color w:val="000000" w:themeColor="text1"/>
                <w:highlight w:val="none"/>
                <w14:textFill>
                  <w14:solidFill>
                    <w14:schemeClr w14:val="tx1"/>
                  </w14:solidFill>
                </w14:textFill>
              </w:rPr>
            </w:pPr>
          </w:p>
        </w:tc>
      </w:tr>
      <w:tr w14:paraId="1C50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2290" w:type="dxa"/>
            <w:gridSpan w:val="2"/>
            <w:noWrap w:val="0"/>
            <w:vAlign w:val="center"/>
          </w:tcPr>
          <w:p w14:paraId="5D3810D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环境风险</w:t>
            </w:r>
          </w:p>
        </w:tc>
        <w:tc>
          <w:tcPr>
            <w:tcW w:w="655" w:type="dxa"/>
            <w:noWrap w:val="0"/>
            <w:vAlign w:val="center"/>
          </w:tcPr>
          <w:p w14:paraId="3BF5F40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85" w:type="dxa"/>
            <w:noWrap w:val="0"/>
            <w:vAlign w:val="center"/>
          </w:tcPr>
          <w:p w14:paraId="2523497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22" w:type="dxa"/>
            <w:noWrap w:val="0"/>
            <w:vAlign w:val="center"/>
          </w:tcPr>
          <w:p w14:paraId="7E312F3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6" w:type="dxa"/>
            <w:noWrap w:val="0"/>
            <w:vAlign w:val="center"/>
          </w:tcPr>
          <w:p w14:paraId="6180038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-S1</w:t>
            </w:r>
          </w:p>
        </w:tc>
        <w:tc>
          <w:tcPr>
            <w:tcW w:w="639" w:type="dxa"/>
            <w:noWrap w:val="0"/>
            <w:vAlign w:val="center"/>
          </w:tcPr>
          <w:p w14:paraId="795BD05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34" w:type="dxa"/>
            <w:noWrap w:val="0"/>
            <w:vAlign w:val="center"/>
          </w:tcPr>
          <w:p w14:paraId="420F87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-L1</w:t>
            </w:r>
          </w:p>
        </w:tc>
        <w:tc>
          <w:tcPr>
            <w:tcW w:w="583" w:type="dxa"/>
            <w:noWrap w:val="0"/>
            <w:vAlign w:val="center"/>
          </w:tcPr>
          <w:p w14:paraId="676F78F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556" w:type="dxa"/>
            <w:noWrap w:val="0"/>
            <w:vAlign w:val="center"/>
          </w:tcPr>
          <w:p w14:paraId="0B8AC75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49" w:type="dxa"/>
            <w:noWrap w:val="0"/>
            <w:vAlign w:val="center"/>
          </w:tcPr>
          <w:p w14:paraId="16ADF3B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3" w:type="dxa"/>
            <w:noWrap w:val="0"/>
            <w:vAlign w:val="center"/>
          </w:tcPr>
          <w:p w14:paraId="64813FEF">
            <w:pPr>
              <w:pStyle w:val="43"/>
              <w:bidi w:val="0"/>
              <w:rPr>
                <w:rFonts w:hint="default" w:ascii="Times New Roman" w:hAnsi="Times New Roman" w:cs="Times New Roman"/>
                <w:color w:val="000000" w:themeColor="text1"/>
                <w:highlight w:val="none"/>
                <w14:textFill>
                  <w14:solidFill>
                    <w14:schemeClr w14:val="tx1"/>
                  </w14:solidFill>
                </w14:textFill>
              </w:rPr>
            </w:pPr>
          </w:p>
        </w:tc>
      </w:tr>
    </w:tbl>
    <w:p w14:paraId="016FE5FA">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注：填表说明：S/L：短期/长期影响；+/-：有利/不利影响；空白：影响很小或无影响，1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影响一般，2</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影响较大。</w:t>
      </w:r>
    </w:p>
    <w:p w14:paraId="3C6DC121">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49" w:name="_Toc5015"/>
      <w:bookmarkStart w:id="50" w:name="_Toc25425"/>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.2环境影响因子识别和筛选</w:t>
      </w:r>
      <w:bookmarkEnd w:id="49"/>
      <w:bookmarkEnd w:id="50"/>
    </w:p>
    <w:p w14:paraId="4AE91C28">
      <w:pPr>
        <w:pStyle w:val="41"/>
        <w:bidi w:val="0"/>
        <w:rPr>
          <w:rFonts w:hint="default"/>
        </w:rPr>
      </w:pPr>
      <w:r>
        <w:rPr>
          <w:rFonts w:hint="default"/>
        </w:rPr>
        <w:t>根据项目周围环境状况和建设项目主要污染特征，选择能够</w:t>
      </w:r>
      <w:r>
        <w:rPr>
          <w:rFonts w:hint="eastAsia"/>
          <w:lang w:eastAsia="zh-CN"/>
        </w:rPr>
        <w:t>反映</w:t>
      </w:r>
      <w:r>
        <w:rPr>
          <w:rFonts w:hint="default"/>
        </w:rPr>
        <w:t>工程污染物特征、污染物种类、数量的环境因子作为评价因子，结合环境现状，为控制建设项目环境污染，制定防治对策及综合利用提供依据。本项目</w:t>
      </w:r>
      <w:r>
        <w:rPr>
          <w:rFonts w:hint="default"/>
          <w:lang w:val="en-US" w:eastAsia="zh-CN"/>
        </w:rPr>
        <w:t>生态影响评价因子见表1.3-3，其他环境要素</w:t>
      </w:r>
      <w:r>
        <w:rPr>
          <w:rFonts w:hint="default"/>
        </w:rPr>
        <w:t>评价因子详见表</w:t>
      </w:r>
      <w:r>
        <w:rPr>
          <w:rFonts w:hint="default"/>
          <w:lang w:val="en-US" w:eastAsia="zh-CN"/>
        </w:rPr>
        <w:t>1.3-</w:t>
      </w:r>
      <w:r>
        <w:rPr>
          <w:rFonts w:hint="eastAsia"/>
          <w:lang w:val="en-US" w:eastAsia="zh-CN"/>
        </w:rPr>
        <w:t>2</w:t>
      </w:r>
      <w:r>
        <w:rPr>
          <w:rFonts w:hint="default"/>
        </w:rPr>
        <w:t>。</w:t>
      </w:r>
    </w:p>
    <w:p w14:paraId="0F2BE40A">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bookmarkStart w:id="51" w:name="_Toc47707839"/>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1.3-3  </w:t>
      </w:r>
      <w:r>
        <w:rPr>
          <w:rFonts w:hint="default" w:ascii="Times New Roman" w:hAnsi="Times New Roman" w:cs="Times New Roman"/>
          <w:b/>
          <w:bCs/>
          <w:color w:val="000000" w:themeColor="text1"/>
          <w:highlight w:val="none"/>
          <w14:textFill>
            <w14:solidFill>
              <w14:schemeClr w14:val="tx1"/>
            </w14:solidFill>
          </w14:textFill>
        </w:rPr>
        <w:t>本项目</w:t>
      </w:r>
      <w:r>
        <w:rPr>
          <w:rFonts w:hint="default" w:ascii="Times New Roman" w:hAnsi="Times New Roman" w:cs="Times New Roman"/>
          <w:b/>
          <w:bCs/>
          <w:color w:val="000000" w:themeColor="text1"/>
          <w:highlight w:val="none"/>
          <w:lang w:val="en-US" w:eastAsia="zh-CN"/>
          <w14:textFill>
            <w14:solidFill>
              <w14:schemeClr w14:val="tx1"/>
            </w14:solidFill>
          </w14:textFill>
        </w:rPr>
        <w:t>生态</w:t>
      </w:r>
      <w:r>
        <w:rPr>
          <w:rFonts w:hint="default" w:ascii="Times New Roman" w:hAnsi="Times New Roman" w:cs="Times New Roman"/>
          <w:b/>
          <w:bCs/>
          <w:color w:val="000000" w:themeColor="text1"/>
          <w:highlight w:val="none"/>
          <w14:textFill>
            <w14:solidFill>
              <w14:schemeClr w14:val="tx1"/>
            </w14:solidFill>
          </w14:textFill>
        </w:rPr>
        <w:t>环境影响评价因子</w:t>
      </w:r>
      <w:bookmarkEnd w:id="51"/>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589"/>
        <w:gridCol w:w="3495"/>
        <w:gridCol w:w="1748"/>
        <w:gridCol w:w="663"/>
      </w:tblGrid>
      <w:tr w14:paraId="5A92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00" w:type="dxa"/>
            <w:vAlign w:val="center"/>
          </w:tcPr>
          <w:p w14:paraId="187547A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受影响对象</w:t>
            </w:r>
          </w:p>
        </w:tc>
        <w:tc>
          <w:tcPr>
            <w:tcW w:w="1547" w:type="dxa"/>
            <w:vAlign w:val="center"/>
          </w:tcPr>
          <w:p w14:paraId="656403BB">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评价因子</w:t>
            </w:r>
          </w:p>
        </w:tc>
        <w:tc>
          <w:tcPr>
            <w:tcW w:w="3402" w:type="dxa"/>
            <w:vAlign w:val="center"/>
          </w:tcPr>
          <w:p w14:paraId="2EA6DA1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工程内容及影响方式</w:t>
            </w:r>
          </w:p>
        </w:tc>
        <w:tc>
          <w:tcPr>
            <w:tcW w:w="1702" w:type="dxa"/>
            <w:vAlign w:val="center"/>
          </w:tcPr>
          <w:p w14:paraId="4B0C2DEB">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影响性质</w:t>
            </w:r>
          </w:p>
        </w:tc>
        <w:tc>
          <w:tcPr>
            <w:tcW w:w="645" w:type="dxa"/>
            <w:vAlign w:val="center"/>
          </w:tcPr>
          <w:p w14:paraId="3A93183B">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影响程度</w:t>
            </w:r>
          </w:p>
        </w:tc>
      </w:tr>
      <w:tr w14:paraId="4771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71FE6B1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物种</w:t>
            </w:r>
          </w:p>
        </w:tc>
        <w:tc>
          <w:tcPr>
            <w:tcW w:w="1547" w:type="dxa"/>
            <w:vAlign w:val="center"/>
          </w:tcPr>
          <w:p w14:paraId="054D7FF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分布范围、种群数量、种群结构、行为等</w:t>
            </w:r>
          </w:p>
        </w:tc>
        <w:tc>
          <w:tcPr>
            <w:tcW w:w="3402" w:type="dxa"/>
            <w:vAlign w:val="center"/>
          </w:tcPr>
          <w:p w14:paraId="049A686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61B485C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0043A83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5DD4AA7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6AD3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79C1827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生境</w:t>
            </w:r>
          </w:p>
        </w:tc>
        <w:tc>
          <w:tcPr>
            <w:tcW w:w="1547" w:type="dxa"/>
            <w:vAlign w:val="center"/>
          </w:tcPr>
          <w:p w14:paraId="14C05D0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生境面积、质量、连通性等</w:t>
            </w:r>
          </w:p>
        </w:tc>
        <w:tc>
          <w:tcPr>
            <w:tcW w:w="3402" w:type="dxa"/>
            <w:vAlign w:val="center"/>
          </w:tcPr>
          <w:p w14:paraId="6E8A425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04E7D87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2FE0CED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18F745E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191A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5B0A395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生物群落</w:t>
            </w:r>
          </w:p>
        </w:tc>
        <w:tc>
          <w:tcPr>
            <w:tcW w:w="1547" w:type="dxa"/>
            <w:vAlign w:val="center"/>
          </w:tcPr>
          <w:p w14:paraId="6AE1DC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物种组成、群落结构等</w:t>
            </w:r>
          </w:p>
        </w:tc>
        <w:tc>
          <w:tcPr>
            <w:tcW w:w="3402" w:type="dxa"/>
            <w:vAlign w:val="center"/>
          </w:tcPr>
          <w:p w14:paraId="62EEC49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34D3E15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446ADA1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3E4A1A5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1020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46FFE43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生态系统</w:t>
            </w:r>
          </w:p>
        </w:tc>
        <w:tc>
          <w:tcPr>
            <w:tcW w:w="1547" w:type="dxa"/>
            <w:vAlign w:val="center"/>
          </w:tcPr>
          <w:p w14:paraId="0BC74E6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植被覆盖度、生产力、生物量、生态系统功能等</w:t>
            </w:r>
          </w:p>
        </w:tc>
        <w:tc>
          <w:tcPr>
            <w:tcW w:w="3402" w:type="dxa"/>
            <w:vAlign w:val="center"/>
          </w:tcPr>
          <w:p w14:paraId="707FFF7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6706C65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4AB5199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386E68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66C9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73B12E4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生物多样性</w:t>
            </w:r>
          </w:p>
        </w:tc>
        <w:tc>
          <w:tcPr>
            <w:tcW w:w="1547" w:type="dxa"/>
            <w:vAlign w:val="center"/>
          </w:tcPr>
          <w:p w14:paraId="5765916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物种丰富度、均匀度、优势度等</w:t>
            </w:r>
          </w:p>
        </w:tc>
        <w:tc>
          <w:tcPr>
            <w:tcW w:w="3402" w:type="dxa"/>
            <w:vAlign w:val="center"/>
          </w:tcPr>
          <w:p w14:paraId="1C56570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6F737EC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5A1F1FE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750D902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3F1D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6D37A97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自然景观</w:t>
            </w:r>
          </w:p>
        </w:tc>
        <w:tc>
          <w:tcPr>
            <w:tcW w:w="1547" w:type="dxa"/>
            <w:vAlign w:val="center"/>
          </w:tcPr>
          <w:p w14:paraId="256428D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景观多样性、完整性等</w:t>
            </w:r>
          </w:p>
        </w:tc>
        <w:tc>
          <w:tcPr>
            <w:tcW w:w="3402" w:type="dxa"/>
            <w:vAlign w:val="center"/>
          </w:tcPr>
          <w:p w14:paraId="7FDEA1B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5CAB2E2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4F3E9DB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472D60A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r w14:paraId="439B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vAlign w:val="center"/>
          </w:tcPr>
          <w:p w14:paraId="0906D0C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生态敏感区</w:t>
            </w:r>
          </w:p>
        </w:tc>
        <w:tc>
          <w:tcPr>
            <w:tcW w:w="1547" w:type="dxa"/>
            <w:vAlign w:val="center"/>
          </w:tcPr>
          <w:p w14:paraId="20CB6B0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主要保护对象、生态功能等</w:t>
            </w:r>
          </w:p>
        </w:tc>
        <w:tc>
          <w:tcPr>
            <w:tcW w:w="3402" w:type="dxa"/>
            <w:vAlign w:val="center"/>
          </w:tcPr>
          <w:p w14:paraId="2A1A135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施工期：施工</w:t>
            </w:r>
            <w:r>
              <w:rPr>
                <w:rFonts w:hint="eastAsia" w:cs="Times New Roman"/>
                <w:color w:val="000000" w:themeColor="text1"/>
                <w:highlight w:val="none"/>
                <w:lang w:eastAsia="zh-CN"/>
                <w14:textFill>
                  <w14:solidFill>
                    <w14:schemeClr w14:val="tx1"/>
                  </w14:solidFill>
                </w14:textFill>
              </w:rPr>
              <w:t>活动</w:t>
            </w:r>
            <w:r>
              <w:rPr>
                <w:rFonts w:hint="default" w:ascii="Times New Roman" w:hAnsi="Times New Roman" w:cs="Times New Roman"/>
                <w:color w:val="000000" w:themeColor="text1"/>
                <w:highlight w:val="none"/>
                <w14:textFill>
                  <w14:solidFill>
                    <w14:schemeClr w14:val="tx1"/>
                  </w14:solidFill>
                </w14:textFill>
              </w:rPr>
              <w:t>，间接影响；开采期：矿山开采，间接影响</w:t>
            </w:r>
          </w:p>
        </w:tc>
        <w:tc>
          <w:tcPr>
            <w:tcW w:w="1702" w:type="dxa"/>
            <w:vAlign w:val="center"/>
          </w:tcPr>
          <w:p w14:paraId="4B25FEA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施工期：短期；</w:t>
            </w:r>
          </w:p>
          <w:p w14:paraId="10D1409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开采期：长期</w:t>
            </w:r>
          </w:p>
        </w:tc>
        <w:tc>
          <w:tcPr>
            <w:tcW w:w="645" w:type="dxa"/>
            <w:vAlign w:val="center"/>
          </w:tcPr>
          <w:p w14:paraId="447E59C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弱</w:t>
            </w:r>
          </w:p>
        </w:tc>
      </w:tr>
    </w:tbl>
    <w:p w14:paraId="058CB35A">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1.3-4 </w:t>
      </w:r>
      <w:r>
        <w:rPr>
          <w:rFonts w:hint="default" w:ascii="Times New Roman" w:hAnsi="Times New Roman" w:cs="Times New Roman"/>
          <w:b/>
          <w:bCs/>
          <w:color w:val="000000" w:themeColor="text1"/>
          <w:highlight w:val="none"/>
          <w14:textFill>
            <w14:solidFill>
              <w14:schemeClr w14:val="tx1"/>
            </w14:solidFill>
          </w14:textFill>
        </w:rPr>
        <w:t xml:space="preserve"> 项目</w:t>
      </w:r>
      <w:r>
        <w:rPr>
          <w:rFonts w:hint="default" w:ascii="Times New Roman" w:hAnsi="Times New Roman" w:cs="Times New Roman"/>
          <w:b/>
          <w:bCs/>
          <w:color w:val="000000" w:themeColor="text1"/>
          <w:highlight w:val="none"/>
          <w:lang w:val="en-US" w:eastAsia="zh-CN"/>
          <w14:textFill>
            <w14:solidFill>
              <w14:schemeClr w14:val="tx1"/>
            </w14:solidFill>
          </w14:textFill>
        </w:rPr>
        <w:t>其他环境要素</w:t>
      </w:r>
      <w:r>
        <w:rPr>
          <w:rFonts w:hint="default" w:ascii="Times New Roman" w:hAnsi="Times New Roman" w:cs="Times New Roman"/>
          <w:b/>
          <w:bCs/>
          <w:color w:val="000000" w:themeColor="text1"/>
          <w:highlight w:val="none"/>
          <w14:textFill>
            <w14:solidFill>
              <w14:schemeClr w14:val="tx1"/>
            </w14:solidFill>
          </w14:textFill>
        </w:rPr>
        <w:t>主要评价因子</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2010"/>
        <w:gridCol w:w="4921"/>
      </w:tblGrid>
      <w:tr w14:paraId="01E7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501" w:type="dxa"/>
            <w:gridSpan w:val="2"/>
            <w:noWrap w:val="0"/>
            <w:vAlign w:val="center"/>
          </w:tcPr>
          <w:p w14:paraId="3A15349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项目</w:t>
            </w:r>
          </w:p>
        </w:tc>
        <w:tc>
          <w:tcPr>
            <w:tcW w:w="4784" w:type="dxa"/>
            <w:noWrap w:val="0"/>
            <w:vAlign w:val="center"/>
          </w:tcPr>
          <w:p w14:paraId="1E29CFC5">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评价因子</w:t>
            </w:r>
          </w:p>
        </w:tc>
      </w:tr>
      <w:tr w14:paraId="5707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7338850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环境空气</w:t>
            </w:r>
          </w:p>
        </w:tc>
        <w:tc>
          <w:tcPr>
            <w:tcW w:w="1954" w:type="dxa"/>
            <w:noWrap w:val="0"/>
            <w:vAlign w:val="center"/>
          </w:tcPr>
          <w:p w14:paraId="1F87847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6C5CB7D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TSP、PM</w:t>
            </w:r>
            <w:r>
              <w:rPr>
                <w:rFonts w:hint="default" w:ascii="Times New Roman" w:hAnsi="Times New Roman" w:cs="Times New Roman"/>
                <w:color w:val="000000" w:themeColor="text1"/>
                <w:highlight w:val="none"/>
                <w:vertAlign w:val="subscript"/>
                <w14:textFill>
                  <w14:solidFill>
                    <w14:schemeClr w14:val="tx1"/>
                  </w14:solidFill>
                </w14:textFill>
              </w:rPr>
              <w:t>10</w:t>
            </w:r>
            <w:r>
              <w:rPr>
                <w:rFonts w:hint="default" w:ascii="Times New Roman" w:hAnsi="Times New Roman" w:cs="Times New Roman"/>
                <w:color w:val="000000" w:themeColor="text1"/>
                <w:highlight w:val="none"/>
                <w14:textFill>
                  <w14:solidFill>
                    <w14:schemeClr w14:val="tx1"/>
                  </w14:solidFill>
                </w14:textFill>
              </w:rPr>
              <w:t>、PM</w:t>
            </w:r>
            <w:r>
              <w:rPr>
                <w:rFonts w:hint="default" w:ascii="Times New Roman" w:hAnsi="Times New Roman" w:cs="Times New Roman"/>
                <w:color w:val="000000" w:themeColor="text1"/>
                <w:highlight w:val="none"/>
                <w:vertAlign w:val="subscript"/>
                <w14:textFill>
                  <w14:solidFill>
                    <w14:schemeClr w14:val="tx1"/>
                  </w14:solidFill>
                </w14:textFill>
              </w:rPr>
              <w:t>2.5</w:t>
            </w:r>
            <w:r>
              <w:rPr>
                <w:rFonts w:hint="default" w:ascii="Times New Roman" w:hAnsi="Times New Roman" w:cs="Times New Roman"/>
                <w:color w:val="000000" w:themeColor="text1"/>
                <w:highlight w:val="none"/>
                <w14:textFill>
                  <w14:solidFill>
                    <w14:schemeClr w14:val="tx1"/>
                  </w14:solidFill>
                </w14:textFill>
              </w:rPr>
              <w:t>、SO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、NO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、CO、O</w:t>
            </w:r>
            <w:r>
              <w:rPr>
                <w:rFonts w:hint="default" w:ascii="Times New Roman" w:hAnsi="Times New Roman" w:cs="Times New Roman"/>
                <w:color w:val="000000" w:themeColor="text1"/>
                <w:highlight w:val="none"/>
                <w:vertAlign w:val="subscript"/>
                <w14:textFill>
                  <w14:solidFill>
                    <w14:schemeClr w14:val="tx1"/>
                  </w14:solidFill>
                </w14:textFill>
              </w:rPr>
              <w:t>3</w:t>
            </w:r>
          </w:p>
        </w:tc>
      </w:tr>
      <w:tr w14:paraId="56B3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0D783FD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7BA36EF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4D85CE4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TSP</w:t>
            </w:r>
          </w:p>
        </w:tc>
      </w:tr>
      <w:tr w14:paraId="6075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58E3A6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地表水环境</w:t>
            </w:r>
          </w:p>
        </w:tc>
        <w:tc>
          <w:tcPr>
            <w:tcW w:w="1954" w:type="dxa"/>
            <w:noWrap w:val="0"/>
            <w:vAlign w:val="center"/>
          </w:tcPr>
          <w:p w14:paraId="50524B5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1186EFBF">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b w:val="0"/>
                <w:bCs w:val="0"/>
                <w:color w:val="000000" w:themeColor="text1"/>
                <w:highlight w:val="none"/>
                <w:lang w:val="en-US" w:eastAsia="zh-CN"/>
                <w14:textFill>
                  <w14:solidFill>
                    <w14:schemeClr w14:val="tx1"/>
                  </w14:solidFill>
                </w14:textFill>
              </w:rPr>
              <w:t>水温</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pH值</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悬浮物</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化学需氧量</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五日生化需氧量</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氨氮</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总氮</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总磷</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石油类</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高锰酸盐指数</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氟化物</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阴离子表面活性剂</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铜</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锌</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铁</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锰</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铅</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镉</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砷</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汞</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溶解性总固体</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粪大肠菌群</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溶解氧</w:t>
            </w:r>
            <w:r>
              <w:rPr>
                <w:rFonts w:hint="eastAsia"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硫化物</w:t>
            </w:r>
          </w:p>
        </w:tc>
      </w:tr>
      <w:tr w14:paraId="0EF7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2D1E74D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2128502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664A17A2">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w:t>
            </w:r>
          </w:p>
        </w:tc>
      </w:tr>
      <w:tr w14:paraId="3C06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13823A7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地下水环境</w:t>
            </w:r>
          </w:p>
        </w:tc>
        <w:tc>
          <w:tcPr>
            <w:tcW w:w="1954" w:type="dxa"/>
            <w:noWrap w:val="0"/>
            <w:vAlign w:val="center"/>
          </w:tcPr>
          <w:p w14:paraId="14C482B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50D749ED">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r>
      <w:tr w14:paraId="0379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33EFEE8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5EC3C10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2ACFBDDA">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w:t>
            </w:r>
          </w:p>
        </w:tc>
      </w:tr>
      <w:tr w14:paraId="23D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796758C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声环境</w:t>
            </w:r>
          </w:p>
        </w:tc>
        <w:tc>
          <w:tcPr>
            <w:tcW w:w="1954" w:type="dxa"/>
            <w:noWrap w:val="0"/>
            <w:vAlign w:val="center"/>
          </w:tcPr>
          <w:p w14:paraId="0394FE9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1C76D1BE">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Leq</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eastAsia" w:cs="Times New Roman"/>
                <w:color w:val="000000" w:themeColor="text1"/>
                <w:highlight w:val="none"/>
                <w:lang w:eastAsia="zh-CN"/>
                <w14:textFill>
                  <w14:solidFill>
                    <w14:schemeClr w14:val="tx1"/>
                  </w14:solidFill>
                </w14:textFill>
              </w:rPr>
              <w:t>)</w:t>
            </w:r>
          </w:p>
        </w:tc>
      </w:tr>
      <w:tr w14:paraId="6297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4BD3AD3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74F3E61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31EABD4D">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Leq</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eastAsia" w:cs="Times New Roman"/>
                <w:color w:val="000000" w:themeColor="text1"/>
                <w:highlight w:val="none"/>
                <w:lang w:eastAsia="zh-CN"/>
                <w14:textFill>
                  <w14:solidFill>
                    <w14:schemeClr w14:val="tx1"/>
                  </w14:solidFill>
                </w14:textFill>
              </w:rPr>
              <w:t>)</w:t>
            </w:r>
          </w:p>
        </w:tc>
      </w:tr>
      <w:tr w14:paraId="2A50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1BDBDCF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土壤</w:t>
            </w:r>
          </w:p>
        </w:tc>
        <w:tc>
          <w:tcPr>
            <w:tcW w:w="1954" w:type="dxa"/>
            <w:noWrap w:val="0"/>
            <w:vAlign w:val="center"/>
          </w:tcPr>
          <w:p w14:paraId="5CA68B3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4C410CA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GB36000筛选值、GB15618筛选值</w:t>
            </w:r>
          </w:p>
        </w:tc>
      </w:tr>
      <w:tr w14:paraId="09C9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69D945F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6BF6E6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2FD01AD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5F73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restart"/>
            <w:noWrap w:val="0"/>
            <w:vAlign w:val="center"/>
          </w:tcPr>
          <w:p w14:paraId="10E9292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固体废弃物</w:t>
            </w:r>
          </w:p>
        </w:tc>
        <w:tc>
          <w:tcPr>
            <w:tcW w:w="1954" w:type="dxa"/>
            <w:noWrap w:val="0"/>
            <w:vAlign w:val="center"/>
          </w:tcPr>
          <w:p w14:paraId="41FC44C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现状评价因子</w:t>
            </w:r>
          </w:p>
        </w:tc>
        <w:tc>
          <w:tcPr>
            <w:tcW w:w="4784" w:type="dxa"/>
            <w:noWrap w:val="0"/>
            <w:vAlign w:val="center"/>
          </w:tcPr>
          <w:p w14:paraId="54EDFA6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462C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7" w:type="dxa"/>
            <w:vMerge w:val="continue"/>
            <w:noWrap w:val="0"/>
            <w:vAlign w:val="center"/>
          </w:tcPr>
          <w:p w14:paraId="14A1BDE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954" w:type="dxa"/>
            <w:noWrap w:val="0"/>
            <w:vAlign w:val="center"/>
          </w:tcPr>
          <w:p w14:paraId="2159BB0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预测评价因子</w:t>
            </w:r>
          </w:p>
        </w:tc>
        <w:tc>
          <w:tcPr>
            <w:tcW w:w="4784" w:type="dxa"/>
            <w:noWrap w:val="0"/>
            <w:vAlign w:val="center"/>
          </w:tcPr>
          <w:p w14:paraId="0B60A18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bl>
    <w:p w14:paraId="3F579D1A">
      <w:pPr>
        <w:pStyle w:val="3"/>
        <w:numPr>
          <w:ilvl w:val="1"/>
          <w:numId w:val="0"/>
        </w:numPr>
        <w:bidi w:val="0"/>
        <w:ind w:leftChars="0"/>
        <w:rPr>
          <w:rFonts w:hint="default" w:ascii="Times New Roman" w:hAnsi="Times New Roman" w:cs="Times New Roman"/>
          <w:color w:val="000000" w:themeColor="text1"/>
          <w:highlight w:val="none"/>
          <w:lang w:val="en-US" w:eastAsia="zh-CN"/>
          <w14:textFill>
            <w14:solidFill>
              <w14:schemeClr w14:val="tx1"/>
            </w14:solidFill>
          </w14:textFill>
        </w:rPr>
      </w:pPr>
      <w:bookmarkStart w:id="52" w:name="_Toc32581"/>
      <w:bookmarkStart w:id="53" w:name="_Toc4958"/>
      <w:r>
        <w:rPr>
          <w:rFonts w:hint="default" w:ascii="Times New Roman" w:hAnsi="Times New Roman" w:cs="Times New Roman"/>
          <w:color w:val="000000" w:themeColor="text1"/>
          <w:highlight w:val="none"/>
          <w:lang w:val="en-US" w:eastAsia="zh-CN"/>
          <w14:textFill>
            <w14:solidFill>
              <w14:schemeClr w14:val="tx1"/>
            </w14:solidFill>
          </w14:textFill>
        </w:rPr>
        <w:t>1.4环境功能区划</w:t>
      </w:r>
      <w:bookmarkEnd w:id="52"/>
      <w:bookmarkEnd w:id="53"/>
    </w:p>
    <w:p w14:paraId="0F034766">
      <w:pPr>
        <w:pStyle w:val="41"/>
        <w:bidi w:val="0"/>
        <w:rPr>
          <w:rFonts w:hint="default"/>
          <w:lang w:val="en-US" w:eastAsia="zh-CN"/>
        </w:rPr>
      </w:pPr>
      <w:r>
        <w:rPr>
          <w:rFonts w:hint="default"/>
          <w:lang w:val="en-US" w:eastAsia="zh-CN"/>
        </w:rPr>
        <w:t>项目所在区域环境功能区划见下表。</w:t>
      </w:r>
    </w:p>
    <w:p w14:paraId="0F055CEF">
      <w:pPr>
        <w:pStyle w:val="45"/>
        <w:bidi w:val="0"/>
        <w:rPr>
          <w:rFonts w:hint="default"/>
          <w:lang w:val="en-US" w:eastAsia="zh-CN"/>
        </w:rPr>
      </w:pPr>
      <w:r>
        <w:rPr>
          <w:rFonts w:hint="default"/>
          <w:lang w:val="en-US" w:eastAsia="zh-CN"/>
        </w:rPr>
        <w:t>表</w:t>
      </w:r>
      <w:r>
        <w:rPr>
          <w:rFonts w:hint="eastAsia"/>
          <w:lang w:val="en-US" w:eastAsia="zh-CN"/>
        </w:rPr>
        <w:t>1</w:t>
      </w:r>
      <w:r>
        <w:rPr>
          <w:rFonts w:hint="default"/>
          <w:lang w:val="en-US" w:eastAsia="zh-CN"/>
        </w:rPr>
        <w:t>.4-1 环境功能区划一览表</w:t>
      </w:r>
    </w:p>
    <w:tbl>
      <w:tblPr>
        <w:tblStyle w:val="34"/>
        <w:tblW w:w="5000" w:type="pct"/>
        <w:jc w:val="center"/>
        <w:tblLayout w:type="fixed"/>
        <w:tblCellMar>
          <w:top w:w="0" w:type="dxa"/>
          <w:left w:w="108" w:type="dxa"/>
          <w:bottom w:w="0" w:type="dxa"/>
          <w:right w:w="108" w:type="dxa"/>
        </w:tblCellMar>
      </w:tblPr>
      <w:tblGrid>
        <w:gridCol w:w="1075"/>
        <w:gridCol w:w="7447"/>
      </w:tblGrid>
      <w:tr w14:paraId="15996679">
        <w:tblPrEx>
          <w:tblCellMar>
            <w:top w:w="0" w:type="dxa"/>
            <w:left w:w="108" w:type="dxa"/>
            <w:bottom w:w="0" w:type="dxa"/>
            <w:right w:w="108" w:type="dxa"/>
          </w:tblCellMar>
        </w:tblPrEx>
        <w:trPr>
          <w:trHeight w:val="23" w:hRule="atLeast"/>
          <w:tblHeader/>
          <w:jc w:val="center"/>
        </w:trPr>
        <w:tc>
          <w:tcPr>
            <w:tcW w:w="1075" w:type="dxa"/>
            <w:tcBorders>
              <w:top w:val="single" w:color="auto" w:sz="4" w:space="0"/>
              <w:left w:val="single" w:color="auto" w:sz="4" w:space="0"/>
              <w:bottom w:val="single" w:color="auto" w:sz="4" w:space="0"/>
              <w:right w:val="single" w:color="auto" w:sz="4" w:space="0"/>
            </w:tcBorders>
            <w:noWrap w:val="0"/>
            <w:vAlign w:val="center"/>
          </w:tcPr>
          <w:p w14:paraId="28E516C6">
            <w:pPr>
              <w:pStyle w:val="43"/>
              <w:bidi w:val="0"/>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环境要素</w:t>
            </w:r>
          </w:p>
        </w:tc>
        <w:tc>
          <w:tcPr>
            <w:tcW w:w="7447" w:type="dxa"/>
            <w:tcBorders>
              <w:top w:val="single" w:color="auto" w:sz="4" w:space="0"/>
              <w:left w:val="nil"/>
              <w:bottom w:val="single" w:color="auto" w:sz="4" w:space="0"/>
              <w:right w:val="single" w:color="auto" w:sz="4" w:space="0"/>
            </w:tcBorders>
            <w:noWrap w:val="0"/>
            <w:vAlign w:val="center"/>
          </w:tcPr>
          <w:p w14:paraId="1A87E4BB">
            <w:pPr>
              <w:pStyle w:val="43"/>
              <w:bidi w:val="0"/>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功能区划</w:t>
            </w:r>
          </w:p>
        </w:tc>
      </w:tr>
      <w:tr w14:paraId="4D6CB6D0">
        <w:tblPrEx>
          <w:tblCellMar>
            <w:top w:w="0" w:type="dxa"/>
            <w:left w:w="108" w:type="dxa"/>
            <w:bottom w:w="0" w:type="dxa"/>
            <w:right w:w="108" w:type="dxa"/>
          </w:tblCellMar>
        </w:tblPrEx>
        <w:trPr>
          <w:trHeight w:val="23" w:hRule="atLeast"/>
          <w:jc w:val="center"/>
        </w:trPr>
        <w:tc>
          <w:tcPr>
            <w:tcW w:w="1075" w:type="dxa"/>
            <w:tcBorders>
              <w:top w:val="nil"/>
              <w:left w:val="single" w:color="auto" w:sz="4" w:space="0"/>
              <w:bottom w:val="single" w:color="auto" w:sz="4" w:space="0"/>
              <w:right w:val="single" w:color="auto" w:sz="4" w:space="0"/>
            </w:tcBorders>
            <w:noWrap w:val="0"/>
            <w:vAlign w:val="center"/>
          </w:tcPr>
          <w:p w14:paraId="49DA6CCE">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环境空气</w:t>
            </w:r>
          </w:p>
        </w:tc>
        <w:tc>
          <w:tcPr>
            <w:tcW w:w="7447" w:type="dxa"/>
            <w:tcBorders>
              <w:top w:val="nil"/>
              <w:left w:val="nil"/>
              <w:bottom w:val="single" w:color="auto" w:sz="4" w:space="0"/>
              <w:right w:val="single" w:color="auto" w:sz="4" w:space="0"/>
            </w:tcBorders>
            <w:noWrap w:val="0"/>
            <w:vAlign w:val="center"/>
          </w:tcPr>
          <w:p w14:paraId="43E4A898">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项目位于</w:t>
            </w:r>
            <w:r>
              <w:rPr>
                <w:rFonts w:hint="eastAsia" w:cs="Times New Roman"/>
                <w:color w:val="000000" w:themeColor="text1"/>
                <w:highlight w:val="none"/>
                <w:lang w:val="en-US" w:eastAsia="zh-CN"/>
                <w14:textFill>
                  <w14:solidFill>
                    <w14:schemeClr w14:val="tx1"/>
                  </w14:solidFill>
                </w14:textFill>
              </w:rPr>
              <w:t>云南省文山州砚山县江那镇铳卡石门坎</w:t>
            </w:r>
            <w:r>
              <w:rPr>
                <w:rFonts w:hint="default" w:ascii="Times New Roman" w:hAnsi="Times New Roman" w:cs="Times New Roman"/>
                <w:color w:val="000000" w:themeColor="text1"/>
                <w:highlight w:val="none"/>
                <w14:textFill>
                  <w14:solidFill>
                    <w14:schemeClr w14:val="tx1"/>
                  </w14:solidFill>
                </w14:textFill>
              </w:rPr>
              <w:t>，环境空气属于二类区，该区域环境空气质量执行</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环境空气质量标准》</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GB3095-</w:t>
            </w:r>
            <w:r>
              <w:rPr>
                <w:rFonts w:hint="eastAsia" w:cs="Times New Roman"/>
                <w:color w:val="000000" w:themeColor="text1"/>
                <w:highlight w:val="none"/>
                <w:lang w:eastAsia="zh-CN"/>
                <w14:textFill>
                  <w14:solidFill>
                    <w14:schemeClr w14:val="tx1"/>
                  </w14:solidFill>
                </w14:textFill>
              </w:rPr>
              <w:t>2026</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过渡阶段</w:t>
            </w:r>
            <w:r>
              <w:rPr>
                <w:rFonts w:hint="default" w:ascii="Times New Roman" w:hAnsi="Times New Roman" w:cs="Times New Roman"/>
                <w:color w:val="000000" w:themeColor="text1"/>
                <w:highlight w:val="none"/>
                <w:lang w:val="en-US" w:eastAsia="zh-CN"/>
                <w14:textFill>
                  <w14:solidFill>
                    <w14:schemeClr w14:val="tx1"/>
                  </w14:solidFill>
                </w14:textFill>
              </w:rPr>
              <w:t>浓度限值。</w:t>
            </w:r>
          </w:p>
        </w:tc>
      </w:tr>
      <w:tr w14:paraId="2F58C821">
        <w:tblPrEx>
          <w:tblCellMar>
            <w:top w:w="0" w:type="dxa"/>
            <w:left w:w="108" w:type="dxa"/>
            <w:bottom w:w="0" w:type="dxa"/>
            <w:right w:w="108" w:type="dxa"/>
          </w:tblCellMar>
        </w:tblPrEx>
        <w:trPr>
          <w:trHeight w:val="23" w:hRule="atLeast"/>
          <w:jc w:val="center"/>
        </w:trPr>
        <w:tc>
          <w:tcPr>
            <w:tcW w:w="1075" w:type="dxa"/>
            <w:tcBorders>
              <w:top w:val="nil"/>
              <w:left w:val="single" w:color="auto" w:sz="4" w:space="0"/>
              <w:bottom w:val="single" w:color="auto" w:sz="4" w:space="0"/>
              <w:right w:val="single" w:color="auto" w:sz="4" w:space="0"/>
            </w:tcBorders>
            <w:noWrap w:val="0"/>
            <w:vAlign w:val="center"/>
          </w:tcPr>
          <w:p w14:paraId="5B8C0E90">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地表水环境</w:t>
            </w:r>
          </w:p>
        </w:tc>
        <w:tc>
          <w:tcPr>
            <w:tcW w:w="7447" w:type="dxa"/>
            <w:tcBorders>
              <w:top w:val="nil"/>
              <w:left w:val="nil"/>
              <w:bottom w:val="single" w:color="auto" w:sz="4" w:space="0"/>
              <w:right w:val="single" w:color="auto" w:sz="4" w:space="0"/>
            </w:tcBorders>
            <w:noWrap w:val="0"/>
            <w:vAlign w:val="center"/>
          </w:tcPr>
          <w:p w14:paraId="0A0415C7">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lang w:val="en-US" w:eastAsia="zh-CN"/>
              </w:rPr>
              <w:t>根据</w:t>
            </w:r>
            <w:r>
              <w:t>调查，项目区域最近地表水为</w:t>
            </w:r>
            <w:r>
              <w:rPr>
                <w:rFonts w:hint="eastAsia"/>
                <w:lang w:val="en-US" w:eastAsia="zh-CN"/>
              </w:rPr>
              <w:t>项目西侧400m的石马水库，西北侧1580m的红舍克下坝水库，西北侧295</w:t>
            </w:r>
            <w:r>
              <w:t>0m的</w:t>
            </w:r>
            <w:r>
              <w:rPr>
                <w:rFonts w:hint="eastAsia"/>
                <w:lang w:val="en-US" w:eastAsia="zh-CN"/>
              </w:rPr>
              <w:t>红舍克</w:t>
            </w:r>
            <w:r>
              <w:t>水库，为清水江上游</w:t>
            </w:r>
            <w:r>
              <w:rPr>
                <w:rFonts w:hint="eastAsia"/>
                <w:lang w:val="en-US" w:eastAsia="zh-CN"/>
              </w:rPr>
              <w:t>流域，位于听湖水库上游</w:t>
            </w:r>
            <w:r>
              <w:t>。</w:t>
            </w:r>
            <w:r>
              <w:rPr>
                <w:lang w:val="zh-CN"/>
              </w:rPr>
              <w:t>根据云南省水利厅2014年5月发布的《云南省水功能区划》（2014年修订），项目区</w:t>
            </w:r>
            <w:r>
              <w:rPr>
                <w:rFonts w:hint="eastAsia"/>
                <w:lang w:val="en-US" w:eastAsia="zh-CN"/>
              </w:rPr>
              <w:t>属于</w:t>
            </w:r>
            <w:r>
              <w:rPr>
                <w:lang w:val="zh-CN"/>
              </w:rPr>
              <w:t>清水江</w:t>
            </w:r>
            <w:r>
              <w:rPr>
                <w:rFonts w:hint="eastAsia"/>
                <w:lang w:val="en-US" w:eastAsia="zh-CN"/>
              </w:rPr>
              <w:t>砚山源头水保护区，源头</w:t>
            </w:r>
            <w:r>
              <w:rPr>
                <w:rFonts w:hint="eastAsia"/>
                <w:lang w:val="zh-CN"/>
              </w:rPr>
              <w:t>——</w:t>
            </w:r>
            <w:r>
              <w:rPr>
                <w:rFonts w:hint="eastAsia"/>
                <w:lang w:val="en-US" w:eastAsia="zh-CN"/>
              </w:rPr>
              <w:t>砚山听湖水库区起始；</w:t>
            </w:r>
            <w:r>
              <w:rPr>
                <w:lang w:val="zh-CN"/>
              </w:rPr>
              <w:t>全长</w:t>
            </w:r>
            <w:r>
              <w:rPr>
                <w:rFonts w:hint="eastAsia"/>
                <w:lang w:val="en-US" w:eastAsia="zh-CN"/>
              </w:rPr>
              <w:t>5.5</w:t>
            </w:r>
            <w:r>
              <w:rPr>
                <w:lang w:val="zh-CN"/>
              </w:rPr>
              <w:t>km，</w:t>
            </w:r>
            <w:r>
              <w:rPr>
                <w:rFonts w:hint="eastAsia"/>
                <w:lang w:val="en-US" w:eastAsia="zh-CN"/>
              </w:rPr>
              <w:t>2030年水质目标为Ⅱ类</w:t>
            </w:r>
            <w:r>
              <w:rPr>
                <w:lang w:val="zh-CN"/>
              </w:rPr>
              <w:t>。</w:t>
            </w:r>
            <w:r>
              <w:rPr>
                <w:rFonts w:hint="default"/>
              </w:rPr>
              <w:t>依据《云南省水功能区划（2014年修订版）》1.7.1一级区划中</w:t>
            </w:r>
            <w:r>
              <w:rPr>
                <w:rFonts w:hint="eastAsia"/>
                <w:lang w:eastAsia="zh-CN"/>
              </w:rPr>
              <w:t>“</w:t>
            </w:r>
            <w:r>
              <w:rPr>
                <w:rFonts w:hint="default"/>
              </w:rPr>
              <w:t>保留区：为目前开发利用程度不高，为今后开发利用和保护水资源而预留的水域。该类功能区应维持现状，不能破坏。保留区水质控制目标一般不低于《地表水环境质量标准》（GB3838-2002）Ⅲ类标准，或按现状水质类别控制。</w:t>
            </w:r>
            <w:r>
              <w:rPr>
                <w:rFonts w:hint="eastAsia"/>
                <w:lang w:eastAsia="zh-CN"/>
              </w:rPr>
              <w:t>”</w:t>
            </w:r>
            <w:r>
              <w:rPr>
                <w:rFonts w:hint="default"/>
              </w:rPr>
              <w:t>的要求，执行《地表水环境质量标准》（GB3838-2002）中Ⅲ类标准。</w:t>
            </w:r>
          </w:p>
        </w:tc>
      </w:tr>
      <w:tr w14:paraId="6ADB5B32">
        <w:tblPrEx>
          <w:tblCellMar>
            <w:top w:w="0" w:type="dxa"/>
            <w:left w:w="108" w:type="dxa"/>
            <w:bottom w:w="0" w:type="dxa"/>
            <w:right w:w="108" w:type="dxa"/>
          </w:tblCellMar>
        </w:tblPrEx>
        <w:trPr>
          <w:trHeight w:val="23" w:hRule="atLeast"/>
          <w:jc w:val="center"/>
        </w:trPr>
        <w:tc>
          <w:tcPr>
            <w:tcW w:w="1075" w:type="dxa"/>
            <w:tcBorders>
              <w:top w:val="nil"/>
              <w:left w:val="single" w:color="auto" w:sz="4" w:space="0"/>
              <w:bottom w:val="single" w:color="auto" w:sz="4" w:space="0"/>
              <w:right w:val="single" w:color="auto" w:sz="4" w:space="0"/>
            </w:tcBorders>
            <w:noWrap w:val="0"/>
            <w:vAlign w:val="center"/>
          </w:tcPr>
          <w:p w14:paraId="4A266DBA">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声环境</w:t>
            </w:r>
          </w:p>
        </w:tc>
        <w:tc>
          <w:tcPr>
            <w:tcW w:w="7447" w:type="dxa"/>
            <w:tcBorders>
              <w:top w:val="nil"/>
              <w:left w:val="nil"/>
              <w:bottom w:val="single" w:color="auto" w:sz="4" w:space="0"/>
              <w:right w:val="single" w:color="auto" w:sz="4" w:space="0"/>
            </w:tcBorders>
            <w:noWrap w:val="0"/>
            <w:vAlign w:val="center"/>
          </w:tcPr>
          <w:p w14:paraId="24355E80">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本项目所在区域位于农村区域，属于</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声环境质量标准》（GB3096-2008）2类区。</w:t>
            </w:r>
          </w:p>
        </w:tc>
      </w:tr>
      <w:tr w14:paraId="5F4F2871">
        <w:tblPrEx>
          <w:tblCellMar>
            <w:top w:w="0" w:type="dxa"/>
            <w:left w:w="108" w:type="dxa"/>
            <w:bottom w:w="0" w:type="dxa"/>
            <w:right w:w="108" w:type="dxa"/>
          </w:tblCellMar>
        </w:tblPrEx>
        <w:trPr>
          <w:trHeight w:val="23" w:hRule="atLeast"/>
          <w:jc w:val="center"/>
        </w:trPr>
        <w:tc>
          <w:tcPr>
            <w:tcW w:w="1075" w:type="dxa"/>
            <w:tcBorders>
              <w:top w:val="nil"/>
              <w:left w:val="single" w:color="auto" w:sz="4" w:space="0"/>
              <w:bottom w:val="single" w:color="auto" w:sz="4" w:space="0"/>
              <w:right w:val="single" w:color="auto" w:sz="4" w:space="0"/>
            </w:tcBorders>
            <w:noWrap w:val="0"/>
            <w:vAlign w:val="center"/>
          </w:tcPr>
          <w:p w14:paraId="60291A8E">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生态环境</w:t>
            </w:r>
          </w:p>
        </w:tc>
        <w:tc>
          <w:tcPr>
            <w:tcW w:w="7447" w:type="dxa"/>
            <w:tcBorders>
              <w:top w:val="nil"/>
              <w:left w:val="nil"/>
              <w:bottom w:val="single" w:color="auto" w:sz="4" w:space="0"/>
              <w:right w:val="single" w:color="auto" w:sz="4" w:space="0"/>
            </w:tcBorders>
            <w:noWrap w:val="0"/>
            <w:vAlign w:val="center"/>
          </w:tcPr>
          <w:p w14:paraId="6CBDB20D">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根据生态现状调查与评价章节分析，本项目生态评价范围内一级类生态系统主要有森林生态系统、草地生态系统、农田生态系统、城镇生态系统。</w:t>
            </w:r>
          </w:p>
        </w:tc>
      </w:tr>
    </w:tbl>
    <w:p w14:paraId="7F15DBC1">
      <w:pPr>
        <w:pStyle w:val="3"/>
        <w:numPr>
          <w:ilvl w:val="1"/>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54" w:name="_Toc24489"/>
      <w:bookmarkStart w:id="55" w:name="_Toc839"/>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评价标准</w:t>
      </w:r>
      <w:bookmarkEnd w:id="54"/>
      <w:bookmarkEnd w:id="55"/>
    </w:p>
    <w:p w14:paraId="5590D122">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56" w:name="_Toc2957"/>
      <w:bookmarkStart w:id="57" w:name="_Toc17637"/>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.1环境质量标准</w:t>
      </w:r>
      <w:bookmarkEnd w:id="56"/>
      <w:bookmarkEnd w:id="57"/>
    </w:p>
    <w:p w14:paraId="7CB4B697">
      <w:pPr>
        <w:pStyle w:val="41"/>
        <w:bidi w:val="0"/>
        <w:rPr>
          <w:rFonts w:hint="default"/>
          <w:b/>
          <w:bCs/>
        </w:rPr>
      </w:pPr>
      <w:bookmarkStart w:id="58" w:name="_Toc286596846"/>
      <w:bookmarkStart w:id="59" w:name="_Toc289866099"/>
      <w:r>
        <w:rPr>
          <w:rFonts w:hint="default"/>
          <w:b/>
          <w:bCs/>
        </w:rPr>
        <w:t>（1）环境空气</w:t>
      </w:r>
      <w:bookmarkEnd w:id="58"/>
      <w:bookmarkEnd w:id="59"/>
    </w:p>
    <w:p w14:paraId="5903352E">
      <w:pPr>
        <w:pStyle w:val="41"/>
        <w:bidi w:val="0"/>
        <w:rPr>
          <w:rFonts w:hint="default" w:ascii="Times New Roman" w:hAnsi="Times New Roman" w:cs="Times New Roman"/>
          <w:color w:val="000000" w:themeColor="text1"/>
          <w:highlight w:val="none"/>
          <w14:textFill>
            <w14:solidFill>
              <w14:schemeClr w14:val="tx1"/>
            </w14:solidFill>
          </w14:textFill>
        </w:rPr>
      </w:pPr>
      <w:r>
        <w:rPr>
          <w:rFonts w:hint="default"/>
          <w:lang w:val="en-US" w:eastAsia="zh-CN"/>
        </w:rPr>
        <w:t>项目位于</w:t>
      </w:r>
      <w:r>
        <w:rPr>
          <w:rFonts w:hint="eastAsia"/>
          <w:lang w:val="en-US" w:eastAsia="zh-CN"/>
        </w:rPr>
        <w:t>云南省文山州砚山县江那镇铳卡石门坎</w:t>
      </w:r>
      <w:r>
        <w:rPr>
          <w:rFonts w:hint="default"/>
        </w:rPr>
        <w:t>，环境空气属于二类区，该区域环境空气质量执行</w:t>
      </w:r>
      <w:r>
        <w:rPr>
          <w:rFonts w:hint="eastAsia"/>
          <w:lang w:eastAsia="zh-CN"/>
        </w:rPr>
        <w:t>《</w:t>
      </w:r>
      <w:r>
        <w:rPr>
          <w:rFonts w:hint="default"/>
        </w:rPr>
        <w:t>环境空气质量标准》</w:t>
      </w:r>
      <w:r>
        <w:rPr>
          <w:rFonts w:hint="default"/>
          <w:lang w:eastAsia="zh-CN"/>
        </w:rPr>
        <w:t>（</w:t>
      </w:r>
      <w:r>
        <w:rPr>
          <w:rFonts w:hint="default"/>
        </w:rPr>
        <w:t>GB3095-</w:t>
      </w:r>
      <w:r>
        <w:rPr>
          <w:rFonts w:hint="eastAsia"/>
          <w:lang w:eastAsia="zh-CN"/>
        </w:rPr>
        <w:t>2026</w:t>
      </w:r>
      <w:r>
        <w:rPr>
          <w:rFonts w:hint="default"/>
          <w:lang w:val="en-US" w:eastAsia="zh-CN"/>
        </w:rPr>
        <w:t>）</w:t>
      </w:r>
      <w:r>
        <w:rPr>
          <w:rFonts w:hint="eastAsia"/>
          <w:lang w:val="en-US" w:eastAsia="zh-CN"/>
        </w:rPr>
        <w:t>过渡阶段</w:t>
      </w:r>
      <w:r>
        <w:rPr>
          <w:rFonts w:hint="default"/>
          <w:lang w:val="en-US" w:eastAsia="zh-CN"/>
        </w:rPr>
        <w:t>浓度限值</w:t>
      </w:r>
      <w:r>
        <w:rPr>
          <w:rFonts w:hint="default"/>
        </w:rPr>
        <w:t>；标准值见表</w:t>
      </w:r>
      <w:r>
        <w:rPr>
          <w:rFonts w:hint="default"/>
          <w:lang w:val="en-US" w:eastAsia="zh-CN"/>
        </w:rPr>
        <w:t>1</w:t>
      </w:r>
      <w:r>
        <w:rPr>
          <w:rFonts w:hint="default"/>
        </w:rPr>
        <w:t>.5-1。</w:t>
      </w:r>
    </w:p>
    <w:p w14:paraId="0DE65E56">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.5-1  环境空气污染物浓度限值</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532"/>
        <w:gridCol w:w="2212"/>
        <w:gridCol w:w="2902"/>
        <w:gridCol w:w="876"/>
      </w:tblGrid>
      <w:tr w14:paraId="5CCD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tblHeader/>
          <w:jc w:val="center"/>
        </w:trPr>
        <w:tc>
          <w:tcPr>
            <w:tcW w:w="2532" w:type="dxa"/>
            <w:vAlign w:val="center"/>
          </w:tcPr>
          <w:p w14:paraId="61634FDD">
            <w:pPr>
              <w:pStyle w:val="43"/>
              <w:widowControl w:val="0"/>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污染物项目</w:t>
            </w:r>
          </w:p>
        </w:tc>
        <w:tc>
          <w:tcPr>
            <w:tcW w:w="2212" w:type="dxa"/>
            <w:vAlign w:val="center"/>
          </w:tcPr>
          <w:p w14:paraId="1CBCDAB6">
            <w:pPr>
              <w:pStyle w:val="43"/>
              <w:widowControl w:val="0"/>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平均时间</w:t>
            </w:r>
          </w:p>
        </w:tc>
        <w:tc>
          <w:tcPr>
            <w:tcW w:w="2902" w:type="dxa"/>
            <w:vAlign w:val="center"/>
          </w:tcPr>
          <w:p w14:paraId="7BE74F69">
            <w:pPr>
              <w:pStyle w:val="43"/>
              <w:widowControl w:val="0"/>
              <w:bidi w:val="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eastAsia="zh-CN"/>
                <w14:textFill>
                  <w14:solidFill>
                    <w14:schemeClr w14:val="tx1"/>
                  </w14:solidFill>
                </w14:textFill>
              </w:rPr>
              <w:t>过渡阶段</w:t>
            </w:r>
            <w:r>
              <w:rPr>
                <w:rFonts w:hint="default" w:ascii="Times New Roman" w:hAnsi="Times New Roman" w:cs="Times New Roman"/>
                <w:b/>
                <w:bCs/>
                <w:color w:val="000000" w:themeColor="text1"/>
                <w:highlight w:val="none"/>
                <w14:textFill>
                  <w14:solidFill>
                    <w14:schemeClr w14:val="tx1"/>
                  </w14:solidFill>
                </w14:textFill>
              </w:rPr>
              <w:t>浓度限值</w:t>
            </w:r>
            <w:r>
              <w:rPr>
                <w:rFonts w:hint="default" w:ascii="Times New Roman" w:hAnsi="Times New Roman" w:cs="Times New Roman"/>
                <w:b/>
                <w:bCs/>
                <w:color w:val="000000" w:themeColor="text1"/>
                <w:highlight w:val="none"/>
                <w:lang w:eastAsia="zh-CN"/>
                <w14:textFill>
                  <w14:solidFill>
                    <w14:schemeClr w14:val="tx1"/>
                  </w14:solidFill>
                </w14:textFill>
              </w:rPr>
              <w:t>（</w:t>
            </w:r>
            <w:r>
              <w:rPr>
                <w:rFonts w:hint="default" w:ascii="Times New Roman" w:hAnsi="Times New Roman" w:cs="Times New Roman"/>
                <w:b/>
                <w:bCs/>
                <w:color w:val="000000" w:themeColor="text1"/>
                <w:highlight w:val="none"/>
                <w:lang w:val="en-US" w:eastAsia="zh-CN"/>
                <w14:textFill>
                  <w14:solidFill>
                    <w14:schemeClr w14:val="tx1"/>
                  </w14:solidFill>
                </w14:textFill>
              </w:rPr>
              <w:t>二级）</w:t>
            </w:r>
          </w:p>
        </w:tc>
        <w:tc>
          <w:tcPr>
            <w:tcW w:w="876" w:type="dxa"/>
            <w:vAlign w:val="center"/>
          </w:tcPr>
          <w:p w14:paraId="390D376A">
            <w:pPr>
              <w:pStyle w:val="43"/>
              <w:widowControl w:val="0"/>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单位</w:t>
            </w:r>
          </w:p>
        </w:tc>
      </w:tr>
      <w:tr w14:paraId="48A5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05B3BA5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二氧化硫（SO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w:t>
            </w:r>
          </w:p>
        </w:tc>
        <w:tc>
          <w:tcPr>
            <w:tcW w:w="2212" w:type="dxa"/>
            <w:vAlign w:val="center"/>
          </w:tcPr>
          <w:p w14:paraId="19C4D8FC">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w:t>
            </w:r>
          </w:p>
        </w:tc>
        <w:tc>
          <w:tcPr>
            <w:tcW w:w="2902" w:type="dxa"/>
            <w:vAlign w:val="center"/>
          </w:tcPr>
          <w:p w14:paraId="67FF4012">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60</w:t>
            </w:r>
          </w:p>
        </w:tc>
        <w:tc>
          <w:tcPr>
            <w:tcW w:w="876" w:type="dxa"/>
            <w:vMerge w:val="restart"/>
            <w:vAlign w:val="center"/>
          </w:tcPr>
          <w:p w14:paraId="71AE13FD">
            <w:pPr>
              <w:pStyle w:val="43"/>
              <w:widowControl w:val="0"/>
              <w:bidi w:val="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μg/</w:t>
            </w:r>
            <w:r>
              <w:rPr>
                <w:rFonts w:hint="eastAsia" w:cs="Times New Roman"/>
                <w:color w:val="000000" w:themeColor="text1"/>
                <w:highlight w:val="none"/>
                <w:lang w:eastAsia="zh-CN"/>
                <w14:textFill>
                  <w14:solidFill>
                    <w14:schemeClr w14:val="tx1"/>
                  </w14:solidFill>
                </w14:textFill>
              </w:rPr>
              <w:t>m</w:t>
            </w:r>
            <w:r>
              <w:rPr>
                <w:rFonts w:hint="eastAsia" w:cs="Times New Roman"/>
                <w:color w:val="000000" w:themeColor="text1"/>
                <w:highlight w:val="none"/>
                <w:vertAlign w:val="superscript"/>
                <w:lang w:eastAsia="zh-CN"/>
                <w14:textFill>
                  <w14:solidFill>
                    <w14:schemeClr w14:val="tx1"/>
                  </w14:solidFill>
                </w14:textFill>
              </w:rPr>
              <w:t>3</w:t>
            </w:r>
          </w:p>
        </w:tc>
      </w:tr>
      <w:tr w14:paraId="0EAC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55EAAD8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5DCDF935">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6F37428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w:t>
            </w:r>
          </w:p>
        </w:tc>
        <w:tc>
          <w:tcPr>
            <w:tcW w:w="876" w:type="dxa"/>
            <w:vMerge w:val="continue"/>
            <w:vAlign w:val="center"/>
          </w:tcPr>
          <w:p w14:paraId="706D2D00">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3F6B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1F97E01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17D41C7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1小时平均</w:t>
            </w:r>
          </w:p>
        </w:tc>
        <w:tc>
          <w:tcPr>
            <w:tcW w:w="2902" w:type="dxa"/>
            <w:vAlign w:val="center"/>
          </w:tcPr>
          <w:p w14:paraId="78136F2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500</w:t>
            </w:r>
          </w:p>
        </w:tc>
        <w:tc>
          <w:tcPr>
            <w:tcW w:w="876" w:type="dxa"/>
            <w:vMerge w:val="continue"/>
            <w:vAlign w:val="center"/>
          </w:tcPr>
          <w:p w14:paraId="17C002B0">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149D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595BB3C7">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二氧化氮（NO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w:t>
            </w:r>
          </w:p>
        </w:tc>
        <w:tc>
          <w:tcPr>
            <w:tcW w:w="2212" w:type="dxa"/>
            <w:vAlign w:val="center"/>
          </w:tcPr>
          <w:p w14:paraId="5324D25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w:t>
            </w:r>
          </w:p>
        </w:tc>
        <w:tc>
          <w:tcPr>
            <w:tcW w:w="2902" w:type="dxa"/>
            <w:vAlign w:val="center"/>
          </w:tcPr>
          <w:p w14:paraId="6C7AFDF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c>
          <w:tcPr>
            <w:tcW w:w="876" w:type="dxa"/>
            <w:vMerge w:val="continue"/>
            <w:vAlign w:val="center"/>
          </w:tcPr>
          <w:p w14:paraId="23089207">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7F14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31A1BAEC">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6F7C2DA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4DABABF5">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80</w:t>
            </w:r>
          </w:p>
        </w:tc>
        <w:tc>
          <w:tcPr>
            <w:tcW w:w="876" w:type="dxa"/>
            <w:vMerge w:val="continue"/>
            <w:vAlign w:val="center"/>
          </w:tcPr>
          <w:p w14:paraId="70EB82E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12FC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4F339005">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775A431B">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1小时平均</w:t>
            </w:r>
          </w:p>
        </w:tc>
        <w:tc>
          <w:tcPr>
            <w:tcW w:w="2902" w:type="dxa"/>
            <w:vAlign w:val="center"/>
          </w:tcPr>
          <w:p w14:paraId="152E10FC">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876" w:type="dxa"/>
            <w:vMerge w:val="continue"/>
            <w:vAlign w:val="center"/>
          </w:tcPr>
          <w:p w14:paraId="02F624B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15A3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517BE2E6">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一氧化碳（CO）</w:t>
            </w:r>
          </w:p>
        </w:tc>
        <w:tc>
          <w:tcPr>
            <w:tcW w:w="2212" w:type="dxa"/>
            <w:vAlign w:val="center"/>
          </w:tcPr>
          <w:p w14:paraId="72D2B1F3">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154DB48E">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w:t>
            </w:r>
          </w:p>
        </w:tc>
        <w:tc>
          <w:tcPr>
            <w:tcW w:w="876" w:type="dxa"/>
            <w:vMerge w:val="restart"/>
            <w:vAlign w:val="center"/>
          </w:tcPr>
          <w:p w14:paraId="12D47644">
            <w:pPr>
              <w:pStyle w:val="43"/>
              <w:widowControl w:val="0"/>
              <w:bidi w:val="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mg/</w:t>
            </w:r>
            <w:r>
              <w:rPr>
                <w:rFonts w:hint="eastAsia" w:cs="Times New Roman"/>
                <w:color w:val="000000" w:themeColor="text1"/>
                <w:highlight w:val="none"/>
                <w:lang w:eastAsia="zh-CN"/>
                <w14:textFill>
                  <w14:solidFill>
                    <w14:schemeClr w14:val="tx1"/>
                  </w14:solidFill>
                </w14:textFill>
              </w:rPr>
              <w:t>m</w:t>
            </w:r>
            <w:r>
              <w:rPr>
                <w:rFonts w:hint="eastAsia" w:cs="Times New Roman"/>
                <w:color w:val="000000" w:themeColor="text1"/>
                <w:highlight w:val="none"/>
                <w:vertAlign w:val="superscript"/>
                <w:lang w:eastAsia="zh-CN"/>
                <w14:textFill>
                  <w14:solidFill>
                    <w14:schemeClr w14:val="tx1"/>
                  </w14:solidFill>
                </w14:textFill>
              </w:rPr>
              <w:t>3</w:t>
            </w:r>
          </w:p>
        </w:tc>
      </w:tr>
      <w:tr w14:paraId="36AD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3B57C832">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0CF1FDF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1小时平均</w:t>
            </w:r>
          </w:p>
        </w:tc>
        <w:tc>
          <w:tcPr>
            <w:tcW w:w="2902" w:type="dxa"/>
            <w:vAlign w:val="center"/>
          </w:tcPr>
          <w:p w14:paraId="7F4DC318">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c>
          <w:tcPr>
            <w:tcW w:w="876" w:type="dxa"/>
            <w:vMerge w:val="continue"/>
            <w:vAlign w:val="center"/>
          </w:tcPr>
          <w:p w14:paraId="13E3BDF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52D9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291E6594">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臭氧（O</w:t>
            </w:r>
            <w:r>
              <w:rPr>
                <w:rFonts w:hint="default" w:ascii="Times New Roman" w:hAnsi="Times New Roman" w:cs="Times New Roman"/>
                <w:color w:val="000000" w:themeColor="text1"/>
                <w:highlight w:val="none"/>
                <w:vertAlign w:val="sub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c>
          <w:tcPr>
            <w:tcW w:w="2212" w:type="dxa"/>
            <w:vAlign w:val="center"/>
          </w:tcPr>
          <w:p w14:paraId="16922E3C">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日最大8小时平均</w:t>
            </w:r>
          </w:p>
        </w:tc>
        <w:tc>
          <w:tcPr>
            <w:tcW w:w="2902" w:type="dxa"/>
            <w:vAlign w:val="center"/>
          </w:tcPr>
          <w:p w14:paraId="5F2D68C7">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160</w:t>
            </w:r>
          </w:p>
        </w:tc>
        <w:tc>
          <w:tcPr>
            <w:tcW w:w="876" w:type="dxa"/>
            <w:vMerge w:val="restart"/>
            <w:vAlign w:val="center"/>
          </w:tcPr>
          <w:p w14:paraId="2D82FFB5">
            <w:pPr>
              <w:pStyle w:val="43"/>
              <w:widowControl w:val="0"/>
              <w:bidi w:val="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μg/</w:t>
            </w:r>
            <w:r>
              <w:rPr>
                <w:rFonts w:hint="eastAsia" w:cs="Times New Roman"/>
                <w:color w:val="000000" w:themeColor="text1"/>
                <w:highlight w:val="none"/>
                <w:lang w:eastAsia="zh-CN"/>
                <w14:textFill>
                  <w14:solidFill>
                    <w14:schemeClr w14:val="tx1"/>
                  </w14:solidFill>
                </w14:textFill>
              </w:rPr>
              <w:t>m</w:t>
            </w:r>
            <w:r>
              <w:rPr>
                <w:rFonts w:hint="eastAsia" w:cs="Times New Roman"/>
                <w:color w:val="000000" w:themeColor="text1"/>
                <w:highlight w:val="none"/>
                <w:vertAlign w:val="superscript"/>
                <w:lang w:eastAsia="zh-CN"/>
                <w14:textFill>
                  <w14:solidFill>
                    <w14:schemeClr w14:val="tx1"/>
                  </w14:solidFill>
                </w14:textFill>
              </w:rPr>
              <w:t>3</w:t>
            </w:r>
          </w:p>
        </w:tc>
      </w:tr>
      <w:tr w14:paraId="3BD9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70312F1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18070D9C">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1小时平均</w:t>
            </w:r>
          </w:p>
        </w:tc>
        <w:tc>
          <w:tcPr>
            <w:tcW w:w="2902" w:type="dxa"/>
            <w:vAlign w:val="center"/>
          </w:tcPr>
          <w:p w14:paraId="2FBAE957">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876" w:type="dxa"/>
            <w:vMerge w:val="continue"/>
            <w:vAlign w:val="center"/>
          </w:tcPr>
          <w:p w14:paraId="7708505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64DC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57EFD3D3">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颗粒物（粒径小于等于10μm）</w:t>
            </w:r>
          </w:p>
        </w:tc>
        <w:tc>
          <w:tcPr>
            <w:tcW w:w="2212" w:type="dxa"/>
            <w:vAlign w:val="center"/>
          </w:tcPr>
          <w:p w14:paraId="1F2E7140">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w:t>
            </w:r>
          </w:p>
        </w:tc>
        <w:tc>
          <w:tcPr>
            <w:tcW w:w="2902" w:type="dxa"/>
            <w:vAlign w:val="center"/>
          </w:tcPr>
          <w:p w14:paraId="08F74ADD">
            <w:pPr>
              <w:pStyle w:val="43"/>
              <w:widowControl w:val="0"/>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876" w:type="dxa"/>
            <w:vMerge w:val="continue"/>
            <w:vAlign w:val="center"/>
          </w:tcPr>
          <w:p w14:paraId="263E3DF3">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53AB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4E372804">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0283CC19">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67B18D66">
            <w:pPr>
              <w:pStyle w:val="43"/>
              <w:widowControl w:val="0"/>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120</w:t>
            </w:r>
          </w:p>
        </w:tc>
        <w:tc>
          <w:tcPr>
            <w:tcW w:w="876" w:type="dxa"/>
            <w:vMerge w:val="continue"/>
            <w:vAlign w:val="center"/>
          </w:tcPr>
          <w:p w14:paraId="57B1C5D7">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6AE9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6BBF57EF">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颗粒物（粒径小于等于2.5μm）</w:t>
            </w:r>
          </w:p>
        </w:tc>
        <w:tc>
          <w:tcPr>
            <w:tcW w:w="2212" w:type="dxa"/>
            <w:vAlign w:val="center"/>
          </w:tcPr>
          <w:p w14:paraId="25D60502">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w:t>
            </w:r>
          </w:p>
        </w:tc>
        <w:tc>
          <w:tcPr>
            <w:tcW w:w="2902" w:type="dxa"/>
            <w:vAlign w:val="center"/>
          </w:tcPr>
          <w:p w14:paraId="61AB1A82">
            <w:pPr>
              <w:pStyle w:val="43"/>
              <w:widowControl w:val="0"/>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30</w:t>
            </w:r>
          </w:p>
        </w:tc>
        <w:tc>
          <w:tcPr>
            <w:tcW w:w="876" w:type="dxa"/>
            <w:vMerge w:val="continue"/>
            <w:vAlign w:val="center"/>
          </w:tcPr>
          <w:p w14:paraId="0EDA1C38">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202C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57B8CE56">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2417E228">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4C7F0F8A">
            <w:pPr>
              <w:pStyle w:val="43"/>
              <w:widowControl w:val="0"/>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876" w:type="dxa"/>
            <w:vMerge w:val="continue"/>
            <w:vAlign w:val="center"/>
          </w:tcPr>
          <w:p w14:paraId="63A07712">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1CBC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restart"/>
            <w:vAlign w:val="center"/>
          </w:tcPr>
          <w:p w14:paraId="5F9CDFF0">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总悬浮颗粒物（TSP）</w:t>
            </w:r>
          </w:p>
        </w:tc>
        <w:tc>
          <w:tcPr>
            <w:tcW w:w="2212" w:type="dxa"/>
            <w:vAlign w:val="center"/>
          </w:tcPr>
          <w:p w14:paraId="0D4280BA">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w:t>
            </w:r>
          </w:p>
        </w:tc>
        <w:tc>
          <w:tcPr>
            <w:tcW w:w="2902" w:type="dxa"/>
            <w:vAlign w:val="center"/>
          </w:tcPr>
          <w:p w14:paraId="593DBA76">
            <w:pPr>
              <w:pStyle w:val="43"/>
              <w:widowControl w:val="0"/>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200</w:t>
            </w:r>
          </w:p>
        </w:tc>
        <w:tc>
          <w:tcPr>
            <w:tcW w:w="876" w:type="dxa"/>
            <w:vMerge w:val="continue"/>
            <w:vAlign w:val="center"/>
          </w:tcPr>
          <w:p w14:paraId="762BFEA5">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r w14:paraId="60E7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97" w:hRule="atLeast"/>
          <w:jc w:val="center"/>
        </w:trPr>
        <w:tc>
          <w:tcPr>
            <w:tcW w:w="2532" w:type="dxa"/>
            <w:vMerge w:val="continue"/>
            <w:vAlign w:val="center"/>
          </w:tcPr>
          <w:p w14:paraId="4CAE8C45">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c>
          <w:tcPr>
            <w:tcW w:w="2212" w:type="dxa"/>
            <w:vAlign w:val="center"/>
          </w:tcPr>
          <w:p w14:paraId="753468B1">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w:t>
            </w:r>
          </w:p>
        </w:tc>
        <w:tc>
          <w:tcPr>
            <w:tcW w:w="2902" w:type="dxa"/>
            <w:vAlign w:val="center"/>
          </w:tcPr>
          <w:p w14:paraId="7526EA27">
            <w:pPr>
              <w:pStyle w:val="43"/>
              <w:widowControl w:val="0"/>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300</w:t>
            </w:r>
          </w:p>
        </w:tc>
        <w:tc>
          <w:tcPr>
            <w:tcW w:w="876" w:type="dxa"/>
            <w:vMerge w:val="continue"/>
            <w:vAlign w:val="center"/>
          </w:tcPr>
          <w:p w14:paraId="4974226F">
            <w:pPr>
              <w:pStyle w:val="43"/>
              <w:widowControl w:val="0"/>
              <w:bidi w:val="0"/>
              <w:rPr>
                <w:rFonts w:hint="default" w:ascii="Times New Roman" w:hAnsi="Times New Roman" w:cs="Times New Roman"/>
                <w:color w:val="000000" w:themeColor="text1"/>
                <w:highlight w:val="none"/>
                <w14:textFill>
                  <w14:solidFill>
                    <w14:schemeClr w14:val="tx1"/>
                  </w14:solidFill>
                </w14:textFill>
              </w:rPr>
            </w:pPr>
          </w:p>
        </w:tc>
      </w:tr>
    </w:tbl>
    <w:p w14:paraId="03659323">
      <w:pPr>
        <w:pStyle w:val="41"/>
        <w:bidi w:val="0"/>
        <w:rPr>
          <w:rFonts w:hint="default"/>
          <w:b/>
          <w:bCs/>
        </w:rPr>
      </w:pPr>
      <w:r>
        <w:rPr>
          <w:rFonts w:hint="default"/>
          <w:b/>
          <w:bCs/>
        </w:rPr>
        <w:t>（2）地表水</w:t>
      </w:r>
    </w:p>
    <w:p w14:paraId="71CCA423">
      <w:pPr>
        <w:pStyle w:val="41"/>
        <w:bidi w:val="0"/>
        <w:rPr>
          <w:lang w:val="zh-CN"/>
        </w:rPr>
      </w:pPr>
      <w:r>
        <w:t>根据调查，项目区域最近地表水为</w:t>
      </w:r>
      <w:r>
        <w:rPr>
          <w:rFonts w:hint="eastAsia"/>
          <w:lang w:val="en-US" w:eastAsia="zh-CN"/>
        </w:rPr>
        <w:t>项目西侧400m的石马水库，西北侧1580m的红舍克下坝水库，西北侧295</w:t>
      </w:r>
      <w:r>
        <w:t>0m的</w:t>
      </w:r>
      <w:r>
        <w:rPr>
          <w:rFonts w:hint="eastAsia"/>
          <w:lang w:val="en-US" w:eastAsia="zh-CN"/>
        </w:rPr>
        <w:t>红舍克</w:t>
      </w:r>
      <w:r>
        <w:t>水库，为清水江上游</w:t>
      </w:r>
      <w:r>
        <w:rPr>
          <w:rFonts w:hint="eastAsia"/>
          <w:lang w:val="en-US" w:eastAsia="zh-CN"/>
        </w:rPr>
        <w:t>流域，位于听湖水库上游</w:t>
      </w:r>
      <w:r>
        <w:t>。</w:t>
      </w:r>
      <w:r>
        <w:rPr>
          <w:lang w:val="zh-CN"/>
        </w:rPr>
        <w:t>根据云南省水利厅2014年5月发布的《云南省水功能区划》（2014年修订），项目区</w:t>
      </w:r>
      <w:r>
        <w:rPr>
          <w:rFonts w:hint="eastAsia"/>
          <w:lang w:val="en-US" w:eastAsia="zh-CN"/>
        </w:rPr>
        <w:t>属于</w:t>
      </w:r>
      <w:r>
        <w:rPr>
          <w:lang w:val="zh-CN"/>
        </w:rPr>
        <w:t>清水江</w:t>
      </w:r>
      <w:r>
        <w:rPr>
          <w:rFonts w:hint="eastAsia"/>
          <w:lang w:val="en-US" w:eastAsia="zh-CN"/>
        </w:rPr>
        <w:t>砚山源头水保护区，源头</w:t>
      </w:r>
      <w:r>
        <w:rPr>
          <w:rFonts w:hint="eastAsia"/>
          <w:lang w:val="zh-CN"/>
        </w:rPr>
        <w:t>——</w:t>
      </w:r>
      <w:r>
        <w:rPr>
          <w:rFonts w:hint="eastAsia"/>
          <w:lang w:val="en-US" w:eastAsia="zh-CN"/>
        </w:rPr>
        <w:t>砚山听湖水库区起始；</w:t>
      </w:r>
      <w:r>
        <w:rPr>
          <w:lang w:val="zh-CN"/>
        </w:rPr>
        <w:t>全长</w:t>
      </w:r>
      <w:r>
        <w:rPr>
          <w:rFonts w:hint="eastAsia"/>
          <w:lang w:val="en-US" w:eastAsia="zh-CN"/>
        </w:rPr>
        <w:t>5.5</w:t>
      </w:r>
      <w:r>
        <w:rPr>
          <w:lang w:val="zh-CN"/>
        </w:rPr>
        <w:t>km，</w:t>
      </w:r>
      <w:r>
        <w:rPr>
          <w:rFonts w:hint="eastAsia"/>
          <w:lang w:val="en-US" w:eastAsia="zh-CN"/>
        </w:rPr>
        <w:t>2030年水质目标为Ⅱ类</w:t>
      </w:r>
      <w:r>
        <w:rPr>
          <w:lang w:val="zh-CN"/>
        </w:rPr>
        <w:t>。</w:t>
      </w:r>
      <w:r>
        <w:rPr>
          <w:rFonts w:hint="default"/>
        </w:rPr>
        <w:t>依据《云南省水功能区划（2014年修订版）》1.7.1一级区划中</w:t>
      </w:r>
      <w:r>
        <w:rPr>
          <w:rFonts w:hint="eastAsia"/>
          <w:lang w:eastAsia="zh-CN"/>
        </w:rPr>
        <w:t>“</w:t>
      </w:r>
      <w:r>
        <w:rPr>
          <w:rFonts w:hint="default"/>
        </w:rPr>
        <w:t>保留区：为目前开发利用程度不高，为今后开发利用和保护水资源而预留的水域。该类功能区应维持现状，不能破坏。保留区水质控制目标一般不低于《地表水环境质量标准》（GB3838-2002）Ⅲ类标准，或按现状水质类别控制。</w:t>
      </w:r>
      <w:r>
        <w:rPr>
          <w:rFonts w:hint="eastAsia"/>
          <w:lang w:eastAsia="zh-CN"/>
        </w:rPr>
        <w:t>”</w:t>
      </w:r>
      <w:r>
        <w:rPr>
          <w:rFonts w:hint="default"/>
        </w:rPr>
        <w:t>的要求，执行《地表水环境质量标准》（GB3838-2002）中Ⅲ类标准。</w:t>
      </w:r>
    </w:p>
    <w:p w14:paraId="10F29529">
      <w:pPr>
        <w:pStyle w:val="41"/>
        <w:bidi w:val="0"/>
        <w:rPr>
          <w:rFonts w:hint="default"/>
        </w:rPr>
      </w:pPr>
      <w:r>
        <w:rPr>
          <w:rFonts w:hint="eastAsia"/>
          <w:lang w:val="en-US" w:eastAsia="zh-CN"/>
        </w:rPr>
        <w:t>项目区域径流经石马水库、红舍克上坝水库后进入红舍克水库，红舍克水库为砚山县“千吨万人”饮用水水源地，属于县级监管饮用水源，主要功能为生活饮用、工业、农灌，兼顾防洪，执行</w:t>
      </w:r>
      <w:r>
        <w:rPr>
          <w:rFonts w:hint="default"/>
        </w:rPr>
        <w:t>《地表水环境质量标准》（GB3838-2002）中Ⅲ类标准，标准值见下表。</w:t>
      </w:r>
    </w:p>
    <w:p w14:paraId="4BC0D0CF">
      <w:pPr>
        <w:pStyle w:val="45"/>
        <w:bidi w:val="0"/>
        <w:rPr>
          <w:rFonts w:hint="default"/>
          <w:lang w:eastAsia="zh-CN"/>
        </w:rPr>
      </w:pPr>
      <w:r>
        <w:rPr>
          <w:rFonts w:hint="default"/>
        </w:rPr>
        <w:t>表</w:t>
      </w:r>
      <w:r>
        <w:rPr>
          <w:rFonts w:hint="default"/>
          <w:lang w:val="en-US" w:eastAsia="zh-CN"/>
        </w:rPr>
        <w:t>1</w:t>
      </w:r>
      <w:r>
        <w:rPr>
          <w:rFonts w:hint="default"/>
        </w:rPr>
        <w:t>.5-2  地表水环境质量标准  单位：</w:t>
      </w:r>
      <w:r>
        <w:rPr>
          <w:rFonts w:hint="default"/>
          <w:lang w:eastAsia="zh-CN"/>
        </w:rPr>
        <w:t>mg/L</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99"/>
        <w:gridCol w:w="2346"/>
        <w:gridCol w:w="877"/>
        <w:gridCol w:w="3794"/>
      </w:tblGrid>
      <w:tr w14:paraId="1074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81" w:type="pct"/>
            <w:tcBorders>
              <w:tl2br w:val="nil"/>
              <w:tr2bl w:val="nil"/>
            </w:tcBorders>
            <w:vAlign w:val="center"/>
          </w:tcPr>
          <w:p w14:paraId="425F7A25">
            <w:pPr>
              <w:pStyle w:val="43"/>
              <w:bidi w:val="0"/>
              <w:rPr>
                <w:rFonts w:hint="default"/>
              </w:rPr>
            </w:pPr>
            <w:r>
              <w:rPr>
                <w:rFonts w:hint="default"/>
              </w:rPr>
              <w:t>序号</w:t>
            </w:r>
          </w:p>
        </w:tc>
        <w:tc>
          <w:tcPr>
            <w:tcW w:w="1937" w:type="pct"/>
            <w:gridSpan w:val="2"/>
            <w:tcBorders>
              <w:tl2br w:val="nil"/>
              <w:tr2bl w:val="nil"/>
            </w:tcBorders>
            <w:vAlign w:val="center"/>
          </w:tcPr>
          <w:p w14:paraId="6AFF5DBC">
            <w:pPr>
              <w:pStyle w:val="43"/>
              <w:bidi w:val="0"/>
              <w:rPr>
                <w:rFonts w:hint="default"/>
              </w:rPr>
            </w:pPr>
            <w:r>
              <w:rPr>
                <w:rFonts w:hint="default"/>
              </w:rPr>
              <w:t>项目</w:t>
            </w:r>
          </w:p>
        </w:tc>
        <w:tc>
          <w:tcPr>
            <w:tcW w:w="2280" w:type="pct"/>
            <w:tcBorders>
              <w:tl2br w:val="nil"/>
              <w:tr2bl w:val="nil"/>
            </w:tcBorders>
            <w:vAlign w:val="center"/>
          </w:tcPr>
          <w:p w14:paraId="1B05C4FA">
            <w:pPr>
              <w:pStyle w:val="43"/>
              <w:bidi w:val="0"/>
              <w:rPr>
                <w:rFonts w:hint="eastAsia"/>
                <w:lang w:val="en-US" w:eastAsia="zh-CN"/>
              </w:rPr>
            </w:pPr>
            <w:r>
              <w:rPr>
                <w:rFonts w:hint="default"/>
              </w:rPr>
              <w:t>Ⅲ类</w:t>
            </w:r>
            <w:r>
              <w:rPr>
                <w:rFonts w:hint="eastAsia"/>
                <w:lang w:val="en-US" w:eastAsia="zh-CN"/>
              </w:rPr>
              <w:t>标准</w:t>
            </w:r>
          </w:p>
        </w:tc>
      </w:tr>
      <w:tr w14:paraId="3A65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7F581FCA">
            <w:pPr>
              <w:pStyle w:val="43"/>
              <w:bidi w:val="0"/>
              <w:rPr>
                <w:rFonts w:hint="default"/>
              </w:rPr>
            </w:pPr>
            <w:r>
              <w:rPr>
                <w:rFonts w:hint="default"/>
              </w:rPr>
              <w:t>1</w:t>
            </w:r>
          </w:p>
        </w:tc>
        <w:tc>
          <w:tcPr>
            <w:tcW w:w="1937" w:type="pct"/>
            <w:gridSpan w:val="2"/>
            <w:tcBorders>
              <w:tl2br w:val="nil"/>
              <w:tr2bl w:val="nil"/>
            </w:tcBorders>
            <w:vAlign w:val="center"/>
          </w:tcPr>
          <w:p w14:paraId="7FDE21A0">
            <w:pPr>
              <w:pStyle w:val="43"/>
              <w:bidi w:val="0"/>
              <w:rPr>
                <w:rFonts w:hint="eastAsia"/>
                <w:lang w:eastAsia="zh-CN"/>
              </w:rPr>
            </w:pPr>
            <w:r>
              <w:rPr>
                <w:rFonts w:hint="default"/>
              </w:rPr>
              <w:t>水温</w:t>
            </w:r>
            <w:r>
              <w:rPr>
                <w:rFonts w:hint="eastAsia"/>
                <w:lang w:eastAsia="zh-CN"/>
              </w:rPr>
              <w:t>（</w:t>
            </w:r>
            <w:r>
              <w:rPr>
                <w:rFonts w:hint="default"/>
              </w:rPr>
              <w:t>℃</w:t>
            </w:r>
            <w:r>
              <w:rPr>
                <w:rFonts w:hint="eastAsia"/>
                <w:lang w:eastAsia="zh-CN"/>
              </w:rPr>
              <w:t>）</w:t>
            </w:r>
          </w:p>
        </w:tc>
        <w:tc>
          <w:tcPr>
            <w:tcW w:w="2280" w:type="pct"/>
            <w:tcBorders>
              <w:tl2br w:val="nil"/>
              <w:tr2bl w:val="nil"/>
            </w:tcBorders>
            <w:vAlign w:val="center"/>
          </w:tcPr>
          <w:p w14:paraId="46D204EB">
            <w:pPr>
              <w:pStyle w:val="43"/>
              <w:bidi w:val="0"/>
              <w:rPr>
                <w:rFonts w:hint="default"/>
              </w:rPr>
            </w:pPr>
            <w:r>
              <w:rPr>
                <w:rFonts w:hint="default"/>
              </w:rPr>
              <w:t>人为造成的环境水温变化应限制在：周平均最大温升≦1，周平均最大温降≦2；</w:t>
            </w:r>
          </w:p>
        </w:tc>
      </w:tr>
      <w:tr w14:paraId="77D7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069983F6">
            <w:pPr>
              <w:pStyle w:val="43"/>
              <w:bidi w:val="0"/>
              <w:rPr>
                <w:rFonts w:hint="default"/>
              </w:rPr>
            </w:pPr>
            <w:r>
              <w:rPr>
                <w:rFonts w:hint="default"/>
              </w:rPr>
              <w:t>2</w:t>
            </w:r>
          </w:p>
        </w:tc>
        <w:tc>
          <w:tcPr>
            <w:tcW w:w="1937" w:type="pct"/>
            <w:gridSpan w:val="2"/>
            <w:tcBorders>
              <w:tl2br w:val="nil"/>
              <w:tr2bl w:val="nil"/>
            </w:tcBorders>
            <w:vAlign w:val="center"/>
          </w:tcPr>
          <w:p w14:paraId="004BF181">
            <w:pPr>
              <w:pStyle w:val="43"/>
              <w:bidi w:val="0"/>
              <w:rPr>
                <w:rFonts w:hint="eastAsia"/>
                <w:lang w:eastAsia="zh-CN"/>
              </w:rPr>
            </w:pPr>
            <w:r>
              <w:rPr>
                <w:rFonts w:hint="eastAsia"/>
                <w:lang w:eastAsia="zh-CN"/>
              </w:rPr>
              <w:t>pH值（</w:t>
            </w:r>
            <w:r>
              <w:rPr>
                <w:rFonts w:hint="default"/>
              </w:rPr>
              <w:t>无量纲</w:t>
            </w:r>
            <w:r>
              <w:rPr>
                <w:rFonts w:hint="eastAsia"/>
                <w:lang w:eastAsia="zh-CN"/>
              </w:rPr>
              <w:t>）</w:t>
            </w:r>
          </w:p>
        </w:tc>
        <w:tc>
          <w:tcPr>
            <w:tcW w:w="2280" w:type="pct"/>
            <w:tcBorders>
              <w:tl2br w:val="nil"/>
              <w:tr2bl w:val="nil"/>
            </w:tcBorders>
            <w:vAlign w:val="center"/>
          </w:tcPr>
          <w:p w14:paraId="557C7CF9">
            <w:pPr>
              <w:pStyle w:val="43"/>
              <w:bidi w:val="0"/>
              <w:rPr>
                <w:rFonts w:hint="default"/>
              </w:rPr>
            </w:pPr>
            <w:r>
              <w:rPr>
                <w:rFonts w:hint="default"/>
              </w:rPr>
              <w:t>6~9</w:t>
            </w:r>
          </w:p>
        </w:tc>
      </w:tr>
      <w:tr w14:paraId="769A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6E1775F1">
            <w:pPr>
              <w:pStyle w:val="43"/>
              <w:bidi w:val="0"/>
              <w:rPr>
                <w:rFonts w:hint="default"/>
              </w:rPr>
            </w:pPr>
            <w:r>
              <w:rPr>
                <w:rFonts w:hint="default"/>
              </w:rPr>
              <w:t>3</w:t>
            </w:r>
          </w:p>
        </w:tc>
        <w:tc>
          <w:tcPr>
            <w:tcW w:w="1410" w:type="pct"/>
            <w:vAlign w:val="center"/>
          </w:tcPr>
          <w:p w14:paraId="1AA3E1E3">
            <w:pPr>
              <w:pStyle w:val="43"/>
              <w:bidi w:val="0"/>
              <w:rPr>
                <w:rFonts w:hint="default"/>
              </w:rPr>
            </w:pPr>
            <w:r>
              <w:rPr>
                <w:rFonts w:hint="default"/>
              </w:rPr>
              <w:t>DO</w:t>
            </w:r>
          </w:p>
        </w:tc>
        <w:tc>
          <w:tcPr>
            <w:tcW w:w="526" w:type="pct"/>
            <w:vAlign w:val="center"/>
          </w:tcPr>
          <w:p w14:paraId="7B19C663">
            <w:pPr>
              <w:pStyle w:val="43"/>
              <w:bidi w:val="0"/>
              <w:rPr>
                <w:rFonts w:hint="default"/>
              </w:rPr>
            </w:pPr>
            <w:r>
              <w:rPr>
                <w:rFonts w:hint="default"/>
              </w:rPr>
              <w:t>≥</w:t>
            </w:r>
          </w:p>
        </w:tc>
        <w:tc>
          <w:tcPr>
            <w:tcW w:w="2280" w:type="pct"/>
            <w:tcBorders>
              <w:tl2br w:val="nil"/>
              <w:tr2bl w:val="nil"/>
            </w:tcBorders>
            <w:vAlign w:val="center"/>
          </w:tcPr>
          <w:p w14:paraId="0D1EBCF7">
            <w:pPr>
              <w:pStyle w:val="43"/>
              <w:bidi w:val="0"/>
              <w:rPr>
                <w:rFonts w:hint="default"/>
              </w:rPr>
            </w:pPr>
            <w:r>
              <w:rPr>
                <w:rFonts w:hint="default"/>
              </w:rPr>
              <w:t>5</w:t>
            </w:r>
          </w:p>
        </w:tc>
      </w:tr>
      <w:tr w14:paraId="5663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81" w:type="pct"/>
            <w:tcBorders>
              <w:tl2br w:val="nil"/>
              <w:tr2bl w:val="nil"/>
            </w:tcBorders>
            <w:vAlign w:val="center"/>
          </w:tcPr>
          <w:p w14:paraId="5D0FD686">
            <w:pPr>
              <w:pStyle w:val="43"/>
              <w:bidi w:val="0"/>
              <w:rPr>
                <w:rFonts w:hint="default"/>
              </w:rPr>
            </w:pPr>
            <w:r>
              <w:rPr>
                <w:rFonts w:hint="default"/>
              </w:rPr>
              <w:t>4</w:t>
            </w:r>
          </w:p>
        </w:tc>
        <w:tc>
          <w:tcPr>
            <w:tcW w:w="1410" w:type="pct"/>
            <w:vAlign w:val="center"/>
          </w:tcPr>
          <w:p w14:paraId="5D68D847">
            <w:pPr>
              <w:pStyle w:val="43"/>
              <w:bidi w:val="0"/>
              <w:rPr>
                <w:rFonts w:hint="default"/>
              </w:rPr>
            </w:pPr>
            <w:r>
              <w:rPr>
                <w:rFonts w:hint="default"/>
              </w:rPr>
              <w:t>高锰酸盐指数</w:t>
            </w:r>
          </w:p>
        </w:tc>
        <w:tc>
          <w:tcPr>
            <w:tcW w:w="526" w:type="pct"/>
            <w:vAlign w:val="center"/>
          </w:tcPr>
          <w:p w14:paraId="0ED0BF17">
            <w:pPr>
              <w:pStyle w:val="43"/>
              <w:bidi w:val="0"/>
              <w:rPr>
                <w:rFonts w:hint="default"/>
              </w:rPr>
            </w:pPr>
            <w:r>
              <w:rPr>
                <w:rFonts w:hint="default"/>
              </w:rPr>
              <w:t>≤</w:t>
            </w:r>
          </w:p>
        </w:tc>
        <w:tc>
          <w:tcPr>
            <w:tcW w:w="2280" w:type="pct"/>
            <w:tcBorders>
              <w:tl2br w:val="nil"/>
              <w:tr2bl w:val="nil"/>
            </w:tcBorders>
            <w:vAlign w:val="center"/>
          </w:tcPr>
          <w:p w14:paraId="7AA6699C">
            <w:pPr>
              <w:pStyle w:val="43"/>
              <w:bidi w:val="0"/>
              <w:rPr>
                <w:rFonts w:hint="default"/>
              </w:rPr>
            </w:pPr>
            <w:r>
              <w:rPr>
                <w:rFonts w:hint="default"/>
              </w:rPr>
              <w:t>6</w:t>
            </w:r>
          </w:p>
        </w:tc>
      </w:tr>
      <w:tr w14:paraId="4314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593DE0C2">
            <w:pPr>
              <w:pStyle w:val="43"/>
              <w:bidi w:val="0"/>
              <w:rPr>
                <w:rFonts w:hint="default"/>
              </w:rPr>
            </w:pPr>
            <w:r>
              <w:rPr>
                <w:rFonts w:hint="default"/>
              </w:rPr>
              <w:t>5</w:t>
            </w:r>
          </w:p>
        </w:tc>
        <w:tc>
          <w:tcPr>
            <w:tcW w:w="1410" w:type="pct"/>
            <w:vAlign w:val="center"/>
          </w:tcPr>
          <w:p w14:paraId="647FBD14">
            <w:pPr>
              <w:pStyle w:val="43"/>
              <w:bidi w:val="0"/>
              <w:rPr>
                <w:rFonts w:hint="default"/>
              </w:rPr>
            </w:pPr>
            <w:r>
              <w:rPr>
                <w:rFonts w:hint="default"/>
              </w:rPr>
              <w:t>COD</w:t>
            </w:r>
          </w:p>
        </w:tc>
        <w:tc>
          <w:tcPr>
            <w:tcW w:w="526" w:type="pct"/>
            <w:vAlign w:val="center"/>
          </w:tcPr>
          <w:p w14:paraId="4A3395FB">
            <w:pPr>
              <w:pStyle w:val="43"/>
              <w:bidi w:val="0"/>
              <w:rPr>
                <w:rFonts w:hint="default"/>
              </w:rPr>
            </w:pPr>
            <w:r>
              <w:rPr>
                <w:rFonts w:hint="default"/>
              </w:rPr>
              <w:t>≤</w:t>
            </w:r>
          </w:p>
        </w:tc>
        <w:tc>
          <w:tcPr>
            <w:tcW w:w="2280" w:type="pct"/>
            <w:tcBorders>
              <w:tl2br w:val="nil"/>
              <w:tr2bl w:val="nil"/>
            </w:tcBorders>
            <w:vAlign w:val="center"/>
          </w:tcPr>
          <w:p w14:paraId="4200678D">
            <w:pPr>
              <w:pStyle w:val="43"/>
              <w:bidi w:val="0"/>
              <w:rPr>
                <w:rFonts w:hint="default"/>
              </w:rPr>
            </w:pPr>
            <w:r>
              <w:rPr>
                <w:rFonts w:hint="default"/>
              </w:rPr>
              <w:t>20</w:t>
            </w:r>
          </w:p>
        </w:tc>
      </w:tr>
      <w:tr w14:paraId="466C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1DD490B1">
            <w:pPr>
              <w:pStyle w:val="43"/>
              <w:bidi w:val="0"/>
              <w:rPr>
                <w:rFonts w:hint="default"/>
              </w:rPr>
            </w:pPr>
            <w:r>
              <w:rPr>
                <w:rFonts w:hint="default"/>
              </w:rPr>
              <w:t>6</w:t>
            </w:r>
          </w:p>
        </w:tc>
        <w:tc>
          <w:tcPr>
            <w:tcW w:w="1410" w:type="pct"/>
            <w:vAlign w:val="center"/>
          </w:tcPr>
          <w:p w14:paraId="53E4CD3F">
            <w:pPr>
              <w:pStyle w:val="43"/>
              <w:bidi w:val="0"/>
              <w:rPr>
                <w:rFonts w:hint="default"/>
              </w:rPr>
            </w:pPr>
            <w:r>
              <w:rPr>
                <w:rFonts w:hint="default"/>
              </w:rPr>
              <w:t>BOD</w:t>
            </w:r>
            <w:r>
              <w:rPr>
                <w:rFonts w:hint="default"/>
                <w:vertAlign w:val="subscript"/>
              </w:rPr>
              <w:t>5</w:t>
            </w:r>
          </w:p>
        </w:tc>
        <w:tc>
          <w:tcPr>
            <w:tcW w:w="526" w:type="pct"/>
            <w:vAlign w:val="center"/>
          </w:tcPr>
          <w:p w14:paraId="2D596266">
            <w:pPr>
              <w:pStyle w:val="43"/>
              <w:bidi w:val="0"/>
              <w:rPr>
                <w:rFonts w:hint="default"/>
              </w:rPr>
            </w:pPr>
            <w:r>
              <w:rPr>
                <w:rFonts w:hint="default"/>
              </w:rPr>
              <w:t>≤</w:t>
            </w:r>
          </w:p>
        </w:tc>
        <w:tc>
          <w:tcPr>
            <w:tcW w:w="2280" w:type="pct"/>
            <w:tcBorders>
              <w:tl2br w:val="nil"/>
              <w:tr2bl w:val="nil"/>
            </w:tcBorders>
            <w:vAlign w:val="center"/>
          </w:tcPr>
          <w:p w14:paraId="7AB9D901">
            <w:pPr>
              <w:pStyle w:val="43"/>
              <w:bidi w:val="0"/>
              <w:rPr>
                <w:rFonts w:hint="default"/>
              </w:rPr>
            </w:pPr>
            <w:r>
              <w:rPr>
                <w:rFonts w:hint="default"/>
              </w:rPr>
              <w:t>4</w:t>
            </w:r>
          </w:p>
        </w:tc>
      </w:tr>
      <w:tr w14:paraId="222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0E268D31">
            <w:pPr>
              <w:pStyle w:val="43"/>
              <w:bidi w:val="0"/>
              <w:rPr>
                <w:rFonts w:hint="default"/>
              </w:rPr>
            </w:pPr>
            <w:r>
              <w:rPr>
                <w:rFonts w:hint="default"/>
              </w:rPr>
              <w:t>7</w:t>
            </w:r>
          </w:p>
        </w:tc>
        <w:tc>
          <w:tcPr>
            <w:tcW w:w="1410" w:type="pct"/>
            <w:vAlign w:val="center"/>
          </w:tcPr>
          <w:p w14:paraId="5099DB4C">
            <w:pPr>
              <w:pStyle w:val="43"/>
              <w:bidi w:val="0"/>
              <w:rPr>
                <w:rFonts w:hint="default"/>
              </w:rPr>
            </w:pPr>
            <w:r>
              <w:rPr>
                <w:rFonts w:hint="default"/>
              </w:rPr>
              <w:t>NH</w:t>
            </w:r>
            <w:r>
              <w:rPr>
                <w:rFonts w:hint="default"/>
                <w:vertAlign w:val="subscript"/>
              </w:rPr>
              <w:t>3</w:t>
            </w:r>
            <w:r>
              <w:rPr>
                <w:rFonts w:hint="default"/>
              </w:rPr>
              <w:t>-N</w:t>
            </w:r>
          </w:p>
        </w:tc>
        <w:tc>
          <w:tcPr>
            <w:tcW w:w="526" w:type="pct"/>
            <w:vAlign w:val="center"/>
          </w:tcPr>
          <w:p w14:paraId="78976EE7">
            <w:pPr>
              <w:pStyle w:val="43"/>
              <w:bidi w:val="0"/>
              <w:rPr>
                <w:rFonts w:hint="default"/>
              </w:rPr>
            </w:pPr>
            <w:r>
              <w:rPr>
                <w:rFonts w:hint="default"/>
              </w:rPr>
              <w:t>≤</w:t>
            </w:r>
          </w:p>
        </w:tc>
        <w:tc>
          <w:tcPr>
            <w:tcW w:w="2280" w:type="pct"/>
            <w:tcBorders>
              <w:tl2br w:val="nil"/>
              <w:tr2bl w:val="nil"/>
            </w:tcBorders>
            <w:vAlign w:val="center"/>
          </w:tcPr>
          <w:p w14:paraId="525A744F">
            <w:pPr>
              <w:pStyle w:val="43"/>
              <w:bidi w:val="0"/>
              <w:rPr>
                <w:rFonts w:hint="default"/>
              </w:rPr>
            </w:pPr>
            <w:r>
              <w:rPr>
                <w:rFonts w:hint="default"/>
              </w:rPr>
              <w:t>1.0</w:t>
            </w:r>
          </w:p>
        </w:tc>
      </w:tr>
      <w:tr w14:paraId="44EF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1A5B2106">
            <w:pPr>
              <w:pStyle w:val="43"/>
              <w:bidi w:val="0"/>
              <w:rPr>
                <w:rFonts w:hint="default"/>
              </w:rPr>
            </w:pPr>
            <w:r>
              <w:rPr>
                <w:rFonts w:hint="default"/>
              </w:rPr>
              <w:t>8</w:t>
            </w:r>
          </w:p>
        </w:tc>
        <w:tc>
          <w:tcPr>
            <w:tcW w:w="1410" w:type="pct"/>
            <w:vAlign w:val="center"/>
          </w:tcPr>
          <w:p w14:paraId="21C2D9BB">
            <w:pPr>
              <w:pStyle w:val="43"/>
              <w:bidi w:val="0"/>
              <w:rPr>
                <w:rFonts w:hint="default"/>
              </w:rPr>
            </w:pPr>
            <w:r>
              <w:rPr>
                <w:rFonts w:hint="default"/>
              </w:rPr>
              <w:t>TP</w:t>
            </w:r>
          </w:p>
        </w:tc>
        <w:tc>
          <w:tcPr>
            <w:tcW w:w="526" w:type="pct"/>
            <w:vAlign w:val="center"/>
          </w:tcPr>
          <w:p w14:paraId="5FDF93AA">
            <w:pPr>
              <w:pStyle w:val="43"/>
              <w:bidi w:val="0"/>
              <w:rPr>
                <w:rFonts w:hint="default"/>
              </w:rPr>
            </w:pPr>
            <w:r>
              <w:rPr>
                <w:rFonts w:hint="default"/>
              </w:rPr>
              <w:t>≤</w:t>
            </w:r>
          </w:p>
        </w:tc>
        <w:tc>
          <w:tcPr>
            <w:tcW w:w="2280" w:type="pct"/>
            <w:tcBorders>
              <w:tl2br w:val="nil"/>
              <w:tr2bl w:val="nil"/>
            </w:tcBorders>
            <w:vAlign w:val="center"/>
          </w:tcPr>
          <w:p w14:paraId="17BCBE79">
            <w:pPr>
              <w:pStyle w:val="43"/>
              <w:bidi w:val="0"/>
              <w:rPr>
                <w:rFonts w:hint="eastAsia"/>
                <w:lang w:eastAsia="zh-CN"/>
              </w:rPr>
            </w:pPr>
            <w:r>
              <w:rPr>
                <w:rFonts w:hint="default"/>
              </w:rPr>
              <w:t>0.2</w:t>
            </w:r>
            <w:r>
              <w:rPr>
                <w:rFonts w:hint="eastAsia"/>
                <w:lang w:eastAsia="zh-CN"/>
              </w:rPr>
              <w:t>（</w:t>
            </w:r>
            <w:r>
              <w:rPr>
                <w:rFonts w:hint="default"/>
              </w:rPr>
              <w:t>湖、库0.05</w:t>
            </w:r>
            <w:r>
              <w:rPr>
                <w:rFonts w:hint="eastAsia"/>
                <w:lang w:eastAsia="zh-CN"/>
              </w:rPr>
              <w:t>）</w:t>
            </w:r>
          </w:p>
        </w:tc>
      </w:tr>
      <w:tr w14:paraId="2617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07CDBC41">
            <w:pPr>
              <w:pStyle w:val="43"/>
              <w:bidi w:val="0"/>
              <w:rPr>
                <w:rFonts w:hint="default"/>
              </w:rPr>
            </w:pPr>
            <w:r>
              <w:rPr>
                <w:rFonts w:hint="default"/>
              </w:rPr>
              <w:t>9</w:t>
            </w:r>
          </w:p>
        </w:tc>
        <w:tc>
          <w:tcPr>
            <w:tcW w:w="1410" w:type="pct"/>
            <w:vAlign w:val="center"/>
          </w:tcPr>
          <w:p w14:paraId="712A78E9">
            <w:pPr>
              <w:pStyle w:val="43"/>
              <w:bidi w:val="0"/>
              <w:rPr>
                <w:rFonts w:hint="default"/>
              </w:rPr>
            </w:pPr>
            <w:r>
              <w:rPr>
                <w:rFonts w:hint="default"/>
              </w:rPr>
              <w:t>TN</w:t>
            </w:r>
          </w:p>
        </w:tc>
        <w:tc>
          <w:tcPr>
            <w:tcW w:w="526" w:type="pct"/>
            <w:vAlign w:val="center"/>
          </w:tcPr>
          <w:p w14:paraId="67E8B746">
            <w:pPr>
              <w:pStyle w:val="43"/>
              <w:bidi w:val="0"/>
              <w:rPr>
                <w:rFonts w:hint="default"/>
              </w:rPr>
            </w:pPr>
            <w:r>
              <w:rPr>
                <w:rFonts w:hint="default"/>
              </w:rPr>
              <w:t>≤</w:t>
            </w:r>
          </w:p>
        </w:tc>
        <w:tc>
          <w:tcPr>
            <w:tcW w:w="2280" w:type="pct"/>
            <w:tcBorders>
              <w:tl2br w:val="nil"/>
              <w:tr2bl w:val="nil"/>
            </w:tcBorders>
            <w:vAlign w:val="center"/>
          </w:tcPr>
          <w:p w14:paraId="12962B2F">
            <w:pPr>
              <w:pStyle w:val="43"/>
              <w:bidi w:val="0"/>
              <w:rPr>
                <w:rFonts w:hint="default"/>
              </w:rPr>
            </w:pPr>
            <w:r>
              <w:rPr>
                <w:rFonts w:hint="default"/>
              </w:rPr>
              <w:t>1.0</w:t>
            </w:r>
          </w:p>
        </w:tc>
      </w:tr>
      <w:tr w14:paraId="7D7E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3CFF5CC8">
            <w:pPr>
              <w:pStyle w:val="43"/>
              <w:bidi w:val="0"/>
              <w:rPr>
                <w:rFonts w:hint="default"/>
              </w:rPr>
            </w:pPr>
            <w:r>
              <w:rPr>
                <w:rFonts w:hint="default"/>
              </w:rPr>
              <w:t>10</w:t>
            </w:r>
          </w:p>
        </w:tc>
        <w:tc>
          <w:tcPr>
            <w:tcW w:w="1410" w:type="pct"/>
            <w:vAlign w:val="center"/>
          </w:tcPr>
          <w:p w14:paraId="1C51CD1C">
            <w:pPr>
              <w:pStyle w:val="43"/>
              <w:bidi w:val="0"/>
              <w:rPr>
                <w:rFonts w:hint="default"/>
              </w:rPr>
            </w:pPr>
            <w:r>
              <w:rPr>
                <w:rFonts w:hint="default"/>
              </w:rPr>
              <w:t>Cu</w:t>
            </w:r>
          </w:p>
        </w:tc>
        <w:tc>
          <w:tcPr>
            <w:tcW w:w="526" w:type="pct"/>
            <w:vAlign w:val="center"/>
          </w:tcPr>
          <w:p w14:paraId="635C0A0D">
            <w:pPr>
              <w:pStyle w:val="43"/>
              <w:bidi w:val="0"/>
              <w:rPr>
                <w:rFonts w:hint="default"/>
              </w:rPr>
            </w:pPr>
            <w:r>
              <w:rPr>
                <w:rFonts w:hint="default"/>
              </w:rPr>
              <w:t>≤</w:t>
            </w:r>
          </w:p>
        </w:tc>
        <w:tc>
          <w:tcPr>
            <w:tcW w:w="2280" w:type="pct"/>
            <w:tcBorders>
              <w:tl2br w:val="nil"/>
              <w:tr2bl w:val="nil"/>
            </w:tcBorders>
            <w:vAlign w:val="center"/>
          </w:tcPr>
          <w:p w14:paraId="6D4D92A9">
            <w:pPr>
              <w:pStyle w:val="43"/>
              <w:bidi w:val="0"/>
              <w:rPr>
                <w:rFonts w:hint="default"/>
              </w:rPr>
            </w:pPr>
            <w:r>
              <w:rPr>
                <w:rFonts w:hint="default"/>
              </w:rPr>
              <w:t>1.0</w:t>
            </w:r>
          </w:p>
        </w:tc>
      </w:tr>
      <w:tr w14:paraId="3ADC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344551D0">
            <w:pPr>
              <w:pStyle w:val="43"/>
              <w:bidi w:val="0"/>
              <w:rPr>
                <w:rFonts w:hint="default"/>
              </w:rPr>
            </w:pPr>
            <w:r>
              <w:rPr>
                <w:rFonts w:hint="default"/>
              </w:rPr>
              <w:t>11</w:t>
            </w:r>
          </w:p>
        </w:tc>
        <w:tc>
          <w:tcPr>
            <w:tcW w:w="1410" w:type="pct"/>
            <w:vAlign w:val="center"/>
          </w:tcPr>
          <w:p w14:paraId="3246122A">
            <w:pPr>
              <w:pStyle w:val="43"/>
              <w:bidi w:val="0"/>
              <w:rPr>
                <w:rFonts w:hint="default"/>
              </w:rPr>
            </w:pPr>
            <w:r>
              <w:rPr>
                <w:rFonts w:hint="default"/>
              </w:rPr>
              <w:t>Zn</w:t>
            </w:r>
          </w:p>
        </w:tc>
        <w:tc>
          <w:tcPr>
            <w:tcW w:w="526" w:type="pct"/>
            <w:vAlign w:val="center"/>
          </w:tcPr>
          <w:p w14:paraId="59714D10">
            <w:pPr>
              <w:pStyle w:val="43"/>
              <w:bidi w:val="0"/>
              <w:rPr>
                <w:rFonts w:hint="default"/>
              </w:rPr>
            </w:pPr>
            <w:r>
              <w:rPr>
                <w:rFonts w:hint="default"/>
              </w:rPr>
              <w:t>≤</w:t>
            </w:r>
          </w:p>
        </w:tc>
        <w:tc>
          <w:tcPr>
            <w:tcW w:w="2280" w:type="pct"/>
            <w:tcBorders>
              <w:tl2br w:val="nil"/>
              <w:tr2bl w:val="nil"/>
            </w:tcBorders>
            <w:vAlign w:val="center"/>
          </w:tcPr>
          <w:p w14:paraId="719259BC">
            <w:pPr>
              <w:pStyle w:val="43"/>
              <w:bidi w:val="0"/>
              <w:rPr>
                <w:rFonts w:hint="default"/>
              </w:rPr>
            </w:pPr>
            <w:r>
              <w:rPr>
                <w:rFonts w:hint="default"/>
              </w:rPr>
              <w:t>1.0</w:t>
            </w:r>
          </w:p>
        </w:tc>
      </w:tr>
      <w:tr w14:paraId="44D3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639847F0">
            <w:pPr>
              <w:pStyle w:val="43"/>
              <w:bidi w:val="0"/>
              <w:rPr>
                <w:rFonts w:hint="default"/>
              </w:rPr>
            </w:pPr>
            <w:r>
              <w:rPr>
                <w:rFonts w:hint="default"/>
              </w:rPr>
              <w:t>12</w:t>
            </w:r>
          </w:p>
        </w:tc>
        <w:tc>
          <w:tcPr>
            <w:tcW w:w="1410" w:type="pct"/>
            <w:vAlign w:val="center"/>
          </w:tcPr>
          <w:p w14:paraId="265E477A">
            <w:pPr>
              <w:pStyle w:val="43"/>
              <w:bidi w:val="0"/>
              <w:rPr>
                <w:rFonts w:hint="default"/>
              </w:rPr>
            </w:pPr>
            <w:r>
              <w:rPr>
                <w:rFonts w:hint="default"/>
              </w:rPr>
              <w:t>氟化物</w:t>
            </w:r>
          </w:p>
        </w:tc>
        <w:tc>
          <w:tcPr>
            <w:tcW w:w="526" w:type="pct"/>
            <w:vAlign w:val="center"/>
          </w:tcPr>
          <w:p w14:paraId="5CE3EF46">
            <w:pPr>
              <w:pStyle w:val="43"/>
              <w:bidi w:val="0"/>
              <w:rPr>
                <w:rFonts w:hint="default"/>
              </w:rPr>
            </w:pPr>
            <w:r>
              <w:rPr>
                <w:rFonts w:hint="default"/>
              </w:rPr>
              <w:t>≤</w:t>
            </w:r>
          </w:p>
        </w:tc>
        <w:tc>
          <w:tcPr>
            <w:tcW w:w="2280" w:type="pct"/>
            <w:tcBorders>
              <w:tl2br w:val="nil"/>
              <w:tr2bl w:val="nil"/>
            </w:tcBorders>
            <w:vAlign w:val="center"/>
          </w:tcPr>
          <w:p w14:paraId="010383DC">
            <w:pPr>
              <w:pStyle w:val="43"/>
              <w:bidi w:val="0"/>
              <w:rPr>
                <w:rFonts w:hint="default"/>
              </w:rPr>
            </w:pPr>
            <w:r>
              <w:rPr>
                <w:rFonts w:hint="default"/>
              </w:rPr>
              <w:t>1.0</w:t>
            </w:r>
          </w:p>
        </w:tc>
      </w:tr>
      <w:tr w14:paraId="1C1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5C14362A">
            <w:pPr>
              <w:pStyle w:val="43"/>
              <w:bidi w:val="0"/>
              <w:rPr>
                <w:rFonts w:hint="default"/>
              </w:rPr>
            </w:pPr>
            <w:r>
              <w:rPr>
                <w:rFonts w:hint="default"/>
              </w:rPr>
              <w:t>13</w:t>
            </w:r>
          </w:p>
        </w:tc>
        <w:tc>
          <w:tcPr>
            <w:tcW w:w="1410" w:type="pct"/>
            <w:vAlign w:val="center"/>
          </w:tcPr>
          <w:p w14:paraId="7B2A8230">
            <w:pPr>
              <w:pStyle w:val="43"/>
              <w:bidi w:val="0"/>
              <w:rPr>
                <w:rFonts w:hint="default"/>
              </w:rPr>
            </w:pPr>
            <w:r>
              <w:rPr>
                <w:rFonts w:hint="default"/>
              </w:rPr>
              <w:t>硒</w:t>
            </w:r>
          </w:p>
        </w:tc>
        <w:tc>
          <w:tcPr>
            <w:tcW w:w="526" w:type="pct"/>
            <w:vAlign w:val="center"/>
          </w:tcPr>
          <w:p w14:paraId="31375EB1">
            <w:pPr>
              <w:pStyle w:val="43"/>
              <w:bidi w:val="0"/>
              <w:rPr>
                <w:rFonts w:hint="default"/>
              </w:rPr>
            </w:pPr>
            <w:r>
              <w:rPr>
                <w:rFonts w:hint="default"/>
              </w:rPr>
              <w:t>≤</w:t>
            </w:r>
          </w:p>
        </w:tc>
        <w:tc>
          <w:tcPr>
            <w:tcW w:w="2280" w:type="pct"/>
            <w:tcBorders>
              <w:tl2br w:val="nil"/>
              <w:tr2bl w:val="nil"/>
            </w:tcBorders>
            <w:vAlign w:val="center"/>
          </w:tcPr>
          <w:p w14:paraId="238934A2">
            <w:pPr>
              <w:pStyle w:val="43"/>
              <w:bidi w:val="0"/>
              <w:rPr>
                <w:rFonts w:hint="default"/>
              </w:rPr>
            </w:pPr>
            <w:r>
              <w:rPr>
                <w:rFonts w:hint="default"/>
              </w:rPr>
              <w:t>0.01</w:t>
            </w:r>
          </w:p>
        </w:tc>
      </w:tr>
      <w:tr w14:paraId="755F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082263BD">
            <w:pPr>
              <w:pStyle w:val="43"/>
              <w:bidi w:val="0"/>
              <w:rPr>
                <w:rFonts w:hint="default"/>
              </w:rPr>
            </w:pPr>
            <w:r>
              <w:rPr>
                <w:rFonts w:hint="default"/>
              </w:rPr>
              <w:t>14</w:t>
            </w:r>
          </w:p>
        </w:tc>
        <w:tc>
          <w:tcPr>
            <w:tcW w:w="1410" w:type="pct"/>
            <w:vAlign w:val="center"/>
          </w:tcPr>
          <w:p w14:paraId="30ADBB58">
            <w:pPr>
              <w:pStyle w:val="43"/>
              <w:bidi w:val="0"/>
              <w:rPr>
                <w:rFonts w:hint="default"/>
              </w:rPr>
            </w:pPr>
            <w:r>
              <w:rPr>
                <w:rFonts w:hint="default"/>
              </w:rPr>
              <w:t>As</w:t>
            </w:r>
          </w:p>
        </w:tc>
        <w:tc>
          <w:tcPr>
            <w:tcW w:w="526" w:type="pct"/>
            <w:vAlign w:val="center"/>
          </w:tcPr>
          <w:p w14:paraId="4EACFA1F">
            <w:pPr>
              <w:pStyle w:val="43"/>
              <w:bidi w:val="0"/>
              <w:rPr>
                <w:rFonts w:hint="default"/>
              </w:rPr>
            </w:pPr>
            <w:r>
              <w:rPr>
                <w:rFonts w:hint="default"/>
              </w:rPr>
              <w:t>≤</w:t>
            </w:r>
          </w:p>
        </w:tc>
        <w:tc>
          <w:tcPr>
            <w:tcW w:w="2280" w:type="pct"/>
            <w:tcBorders>
              <w:tl2br w:val="nil"/>
              <w:tr2bl w:val="nil"/>
            </w:tcBorders>
            <w:vAlign w:val="center"/>
          </w:tcPr>
          <w:p w14:paraId="33993A3B">
            <w:pPr>
              <w:pStyle w:val="43"/>
              <w:bidi w:val="0"/>
              <w:rPr>
                <w:rFonts w:hint="default"/>
              </w:rPr>
            </w:pPr>
            <w:r>
              <w:rPr>
                <w:rFonts w:hint="default"/>
              </w:rPr>
              <w:t>0.05</w:t>
            </w:r>
          </w:p>
        </w:tc>
      </w:tr>
      <w:tr w14:paraId="7316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331C8352">
            <w:pPr>
              <w:pStyle w:val="43"/>
              <w:bidi w:val="0"/>
              <w:rPr>
                <w:rFonts w:hint="default"/>
              </w:rPr>
            </w:pPr>
            <w:r>
              <w:rPr>
                <w:rFonts w:hint="default"/>
              </w:rPr>
              <w:t>15</w:t>
            </w:r>
          </w:p>
        </w:tc>
        <w:tc>
          <w:tcPr>
            <w:tcW w:w="1410" w:type="pct"/>
            <w:vAlign w:val="center"/>
          </w:tcPr>
          <w:p w14:paraId="459E561D">
            <w:pPr>
              <w:pStyle w:val="43"/>
              <w:bidi w:val="0"/>
              <w:rPr>
                <w:rFonts w:hint="default"/>
              </w:rPr>
            </w:pPr>
            <w:r>
              <w:rPr>
                <w:rFonts w:hint="default"/>
              </w:rPr>
              <w:t>Hg</w:t>
            </w:r>
          </w:p>
        </w:tc>
        <w:tc>
          <w:tcPr>
            <w:tcW w:w="526" w:type="pct"/>
            <w:vAlign w:val="center"/>
          </w:tcPr>
          <w:p w14:paraId="7EAD796B">
            <w:pPr>
              <w:pStyle w:val="43"/>
              <w:bidi w:val="0"/>
              <w:rPr>
                <w:rFonts w:hint="default"/>
              </w:rPr>
            </w:pPr>
            <w:r>
              <w:rPr>
                <w:rFonts w:hint="default"/>
              </w:rPr>
              <w:t>≤</w:t>
            </w:r>
          </w:p>
        </w:tc>
        <w:tc>
          <w:tcPr>
            <w:tcW w:w="2280" w:type="pct"/>
            <w:tcBorders>
              <w:tl2br w:val="nil"/>
              <w:tr2bl w:val="nil"/>
            </w:tcBorders>
            <w:vAlign w:val="center"/>
          </w:tcPr>
          <w:p w14:paraId="45DED197">
            <w:pPr>
              <w:pStyle w:val="43"/>
              <w:bidi w:val="0"/>
              <w:rPr>
                <w:rFonts w:hint="default"/>
              </w:rPr>
            </w:pPr>
            <w:r>
              <w:rPr>
                <w:rFonts w:hint="default"/>
              </w:rPr>
              <w:t>0.0001</w:t>
            </w:r>
          </w:p>
        </w:tc>
      </w:tr>
      <w:tr w14:paraId="0227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5B4387AF">
            <w:pPr>
              <w:pStyle w:val="43"/>
              <w:bidi w:val="0"/>
              <w:rPr>
                <w:rFonts w:hint="default"/>
              </w:rPr>
            </w:pPr>
            <w:r>
              <w:rPr>
                <w:rFonts w:hint="default"/>
              </w:rPr>
              <w:t>16</w:t>
            </w:r>
          </w:p>
        </w:tc>
        <w:tc>
          <w:tcPr>
            <w:tcW w:w="1410" w:type="pct"/>
            <w:vAlign w:val="center"/>
          </w:tcPr>
          <w:p w14:paraId="59F3ACD3">
            <w:pPr>
              <w:pStyle w:val="43"/>
              <w:bidi w:val="0"/>
              <w:rPr>
                <w:rFonts w:hint="default"/>
              </w:rPr>
            </w:pPr>
            <w:r>
              <w:rPr>
                <w:rFonts w:hint="default"/>
              </w:rPr>
              <w:t>Cd</w:t>
            </w:r>
          </w:p>
        </w:tc>
        <w:tc>
          <w:tcPr>
            <w:tcW w:w="526" w:type="pct"/>
            <w:vAlign w:val="center"/>
          </w:tcPr>
          <w:p w14:paraId="13E104FA">
            <w:pPr>
              <w:pStyle w:val="43"/>
              <w:bidi w:val="0"/>
              <w:rPr>
                <w:rFonts w:hint="default"/>
              </w:rPr>
            </w:pPr>
            <w:r>
              <w:rPr>
                <w:rFonts w:hint="default"/>
              </w:rPr>
              <w:t>≤</w:t>
            </w:r>
          </w:p>
        </w:tc>
        <w:tc>
          <w:tcPr>
            <w:tcW w:w="2280" w:type="pct"/>
            <w:tcBorders>
              <w:tl2br w:val="nil"/>
              <w:tr2bl w:val="nil"/>
            </w:tcBorders>
            <w:vAlign w:val="center"/>
          </w:tcPr>
          <w:p w14:paraId="3376BBDA">
            <w:pPr>
              <w:pStyle w:val="43"/>
              <w:bidi w:val="0"/>
              <w:rPr>
                <w:rFonts w:hint="default"/>
              </w:rPr>
            </w:pPr>
            <w:r>
              <w:rPr>
                <w:rFonts w:hint="default"/>
              </w:rPr>
              <w:t>0.005</w:t>
            </w:r>
          </w:p>
        </w:tc>
      </w:tr>
      <w:tr w14:paraId="1FE9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4F84AF99">
            <w:pPr>
              <w:pStyle w:val="43"/>
              <w:bidi w:val="0"/>
              <w:rPr>
                <w:rFonts w:hint="default"/>
              </w:rPr>
            </w:pPr>
            <w:r>
              <w:rPr>
                <w:rFonts w:hint="default"/>
              </w:rPr>
              <w:t>17</w:t>
            </w:r>
          </w:p>
        </w:tc>
        <w:tc>
          <w:tcPr>
            <w:tcW w:w="1410" w:type="pct"/>
            <w:vAlign w:val="center"/>
          </w:tcPr>
          <w:p w14:paraId="1599CA37">
            <w:pPr>
              <w:pStyle w:val="43"/>
              <w:bidi w:val="0"/>
              <w:rPr>
                <w:rFonts w:hint="default"/>
              </w:rPr>
            </w:pPr>
            <w:r>
              <w:rPr>
                <w:rFonts w:hint="default"/>
              </w:rPr>
              <w:t>Cr</w:t>
            </w:r>
            <w:r>
              <w:rPr>
                <w:rFonts w:hint="default"/>
                <w:vertAlign w:val="superscript"/>
              </w:rPr>
              <w:t>6+</w:t>
            </w:r>
          </w:p>
        </w:tc>
        <w:tc>
          <w:tcPr>
            <w:tcW w:w="526" w:type="pct"/>
            <w:vAlign w:val="center"/>
          </w:tcPr>
          <w:p w14:paraId="0D359027">
            <w:pPr>
              <w:pStyle w:val="43"/>
              <w:bidi w:val="0"/>
              <w:rPr>
                <w:rFonts w:hint="default"/>
              </w:rPr>
            </w:pPr>
            <w:r>
              <w:rPr>
                <w:rFonts w:hint="default"/>
              </w:rPr>
              <w:t>≤</w:t>
            </w:r>
          </w:p>
        </w:tc>
        <w:tc>
          <w:tcPr>
            <w:tcW w:w="2280" w:type="pct"/>
            <w:tcBorders>
              <w:tl2br w:val="nil"/>
              <w:tr2bl w:val="nil"/>
            </w:tcBorders>
            <w:vAlign w:val="center"/>
          </w:tcPr>
          <w:p w14:paraId="26BC9185">
            <w:pPr>
              <w:pStyle w:val="43"/>
              <w:bidi w:val="0"/>
              <w:rPr>
                <w:rFonts w:hint="default"/>
              </w:rPr>
            </w:pPr>
            <w:r>
              <w:rPr>
                <w:rFonts w:hint="default"/>
              </w:rPr>
              <w:t>0.05</w:t>
            </w:r>
          </w:p>
        </w:tc>
      </w:tr>
      <w:tr w14:paraId="63C6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7CE410BD">
            <w:pPr>
              <w:pStyle w:val="43"/>
              <w:bidi w:val="0"/>
              <w:rPr>
                <w:rFonts w:hint="default"/>
              </w:rPr>
            </w:pPr>
            <w:r>
              <w:rPr>
                <w:rFonts w:hint="default"/>
              </w:rPr>
              <w:t>18</w:t>
            </w:r>
          </w:p>
        </w:tc>
        <w:tc>
          <w:tcPr>
            <w:tcW w:w="1410" w:type="pct"/>
            <w:vAlign w:val="center"/>
          </w:tcPr>
          <w:p w14:paraId="36CD5205">
            <w:pPr>
              <w:pStyle w:val="43"/>
              <w:bidi w:val="0"/>
              <w:rPr>
                <w:rFonts w:hint="default"/>
              </w:rPr>
            </w:pPr>
            <w:r>
              <w:rPr>
                <w:rFonts w:hint="default"/>
              </w:rPr>
              <w:t>Pb</w:t>
            </w:r>
          </w:p>
        </w:tc>
        <w:tc>
          <w:tcPr>
            <w:tcW w:w="526" w:type="pct"/>
            <w:vAlign w:val="center"/>
          </w:tcPr>
          <w:p w14:paraId="11B97E1F">
            <w:pPr>
              <w:pStyle w:val="43"/>
              <w:bidi w:val="0"/>
              <w:rPr>
                <w:rFonts w:hint="default"/>
              </w:rPr>
            </w:pPr>
            <w:r>
              <w:rPr>
                <w:rFonts w:hint="default"/>
              </w:rPr>
              <w:t>≤</w:t>
            </w:r>
          </w:p>
        </w:tc>
        <w:tc>
          <w:tcPr>
            <w:tcW w:w="2280" w:type="pct"/>
            <w:tcBorders>
              <w:tl2br w:val="nil"/>
              <w:tr2bl w:val="nil"/>
            </w:tcBorders>
            <w:vAlign w:val="center"/>
          </w:tcPr>
          <w:p w14:paraId="69B0DAB6">
            <w:pPr>
              <w:pStyle w:val="43"/>
              <w:bidi w:val="0"/>
              <w:rPr>
                <w:rFonts w:hint="default"/>
              </w:rPr>
            </w:pPr>
            <w:r>
              <w:rPr>
                <w:rFonts w:hint="default"/>
              </w:rPr>
              <w:t>0.05</w:t>
            </w:r>
          </w:p>
        </w:tc>
      </w:tr>
      <w:tr w14:paraId="2EDF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81" w:type="pct"/>
            <w:tcBorders>
              <w:tl2br w:val="nil"/>
              <w:tr2bl w:val="nil"/>
            </w:tcBorders>
            <w:vAlign w:val="center"/>
          </w:tcPr>
          <w:p w14:paraId="6B80A465">
            <w:pPr>
              <w:pStyle w:val="43"/>
              <w:bidi w:val="0"/>
              <w:rPr>
                <w:rFonts w:hint="default"/>
              </w:rPr>
            </w:pPr>
            <w:r>
              <w:rPr>
                <w:rFonts w:hint="default"/>
              </w:rPr>
              <w:t>19</w:t>
            </w:r>
          </w:p>
        </w:tc>
        <w:tc>
          <w:tcPr>
            <w:tcW w:w="1410" w:type="pct"/>
            <w:vAlign w:val="center"/>
          </w:tcPr>
          <w:p w14:paraId="3ADE7FEF">
            <w:pPr>
              <w:pStyle w:val="43"/>
              <w:bidi w:val="0"/>
              <w:rPr>
                <w:rFonts w:hint="default"/>
              </w:rPr>
            </w:pPr>
            <w:r>
              <w:rPr>
                <w:rFonts w:hint="default"/>
              </w:rPr>
              <w:t>氰化物</w:t>
            </w:r>
          </w:p>
        </w:tc>
        <w:tc>
          <w:tcPr>
            <w:tcW w:w="526" w:type="pct"/>
            <w:vAlign w:val="center"/>
          </w:tcPr>
          <w:p w14:paraId="2F44883E">
            <w:pPr>
              <w:pStyle w:val="43"/>
              <w:bidi w:val="0"/>
              <w:rPr>
                <w:rFonts w:hint="default"/>
              </w:rPr>
            </w:pPr>
            <w:r>
              <w:rPr>
                <w:rFonts w:hint="default"/>
              </w:rPr>
              <w:t>≤</w:t>
            </w:r>
          </w:p>
        </w:tc>
        <w:tc>
          <w:tcPr>
            <w:tcW w:w="2280" w:type="pct"/>
            <w:tcBorders>
              <w:tl2br w:val="nil"/>
              <w:tr2bl w:val="nil"/>
            </w:tcBorders>
            <w:vAlign w:val="center"/>
          </w:tcPr>
          <w:p w14:paraId="3AB719D4">
            <w:pPr>
              <w:pStyle w:val="43"/>
              <w:bidi w:val="0"/>
              <w:rPr>
                <w:rFonts w:hint="default"/>
              </w:rPr>
            </w:pPr>
            <w:r>
              <w:rPr>
                <w:rFonts w:hint="default"/>
              </w:rPr>
              <w:t>0.2</w:t>
            </w:r>
          </w:p>
        </w:tc>
      </w:tr>
      <w:tr w14:paraId="475D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755AE50A">
            <w:pPr>
              <w:pStyle w:val="43"/>
              <w:bidi w:val="0"/>
              <w:rPr>
                <w:rFonts w:hint="default"/>
              </w:rPr>
            </w:pPr>
            <w:r>
              <w:rPr>
                <w:rFonts w:hint="default"/>
              </w:rPr>
              <w:t>20</w:t>
            </w:r>
          </w:p>
        </w:tc>
        <w:tc>
          <w:tcPr>
            <w:tcW w:w="1410" w:type="pct"/>
            <w:vAlign w:val="center"/>
          </w:tcPr>
          <w:p w14:paraId="6C0A82E5">
            <w:pPr>
              <w:pStyle w:val="43"/>
              <w:bidi w:val="0"/>
              <w:rPr>
                <w:rFonts w:hint="default"/>
              </w:rPr>
            </w:pPr>
            <w:r>
              <w:rPr>
                <w:rFonts w:hint="default"/>
              </w:rPr>
              <w:t>挥发酚</w:t>
            </w:r>
          </w:p>
        </w:tc>
        <w:tc>
          <w:tcPr>
            <w:tcW w:w="526" w:type="pct"/>
            <w:vAlign w:val="center"/>
          </w:tcPr>
          <w:p w14:paraId="3173C93E">
            <w:pPr>
              <w:pStyle w:val="43"/>
              <w:bidi w:val="0"/>
              <w:rPr>
                <w:rFonts w:hint="default"/>
              </w:rPr>
            </w:pPr>
            <w:r>
              <w:rPr>
                <w:rFonts w:hint="default"/>
              </w:rPr>
              <w:t>≤</w:t>
            </w:r>
          </w:p>
        </w:tc>
        <w:tc>
          <w:tcPr>
            <w:tcW w:w="2280" w:type="pct"/>
            <w:tcBorders>
              <w:tl2br w:val="nil"/>
              <w:tr2bl w:val="nil"/>
            </w:tcBorders>
            <w:vAlign w:val="center"/>
          </w:tcPr>
          <w:p w14:paraId="3748A014">
            <w:pPr>
              <w:pStyle w:val="43"/>
              <w:bidi w:val="0"/>
              <w:rPr>
                <w:rFonts w:hint="default"/>
              </w:rPr>
            </w:pPr>
            <w:r>
              <w:rPr>
                <w:rFonts w:hint="default"/>
              </w:rPr>
              <w:t>0.005</w:t>
            </w:r>
          </w:p>
        </w:tc>
      </w:tr>
      <w:tr w14:paraId="636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45C8EFA0">
            <w:pPr>
              <w:pStyle w:val="43"/>
              <w:bidi w:val="0"/>
              <w:rPr>
                <w:rFonts w:hint="default"/>
              </w:rPr>
            </w:pPr>
            <w:r>
              <w:rPr>
                <w:rFonts w:hint="default"/>
              </w:rPr>
              <w:t>21</w:t>
            </w:r>
          </w:p>
        </w:tc>
        <w:tc>
          <w:tcPr>
            <w:tcW w:w="1410" w:type="pct"/>
            <w:vAlign w:val="center"/>
          </w:tcPr>
          <w:p w14:paraId="25518CDB">
            <w:pPr>
              <w:pStyle w:val="43"/>
              <w:bidi w:val="0"/>
              <w:rPr>
                <w:rFonts w:hint="default"/>
              </w:rPr>
            </w:pPr>
            <w:r>
              <w:rPr>
                <w:rFonts w:hint="default"/>
              </w:rPr>
              <w:t>石油类</w:t>
            </w:r>
          </w:p>
        </w:tc>
        <w:tc>
          <w:tcPr>
            <w:tcW w:w="526" w:type="pct"/>
            <w:vAlign w:val="center"/>
          </w:tcPr>
          <w:p w14:paraId="5CE0D1C2">
            <w:pPr>
              <w:pStyle w:val="43"/>
              <w:bidi w:val="0"/>
              <w:rPr>
                <w:rFonts w:hint="default"/>
              </w:rPr>
            </w:pPr>
            <w:r>
              <w:rPr>
                <w:rFonts w:hint="default"/>
              </w:rPr>
              <w:t>≤</w:t>
            </w:r>
          </w:p>
        </w:tc>
        <w:tc>
          <w:tcPr>
            <w:tcW w:w="2280" w:type="pct"/>
            <w:tcBorders>
              <w:tl2br w:val="nil"/>
              <w:tr2bl w:val="nil"/>
            </w:tcBorders>
            <w:vAlign w:val="center"/>
          </w:tcPr>
          <w:p w14:paraId="35EF33E7">
            <w:pPr>
              <w:pStyle w:val="43"/>
              <w:bidi w:val="0"/>
              <w:rPr>
                <w:rFonts w:hint="default"/>
              </w:rPr>
            </w:pPr>
            <w:r>
              <w:rPr>
                <w:rFonts w:hint="default"/>
              </w:rPr>
              <w:t>0.05</w:t>
            </w:r>
          </w:p>
        </w:tc>
      </w:tr>
      <w:tr w14:paraId="0256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6528ADEC">
            <w:pPr>
              <w:pStyle w:val="43"/>
              <w:bidi w:val="0"/>
              <w:rPr>
                <w:rFonts w:hint="default"/>
              </w:rPr>
            </w:pPr>
            <w:r>
              <w:rPr>
                <w:rFonts w:hint="default"/>
              </w:rPr>
              <w:t>22</w:t>
            </w:r>
          </w:p>
        </w:tc>
        <w:tc>
          <w:tcPr>
            <w:tcW w:w="1410" w:type="pct"/>
            <w:vAlign w:val="center"/>
          </w:tcPr>
          <w:p w14:paraId="62FB9A1B">
            <w:pPr>
              <w:pStyle w:val="43"/>
              <w:bidi w:val="0"/>
              <w:rPr>
                <w:rFonts w:hint="default"/>
              </w:rPr>
            </w:pPr>
            <w:r>
              <w:rPr>
                <w:rFonts w:hint="default"/>
              </w:rPr>
              <w:t>阴离子表面活性剂</w:t>
            </w:r>
          </w:p>
        </w:tc>
        <w:tc>
          <w:tcPr>
            <w:tcW w:w="526" w:type="pct"/>
            <w:vAlign w:val="center"/>
          </w:tcPr>
          <w:p w14:paraId="2129DBAD">
            <w:pPr>
              <w:pStyle w:val="43"/>
              <w:bidi w:val="0"/>
              <w:rPr>
                <w:rFonts w:hint="default"/>
              </w:rPr>
            </w:pPr>
            <w:r>
              <w:rPr>
                <w:rFonts w:hint="default"/>
              </w:rPr>
              <w:t>≤</w:t>
            </w:r>
          </w:p>
        </w:tc>
        <w:tc>
          <w:tcPr>
            <w:tcW w:w="2280" w:type="pct"/>
            <w:tcBorders>
              <w:tl2br w:val="nil"/>
              <w:tr2bl w:val="nil"/>
            </w:tcBorders>
            <w:vAlign w:val="center"/>
          </w:tcPr>
          <w:p w14:paraId="6A5424F6">
            <w:pPr>
              <w:pStyle w:val="43"/>
              <w:bidi w:val="0"/>
              <w:rPr>
                <w:rFonts w:hint="default"/>
              </w:rPr>
            </w:pPr>
            <w:r>
              <w:rPr>
                <w:rFonts w:hint="default"/>
              </w:rPr>
              <w:t>0.2</w:t>
            </w:r>
          </w:p>
        </w:tc>
      </w:tr>
      <w:tr w14:paraId="44E3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0F6FDC45">
            <w:pPr>
              <w:pStyle w:val="43"/>
              <w:bidi w:val="0"/>
              <w:rPr>
                <w:rFonts w:hint="default"/>
              </w:rPr>
            </w:pPr>
            <w:r>
              <w:rPr>
                <w:rFonts w:hint="default"/>
              </w:rPr>
              <w:t>23</w:t>
            </w:r>
          </w:p>
        </w:tc>
        <w:tc>
          <w:tcPr>
            <w:tcW w:w="1410" w:type="pct"/>
            <w:vAlign w:val="center"/>
          </w:tcPr>
          <w:p w14:paraId="036BC313">
            <w:pPr>
              <w:pStyle w:val="43"/>
              <w:bidi w:val="0"/>
              <w:rPr>
                <w:rFonts w:hint="default"/>
              </w:rPr>
            </w:pPr>
            <w:r>
              <w:rPr>
                <w:rFonts w:hint="default"/>
              </w:rPr>
              <w:t>硫化物</w:t>
            </w:r>
          </w:p>
        </w:tc>
        <w:tc>
          <w:tcPr>
            <w:tcW w:w="526" w:type="pct"/>
            <w:vAlign w:val="center"/>
          </w:tcPr>
          <w:p w14:paraId="58B81E1C">
            <w:pPr>
              <w:pStyle w:val="43"/>
              <w:bidi w:val="0"/>
              <w:rPr>
                <w:rFonts w:hint="default"/>
              </w:rPr>
            </w:pPr>
            <w:r>
              <w:rPr>
                <w:rFonts w:hint="default"/>
              </w:rPr>
              <w:t>≤</w:t>
            </w:r>
          </w:p>
        </w:tc>
        <w:tc>
          <w:tcPr>
            <w:tcW w:w="2280" w:type="pct"/>
            <w:tcBorders>
              <w:tl2br w:val="nil"/>
              <w:tr2bl w:val="nil"/>
            </w:tcBorders>
            <w:vAlign w:val="center"/>
          </w:tcPr>
          <w:p w14:paraId="24F7C841">
            <w:pPr>
              <w:pStyle w:val="43"/>
              <w:bidi w:val="0"/>
              <w:rPr>
                <w:rFonts w:hint="default"/>
              </w:rPr>
            </w:pPr>
            <w:r>
              <w:rPr>
                <w:rFonts w:hint="default"/>
              </w:rPr>
              <w:t>0.2</w:t>
            </w:r>
          </w:p>
        </w:tc>
      </w:tr>
      <w:tr w14:paraId="2824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437F6222">
            <w:pPr>
              <w:pStyle w:val="43"/>
              <w:bidi w:val="0"/>
              <w:rPr>
                <w:rFonts w:hint="default"/>
              </w:rPr>
            </w:pPr>
            <w:r>
              <w:rPr>
                <w:rFonts w:hint="default"/>
              </w:rPr>
              <w:t>24</w:t>
            </w:r>
          </w:p>
        </w:tc>
        <w:tc>
          <w:tcPr>
            <w:tcW w:w="1410" w:type="pct"/>
            <w:vAlign w:val="center"/>
          </w:tcPr>
          <w:p w14:paraId="57237D67">
            <w:pPr>
              <w:pStyle w:val="43"/>
              <w:bidi w:val="0"/>
              <w:rPr>
                <w:rFonts w:hint="eastAsia"/>
                <w:lang w:eastAsia="zh-CN"/>
              </w:rPr>
            </w:pPr>
            <w:r>
              <w:rPr>
                <w:rFonts w:hint="default"/>
              </w:rPr>
              <w:t>粪大肠菌群</w:t>
            </w:r>
            <w:r>
              <w:rPr>
                <w:rFonts w:hint="eastAsia"/>
                <w:lang w:eastAsia="zh-CN"/>
              </w:rPr>
              <w:t>（</w:t>
            </w:r>
            <w:r>
              <w:rPr>
                <w:rFonts w:hint="default"/>
              </w:rPr>
              <w:t>个/L</w:t>
            </w:r>
            <w:r>
              <w:rPr>
                <w:rFonts w:hint="eastAsia"/>
                <w:lang w:eastAsia="zh-CN"/>
              </w:rPr>
              <w:t>）</w:t>
            </w:r>
          </w:p>
        </w:tc>
        <w:tc>
          <w:tcPr>
            <w:tcW w:w="526" w:type="pct"/>
            <w:vAlign w:val="center"/>
          </w:tcPr>
          <w:p w14:paraId="0613C210">
            <w:pPr>
              <w:pStyle w:val="43"/>
              <w:bidi w:val="0"/>
              <w:rPr>
                <w:rFonts w:hint="default"/>
              </w:rPr>
            </w:pPr>
            <w:r>
              <w:rPr>
                <w:rFonts w:hint="default"/>
              </w:rPr>
              <w:t>≤</w:t>
            </w:r>
          </w:p>
        </w:tc>
        <w:tc>
          <w:tcPr>
            <w:tcW w:w="2280" w:type="pct"/>
            <w:tcBorders>
              <w:tl2br w:val="nil"/>
              <w:tr2bl w:val="nil"/>
            </w:tcBorders>
            <w:vAlign w:val="center"/>
          </w:tcPr>
          <w:p w14:paraId="2ACB18B6">
            <w:pPr>
              <w:pStyle w:val="43"/>
              <w:bidi w:val="0"/>
              <w:rPr>
                <w:rFonts w:hint="default"/>
              </w:rPr>
            </w:pPr>
            <w:r>
              <w:rPr>
                <w:rFonts w:hint="default"/>
              </w:rPr>
              <w:t>10000</w:t>
            </w:r>
          </w:p>
        </w:tc>
      </w:tr>
      <w:tr w14:paraId="271D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5A06A6EE">
            <w:pPr>
              <w:pStyle w:val="43"/>
              <w:bidi w:val="0"/>
              <w:rPr>
                <w:rFonts w:hint="default"/>
                <w:lang w:val="en-US" w:eastAsia="zh-CN"/>
              </w:rPr>
            </w:pPr>
            <w:r>
              <w:rPr>
                <w:rFonts w:hint="eastAsia"/>
                <w:lang w:val="en-US" w:eastAsia="zh-CN"/>
              </w:rPr>
              <w:t>25</w:t>
            </w:r>
          </w:p>
        </w:tc>
        <w:tc>
          <w:tcPr>
            <w:tcW w:w="1410" w:type="pct"/>
            <w:vAlign w:val="center"/>
          </w:tcPr>
          <w:p w14:paraId="3C2AE40A">
            <w:pPr>
              <w:pStyle w:val="43"/>
              <w:bidi w:val="0"/>
              <w:rPr>
                <w:rFonts w:hint="eastAsia"/>
                <w:lang w:val="en-US" w:eastAsia="zh-CN"/>
              </w:rPr>
            </w:pPr>
            <w:r>
              <w:rPr>
                <w:rFonts w:hint="eastAsia"/>
                <w:lang w:val="en-US" w:eastAsia="zh-CN"/>
              </w:rPr>
              <w:t>铁</w:t>
            </w:r>
          </w:p>
        </w:tc>
        <w:tc>
          <w:tcPr>
            <w:tcW w:w="526" w:type="pct"/>
            <w:vAlign w:val="center"/>
          </w:tcPr>
          <w:p w14:paraId="2BDD9584">
            <w:pPr>
              <w:pStyle w:val="43"/>
              <w:bidi w:val="0"/>
              <w:rPr>
                <w:rFonts w:hint="default"/>
              </w:rPr>
            </w:pPr>
            <w:r>
              <w:rPr>
                <w:rFonts w:hint="default"/>
              </w:rPr>
              <w:t>≤</w:t>
            </w:r>
          </w:p>
        </w:tc>
        <w:tc>
          <w:tcPr>
            <w:tcW w:w="2280" w:type="pct"/>
            <w:tcBorders>
              <w:tl2br w:val="nil"/>
              <w:tr2bl w:val="nil"/>
            </w:tcBorders>
            <w:vAlign w:val="center"/>
          </w:tcPr>
          <w:p w14:paraId="71B0BB90">
            <w:pPr>
              <w:pStyle w:val="43"/>
              <w:bidi w:val="0"/>
              <w:rPr>
                <w:rFonts w:hint="default"/>
                <w:lang w:val="en-US" w:eastAsia="zh-CN"/>
              </w:rPr>
            </w:pPr>
            <w:r>
              <w:rPr>
                <w:rFonts w:hint="eastAsia"/>
                <w:lang w:val="en-US" w:eastAsia="zh-CN"/>
              </w:rPr>
              <w:t>0.3</w:t>
            </w:r>
          </w:p>
        </w:tc>
      </w:tr>
      <w:tr w14:paraId="04A0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81" w:type="pct"/>
            <w:tcBorders>
              <w:tl2br w:val="nil"/>
              <w:tr2bl w:val="nil"/>
            </w:tcBorders>
            <w:vAlign w:val="center"/>
          </w:tcPr>
          <w:p w14:paraId="56EE32DE">
            <w:pPr>
              <w:pStyle w:val="43"/>
              <w:bidi w:val="0"/>
              <w:rPr>
                <w:rFonts w:hint="default"/>
                <w:lang w:val="en-US" w:eastAsia="zh-CN"/>
              </w:rPr>
            </w:pPr>
            <w:r>
              <w:rPr>
                <w:rFonts w:hint="eastAsia"/>
                <w:lang w:val="en-US" w:eastAsia="zh-CN"/>
              </w:rPr>
              <w:t>26</w:t>
            </w:r>
          </w:p>
        </w:tc>
        <w:tc>
          <w:tcPr>
            <w:tcW w:w="1410" w:type="pct"/>
            <w:vAlign w:val="center"/>
          </w:tcPr>
          <w:p w14:paraId="7C9F2A63">
            <w:pPr>
              <w:pStyle w:val="43"/>
              <w:bidi w:val="0"/>
              <w:rPr>
                <w:rFonts w:hint="eastAsia"/>
                <w:lang w:val="en-US" w:eastAsia="zh-CN"/>
              </w:rPr>
            </w:pPr>
            <w:r>
              <w:rPr>
                <w:rFonts w:hint="eastAsia"/>
                <w:lang w:val="en-US" w:eastAsia="zh-CN"/>
              </w:rPr>
              <w:t>锰</w:t>
            </w:r>
          </w:p>
        </w:tc>
        <w:tc>
          <w:tcPr>
            <w:tcW w:w="526" w:type="pct"/>
            <w:shd w:val="clear" w:color="auto" w:fill="auto"/>
            <w:vAlign w:val="center"/>
          </w:tcPr>
          <w:p w14:paraId="0E8E157A">
            <w:pPr>
              <w:pStyle w:val="43"/>
              <w:bidi w:val="0"/>
              <w:rPr>
                <w:rFonts w:hint="default"/>
                <w:lang w:val="en-US" w:eastAsia="zh-CN"/>
              </w:rPr>
            </w:pPr>
            <w:r>
              <w:rPr>
                <w:rFonts w:hint="default"/>
              </w:rPr>
              <w:t>≤</w:t>
            </w:r>
          </w:p>
        </w:tc>
        <w:tc>
          <w:tcPr>
            <w:tcW w:w="2280" w:type="pct"/>
            <w:tcBorders>
              <w:tl2br w:val="nil"/>
              <w:tr2bl w:val="nil"/>
            </w:tcBorders>
            <w:shd w:val="clear" w:color="auto" w:fill="auto"/>
            <w:vAlign w:val="center"/>
          </w:tcPr>
          <w:p w14:paraId="7AC916FF">
            <w:pPr>
              <w:pStyle w:val="43"/>
              <w:bidi w:val="0"/>
              <w:rPr>
                <w:rFonts w:hint="default"/>
                <w:lang w:val="en-US" w:eastAsia="zh-CN"/>
              </w:rPr>
            </w:pPr>
            <w:r>
              <w:rPr>
                <w:rFonts w:hint="eastAsia"/>
                <w:lang w:val="en-US" w:eastAsia="zh-CN"/>
              </w:rPr>
              <w:t>0.1</w:t>
            </w:r>
          </w:p>
        </w:tc>
      </w:tr>
    </w:tbl>
    <w:p w14:paraId="24396940">
      <w:pPr>
        <w:pStyle w:val="41"/>
        <w:bidi w:val="0"/>
        <w:rPr>
          <w:rFonts w:hint="default"/>
          <w:b/>
          <w:bCs/>
        </w:rPr>
      </w:pPr>
      <w:r>
        <w:rPr>
          <w:rFonts w:hint="default"/>
          <w:b/>
          <w:bCs/>
        </w:rPr>
        <w:t>（3）地下水质量标准</w:t>
      </w:r>
    </w:p>
    <w:p w14:paraId="68233536">
      <w:pPr>
        <w:pStyle w:val="41"/>
        <w:bidi w:val="0"/>
        <w:rPr>
          <w:rFonts w:hint="default"/>
        </w:rPr>
      </w:pPr>
      <w:r>
        <w:rPr>
          <w:rFonts w:hint="default"/>
        </w:rPr>
        <w:t>项目区地下水环境质量执行</w:t>
      </w:r>
      <w:r>
        <w:rPr>
          <w:rFonts w:hint="eastAsia"/>
          <w:lang w:eastAsia="zh-CN"/>
        </w:rPr>
        <w:t>《</w:t>
      </w:r>
      <w:r>
        <w:rPr>
          <w:rFonts w:hint="default"/>
        </w:rPr>
        <w:t>地下水质量标准》（GB/T</w:t>
      </w:r>
      <w:r>
        <w:rPr>
          <w:rFonts w:hint="default"/>
          <w:lang w:val="en-US" w:eastAsia="zh-CN"/>
        </w:rPr>
        <w:t xml:space="preserve"> </w:t>
      </w:r>
      <w:r>
        <w:rPr>
          <w:rFonts w:hint="default"/>
        </w:rPr>
        <w:t>14848-2017）中</w:t>
      </w:r>
      <w:r>
        <w:rPr>
          <w:rFonts w:hint="eastAsia"/>
          <w:lang w:eastAsia="zh-CN"/>
        </w:rPr>
        <w:t>Ⅲ类</w:t>
      </w:r>
      <w:r>
        <w:rPr>
          <w:rFonts w:hint="default"/>
        </w:rPr>
        <w:t>标准。具体标准值见表</w:t>
      </w:r>
      <w:r>
        <w:rPr>
          <w:rFonts w:hint="default"/>
          <w:lang w:val="en-US" w:eastAsia="zh-CN"/>
        </w:rPr>
        <w:t>1</w:t>
      </w:r>
      <w:r>
        <w:rPr>
          <w:rFonts w:hint="default"/>
        </w:rPr>
        <w:t>.5-3。</w:t>
      </w:r>
    </w:p>
    <w:p w14:paraId="35D48DE5">
      <w:pPr>
        <w:pStyle w:val="45"/>
        <w:bidi w:val="0"/>
        <w:rPr>
          <w:rFonts w:hint="default"/>
        </w:rPr>
      </w:pPr>
      <w:bookmarkStart w:id="60" w:name="_Ref32358"/>
      <w:r>
        <w:rPr>
          <w:rFonts w:hint="default"/>
        </w:rPr>
        <w:t>表</w:t>
      </w:r>
      <w:bookmarkEnd w:id="60"/>
      <w:r>
        <w:rPr>
          <w:rFonts w:hint="default"/>
          <w:lang w:val="en-US" w:eastAsia="zh-CN"/>
        </w:rPr>
        <w:t xml:space="preserve">1.5-3  </w:t>
      </w:r>
      <w:r>
        <w:rPr>
          <w:rFonts w:hint="eastAsia"/>
          <w:lang w:eastAsia="zh-CN"/>
        </w:rPr>
        <w:t>《</w:t>
      </w:r>
      <w:r>
        <w:rPr>
          <w:rFonts w:hint="default"/>
        </w:rPr>
        <w:t>地下水质量标准》（GB/T14848-2017）</w:t>
      </w:r>
      <w:r>
        <w:rPr>
          <w:rFonts w:hint="default"/>
          <w:lang w:val="en-US" w:eastAsia="zh-CN"/>
        </w:rPr>
        <w:t xml:space="preserve"> </w:t>
      </w:r>
      <w:r>
        <w:rPr>
          <w:rFonts w:hint="default"/>
        </w:rPr>
        <w:t>单位：</w:t>
      </w:r>
      <w:r>
        <w:rPr>
          <w:rFonts w:hint="default"/>
          <w:lang w:eastAsia="zh-CN"/>
        </w:rPr>
        <w:t>mg/L</w:t>
      </w:r>
      <w:r>
        <w:rPr>
          <w:rFonts w:hint="default"/>
        </w:rPr>
        <w:t>，pH值除外</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5"/>
        <w:gridCol w:w="2926"/>
        <w:gridCol w:w="3955"/>
      </w:tblGrid>
      <w:tr w14:paraId="502D9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Header/>
          <w:jc w:val="center"/>
        </w:trPr>
        <w:tc>
          <w:tcPr>
            <w:tcW w:w="1445" w:type="dxa"/>
            <w:vAlign w:val="center"/>
          </w:tcPr>
          <w:p w14:paraId="77249B8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序号</w:t>
            </w:r>
          </w:p>
        </w:tc>
        <w:tc>
          <w:tcPr>
            <w:tcW w:w="2924" w:type="dxa"/>
            <w:vAlign w:val="center"/>
          </w:tcPr>
          <w:p w14:paraId="67B6D46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项目</w:t>
            </w:r>
          </w:p>
        </w:tc>
        <w:tc>
          <w:tcPr>
            <w:tcW w:w="3954" w:type="dxa"/>
            <w:vAlign w:val="center"/>
          </w:tcPr>
          <w:p w14:paraId="1630CEB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Ⅲ类标准</w:t>
            </w:r>
          </w:p>
        </w:tc>
      </w:tr>
      <w:tr w14:paraId="6239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2861E81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2924" w:type="dxa"/>
            <w:vAlign w:val="center"/>
          </w:tcPr>
          <w:p w14:paraId="5B5F1CA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pH值</w:t>
            </w:r>
          </w:p>
        </w:tc>
        <w:tc>
          <w:tcPr>
            <w:tcW w:w="3954" w:type="dxa"/>
            <w:vAlign w:val="center"/>
          </w:tcPr>
          <w:p w14:paraId="51CA11D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6.5≤pH≤8.5（无量纲）</w:t>
            </w:r>
          </w:p>
        </w:tc>
      </w:tr>
      <w:tr w14:paraId="58DA2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27E077C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p>
        </w:tc>
        <w:tc>
          <w:tcPr>
            <w:tcW w:w="2924" w:type="dxa"/>
            <w:vAlign w:val="center"/>
          </w:tcPr>
          <w:p w14:paraId="1A0C34E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氨氮</w:t>
            </w:r>
          </w:p>
        </w:tc>
        <w:tc>
          <w:tcPr>
            <w:tcW w:w="3954" w:type="dxa"/>
            <w:vAlign w:val="center"/>
          </w:tcPr>
          <w:p w14:paraId="74D707B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≤0.5</w:t>
            </w:r>
          </w:p>
        </w:tc>
      </w:tr>
      <w:tr w14:paraId="66BC5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4EAD733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w:t>
            </w:r>
          </w:p>
        </w:tc>
        <w:tc>
          <w:tcPr>
            <w:tcW w:w="2924" w:type="dxa"/>
            <w:vAlign w:val="center"/>
          </w:tcPr>
          <w:p w14:paraId="1CFE129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硝酸盐（以N计）</w:t>
            </w:r>
          </w:p>
        </w:tc>
        <w:tc>
          <w:tcPr>
            <w:tcW w:w="3954" w:type="dxa"/>
            <w:vAlign w:val="center"/>
          </w:tcPr>
          <w:p w14:paraId="3410A50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r>
      <w:tr w14:paraId="3F64F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54A3625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w:t>
            </w:r>
          </w:p>
        </w:tc>
        <w:tc>
          <w:tcPr>
            <w:tcW w:w="2924" w:type="dxa"/>
            <w:vAlign w:val="center"/>
          </w:tcPr>
          <w:p w14:paraId="2EB1294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亚硝酸盐</w:t>
            </w:r>
          </w:p>
        </w:tc>
        <w:tc>
          <w:tcPr>
            <w:tcW w:w="3954" w:type="dxa"/>
            <w:vAlign w:val="center"/>
          </w:tcPr>
          <w:p w14:paraId="6E2B514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3260B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04A19DA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w:t>
            </w:r>
          </w:p>
        </w:tc>
        <w:tc>
          <w:tcPr>
            <w:tcW w:w="2924" w:type="dxa"/>
            <w:vAlign w:val="center"/>
          </w:tcPr>
          <w:p w14:paraId="5839970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总硬度</w:t>
            </w:r>
          </w:p>
        </w:tc>
        <w:tc>
          <w:tcPr>
            <w:tcW w:w="3954" w:type="dxa"/>
            <w:vAlign w:val="center"/>
          </w:tcPr>
          <w:p w14:paraId="407AB18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≤450</w:t>
            </w:r>
          </w:p>
        </w:tc>
      </w:tr>
      <w:tr w14:paraId="211FB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4A01707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w:t>
            </w:r>
          </w:p>
        </w:tc>
        <w:tc>
          <w:tcPr>
            <w:tcW w:w="2924" w:type="dxa"/>
            <w:vAlign w:val="center"/>
          </w:tcPr>
          <w:p w14:paraId="7F181FF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溶解性总固体</w:t>
            </w:r>
          </w:p>
        </w:tc>
        <w:tc>
          <w:tcPr>
            <w:tcW w:w="3954" w:type="dxa"/>
            <w:vAlign w:val="center"/>
          </w:tcPr>
          <w:p w14:paraId="494A12B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≤1000</w:t>
            </w:r>
          </w:p>
        </w:tc>
      </w:tr>
      <w:tr w14:paraId="65346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57F1444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w:t>
            </w:r>
          </w:p>
        </w:tc>
        <w:tc>
          <w:tcPr>
            <w:tcW w:w="2924" w:type="dxa"/>
            <w:vAlign w:val="center"/>
          </w:tcPr>
          <w:p w14:paraId="649214F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硫酸盐</w:t>
            </w:r>
          </w:p>
        </w:tc>
        <w:tc>
          <w:tcPr>
            <w:tcW w:w="3954" w:type="dxa"/>
            <w:vAlign w:val="center"/>
          </w:tcPr>
          <w:p w14:paraId="323FBB8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w:t>
            </w:r>
          </w:p>
        </w:tc>
      </w:tr>
      <w:tr w14:paraId="35671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4FD514B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w:t>
            </w:r>
          </w:p>
        </w:tc>
        <w:tc>
          <w:tcPr>
            <w:tcW w:w="2924" w:type="dxa"/>
            <w:vAlign w:val="center"/>
          </w:tcPr>
          <w:p w14:paraId="60AB84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挥发酚</w:t>
            </w:r>
          </w:p>
        </w:tc>
        <w:tc>
          <w:tcPr>
            <w:tcW w:w="3954" w:type="dxa"/>
            <w:vAlign w:val="center"/>
          </w:tcPr>
          <w:p w14:paraId="4038586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≤0.002</w:t>
            </w:r>
          </w:p>
        </w:tc>
      </w:tr>
      <w:tr w14:paraId="74237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5B53CF9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w:t>
            </w:r>
          </w:p>
        </w:tc>
        <w:tc>
          <w:tcPr>
            <w:tcW w:w="2924" w:type="dxa"/>
            <w:vAlign w:val="center"/>
          </w:tcPr>
          <w:p w14:paraId="1167D9C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耗氧量</w:t>
            </w:r>
          </w:p>
        </w:tc>
        <w:tc>
          <w:tcPr>
            <w:tcW w:w="3954" w:type="dxa"/>
            <w:vAlign w:val="center"/>
          </w:tcPr>
          <w:p w14:paraId="5D0F6AB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r>
      <w:tr w14:paraId="308E9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59DD66D4">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c>
          <w:tcPr>
            <w:tcW w:w="2924" w:type="dxa"/>
            <w:vAlign w:val="center"/>
          </w:tcPr>
          <w:p w14:paraId="1613AF6D">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氰化物</w:t>
            </w:r>
          </w:p>
        </w:tc>
        <w:tc>
          <w:tcPr>
            <w:tcW w:w="3954" w:type="dxa"/>
            <w:vAlign w:val="center"/>
          </w:tcPr>
          <w:p w14:paraId="271578E3">
            <w:pPr>
              <w:pStyle w:val="43"/>
              <w:bidi w:val="0"/>
              <w:rPr>
                <w:rFonts w:hint="default" w:ascii="Times New Roman" w:hAnsi="Times New Roman" w:cs="Times New Roman"/>
                <w:color w:val="000000" w:themeColor="text1"/>
                <w:highlight w:val="none"/>
                <w:lang w:val="en-US"/>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0.05</w:t>
            </w:r>
          </w:p>
        </w:tc>
      </w:tr>
      <w:tr w14:paraId="5D8EA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6B9FD23A">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11</w:t>
            </w:r>
          </w:p>
        </w:tc>
        <w:tc>
          <w:tcPr>
            <w:tcW w:w="2924" w:type="dxa"/>
            <w:vAlign w:val="center"/>
          </w:tcPr>
          <w:p w14:paraId="60B35B48">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氯化物</w:t>
            </w:r>
          </w:p>
        </w:tc>
        <w:tc>
          <w:tcPr>
            <w:tcW w:w="3954" w:type="dxa"/>
            <w:vAlign w:val="center"/>
          </w:tcPr>
          <w:p w14:paraId="1917C5BD">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0.25</w:t>
            </w:r>
          </w:p>
        </w:tc>
      </w:tr>
      <w:tr w14:paraId="0BB4A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7EA10820">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w:t>
            </w:r>
          </w:p>
        </w:tc>
        <w:tc>
          <w:tcPr>
            <w:tcW w:w="2924" w:type="dxa"/>
            <w:vAlign w:val="center"/>
          </w:tcPr>
          <w:p w14:paraId="3C70B7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氟化物</w:t>
            </w:r>
          </w:p>
        </w:tc>
        <w:tc>
          <w:tcPr>
            <w:tcW w:w="3954" w:type="dxa"/>
            <w:vAlign w:val="center"/>
          </w:tcPr>
          <w:p w14:paraId="7450D4F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r>
      <w:tr w14:paraId="61E32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74770687">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13</w:t>
            </w:r>
          </w:p>
        </w:tc>
        <w:tc>
          <w:tcPr>
            <w:tcW w:w="2924" w:type="dxa"/>
            <w:vAlign w:val="center"/>
          </w:tcPr>
          <w:p w14:paraId="686F4575">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铜</w:t>
            </w:r>
          </w:p>
        </w:tc>
        <w:tc>
          <w:tcPr>
            <w:tcW w:w="3954" w:type="dxa"/>
            <w:vAlign w:val="center"/>
          </w:tcPr>
          <w:p w14:paraId="2B8C711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16148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3A36E64F">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14</w:t>
            </w:r>
          </w:p>
        </w:tc>
        <w:tc>
          <w:tcPr>
            <w:tcW w:w="2924" w:type="dxa"/>
            <w:vAlign w:val="center"/>
          </w:tcPr>
          <w:p w14:paraId="4A8A9C1B">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锌</w:t>
            </w:r>
          </w:p>
        </w:tc>
        <w:tc>
          <w:tcPr>
            <w:tcW w:w="3954" w:type="dxa"/>
            <w:vAlign w:val="center"/>
          </w:tcPr>
          <w:p w14:paraId="5C62BA8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08D28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3B234D14">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2924" w:type="dxa"/>
            <w:vAlign w:val="center"/>
          </w:tcPr>
          <w:p w14:paraId="03F42D3A">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铅</w:t>
            </w:r>
          </w:p>
        </w:tc>
        <w:tc>
          <w:tcPr>
            <w:tcW w:w="3954" w:type="dxa"/>
            <w:vAlign w:val="center"/>
          </w:tcPr>
          <w:p w14:paraId="3D2F95A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≤0.01</w:t>
            </w:r>
          </w:p>
        </w:tc>
      </w:tr>
      <w:tr w14:paraId="7FD30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371CCCB4">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16</w:t>
            </w:r>
          </w:p>
        </w:tc>
        <w:tc>
          <w:tcPr>
            <w:tcW w:w="2924" w:type="dxa"/>
            <w:vAlign w:val="center"/>
          </w:tcPr>
          <w:p w14:paraId="1C4F5641">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镉</w:t>
            </w:r>
          </w:p>
        </w:tc>
        <w:tc>
          <w:tcPr>
            <w:tcW w:w="3954" w:type="dxa"/>
            <w:vAlign w:val="center"/>
          </w:tcPr>
          <w:p w14:paraId="1FFDC9A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≤0.005</w:t>
            </w:r>
          </w:p>
        </w:tc>
      </w:tr>
      <w:tr w14:paraId="67130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145687A3">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17</w:t>
            </w:r>
          </w:p>
        </w:tc>
        <w:tc>
          <w:tcPr>
            <w:tcW w:w="2924" w:type="dxa"/>
            <w:vAlign w:val="center"/>
          </w:tcPr>
          <w:p w14:paraId="3840FEA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砷</w:t>
            </w:r>
          </w:p>
        </w:tc>
        <w:tc>
          <w:tcPr>
            <w:tcW w:w="3954" w:type="dxa"/>
            <w:vAlign w:val="center"/>
          </w:tcPr>
          <w:p w14:paraId="2AB8099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≤0.01</w:t>
            </w:r>
          </w:p>
        </w:tc>
      </w:tr>
      <w:tr w14:paraId="6BDD2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474C4275">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w:t>
            </w:r>
          </w:p>
        </w:tc>
        <w:tc>
          <w:tcPr>
            <w:tcW w:w="2924" w:type="dxa"/>
            <w:vAlign w:val="center"/>
          </w:tcPr>
          <w:p w14:paraId="3872EBA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铁</w:t>
            </w:r>
          </w:p>
        </w:tc>
        <w:tc>
          <w:tcPr>
            <w:tcW w:w="3954" w:type="dxa"/>
            <w:vAlign w:val="center"/>
          </w:tcPr>
          <w:p w14:paraId="4CF2535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≤0.3</w:t>
            </w:r>
          </w:p>
        </w:tc>
      </w:tr>
      <w:tr w14:paraId="74F8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24699C8A">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w:t>
            </w:r>
          </w:p>
        </w:tc>
        <w:tc>
          <w:tcPr>
            <w:tcW w:w="2924" w:type="dxa"/>
            <w:vAlign w:val="center"/>
          </w:tcPr>
          <w:p w14:paraId="25B719E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汞</w:t>
            </w:r>
          </w:p>
        </w:tc>
        <w:tc>
          <w:tcPr>
            <w:tcW w:w="3954" w:type="dxa"/>
            <w:vAlign w:val="center"/>
          </w:tcPr>
          <w:p w14:paraId="1992FDE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≤0.001</w:t>
            </w:r>
          </w:p>
        </w:tc>
      </w:tr>
      <w:tr w14:paraId="4DA07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790B249D">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c>
          <w:tcPr>
            <w:tcW w:w="2924" w:type="dxa"/>
            <w:vAlign w:val="center"/>
          </w:tcPr>
          <w:p w14:paraId="1D7D6F9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锰</w:t>
            </w:r>
          </w:p>
        </w:tc>
        <w:tc>
          <w:tcPr>
            <w:tcW w:w="3954" w:type="dxa"/>
            <w:vAlign w:val="center"/>
          </w:tcPr>
          <w:p w14:paraId="4A3937E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≤0.10</w:t>
            </w:r>
          </w:p>
        </w:tc>
      </w:tr>
      <w:tr w14:paraId="26901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69B9E665">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21</w:t>
            </w:r>
          </w:p>
        </w:tc>
        <w:tc>
          <w:tcPr>
            <w:tcW w:w="2924" w:type="dxa"/>
            <w:vAlign w:val="center"/>
          </w:tcPr>
          <w:p w14:paraId="5535748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硒</w:t>
            </w:r>
          </w:p>
        </w:tc>
        <w:tc>
          <w:tcPr>
            <w:tcW w:w="3954" w:type="dxa"/>
            <w:vAlign w:val="center"/>
          </w:tcPr>
          <w:p w14:paraId="166855C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≤0.01</w:t>
            </w:r>
          </w:p>
        </w:tc>
      </w:tr>
      <w:tr w14:paraId="2A600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13307ACC">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22</w:t>
            </w:r>
          </w:p>
        </w:tc>
        <w:tc>
          <w:tcPr>
            <w:tcW w:w="2924" w:type="dxa"/>
            <w:vAlign w:val="center"/>
          </w:tcPr>
          <w:p w14:paraId="220AA9E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钠</w:t>
            </w:r>
          </w:p>
        </w:tc>
        <w:tc>
          <w:tcPr>
            <w:tcW w:w="3954" w:type="dxa"/>
            <w:vAlign w:val="center"/>
          </w:tcPr>
          <w:p w14:paraId="4E54E40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r>
      <w:tr w14:paraId="77F69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1E3BB9C1">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23</w:t>
            </w:r>
          </w:p>
        </w:tc>
        <w:tc>
          <w:tcPr>
            <w:tcW w:w="2924" w:type="dxa"/>
            <w:vAlign w:val="center"/>
          </w:tcPr>
          <w:p w14:paraId="0EED0B4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铬（六价）</w:t>
            </w:r>
          </w:p>
        </w:tc>
        <w:tc>
          <w:tcPr>
            <w:tcW w:w="3954" w:type="dxa"/>
            <w:vAlign w:val="center"/>
          </w:tcPr>
          <w:p w14:paraId="5CEB303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≤0.05</w:t>
            </w:r>
          </w:p>
        </w:tc>
      </w:tr>
      <w:tr w14:paraId="70CD7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4D587DBA">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24</w:t>
            </w:r>
          </w:p>
        </w:tc>
        <w:tc>
          <w:tcPr>
            <w:tcW w:w="2924" w:type="dxa"/>
            <w:vAlign w:val="center"/>
          </w:tcPr>
          <w:p w14:paraId="713C54E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总大肠菌群</w:t>
            </w:r>
          </w:p>
        </w:tc>
        <w:tc>
          <w:tcPr>
            <w:tcW w:w="3954" w:type="dxa"/>
            <w:vAlign w:val="center"/>
          </w:tcPr>
          <w:p w14:paraId="166D5CA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r>
      <w:tr w14:paraId="13FBC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51D7491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25</w:t>
            </w:r>
          </w:p>
        </w:tc>
        <w:tc>
          <w:tcPr>
            <w:tcW w:w="2924" w:type="dxa"/>
            <w:vAlign w:val="center"/>
          </w:tcPr>
          <w:p w14:paraId="198872D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菌落总数（CFU/ml）</w:t>
            </w:r>
          </w:p>
        </w:tc>
        <w:tc>
          <w:tcPr>
            <w:tcW w:w="3954" w:type="dxa"/>
            <w:vAlign w:val="center"/>
          </w:tcPr>
          <w:p w14:paraId="27E03EF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684AD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445" w:type="dxa"/>
            <w:vAlign w:val="center"/>
          </w:tcPr>
          <w:p w14:paraId="768CF5D0">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26</w:t>
            </w:r>
          </w:p>
        </w:tc>
        <w:tc>
          <w:tcPr>
            <w:tcW w:w="2924" w:type="dxa"/>
            <w:vAlign w:val="center"/>
          </w:tcPr>
          <w:p w14:paraId="1035315E">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阴离子表面活性剂</w:t>
            </w:r>
          </w:p>
        </w:tc>
        <w:tc>
          <w:tcPr>
            <w:tcW w:w="3954" w:type="dxa"/>
            <w:vAlign w:val="center"/>
          </w:tcPr>
          <w:p w14:paraId="7278A3C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0.3</w:t>
            </w:r>
          </w:p>
        </w:tc>
      </w:tr>
    </w:tbl>
    <w:p w14:paraId="227840F0">
      <w:pPr>
        <w:pStyle w:val="41"/>
        <w:bidi w:val="0"/>
        <w:rPr>
          <w:rFonts w:hint="default"/>
          <w:b/>
          <w:bCs/>
        </w:rPr>
      </w:pPr>
      <w:r>
        <w:rPr>
          <w:rFonts w:hint="default"/>
          <w:b/>
          <w:bCs/>
        </w:rPr>
        <w:t>（4）声环境</w:t>
      </w:r>
    </w:p>
    <w:p w14:paraId="5565C398">
      <w:pPr>
        <w:pStyle w:val="41"/>
        <w:bidi w:val="0"/>
        <w:rPr>
          <w:rFonts w:hint="default"/>
        </w:rPr>
      </w:pPr>
      <w:r>
        <w:rPr>
          <w:rFonts w:hint="default"/>
          <w:lang w:val="en-US" w:eastAsia="zh-CN"/>
        </w:rPr>
        <w:t>本项目所在区域位于农村区域，声环境执行</w:t>
      </w:r>
      <w:r>
        <w:rPr>
          <w:rFonts w:hint="eastAsia"/>
          <w:lang w:val="en-US" w:eastAsia="zh-CN"/>
        </w:rPr>
        <w:t>《</w:t>
      </w:r>
      <w:r>
        <w:rPr>
          <w:rFonts w:hint="default"/>
          <w:lang w:val="en-US" w:eastAsia="zh-CN"/>
        </w:rPr>
        <w:t>声环境质量标准》（GB3096-2008）2类标准</w:t>
      </w:r>
      <w:r>
        <w:rPr>
          <w:rFonts w:hint="default"/>
        </w:rPr>
        <w:t>，即昼间≤60dB（A），夜间≤50dB（A）。</w:t>
      </w:r>
    </w:p>
    <w:p w14:paraId="28966931">
      <w:pPr>
        <w:pStyle w:val="41"/>
        <w:bidi w:val="0"/>
        <w:rPr>
          <w:rFonts w:hint="default"/>
          <w:b/>
          <w:bCs/>
        </w:rPr>
      </w:pPr>
      <w:r>
        <w:rPr>
          <w:rFonts w:hint="default"/>
          <w:b/>
          <w:bCs/>
        </w:rPr>
        <w:t>（5）土壤环境质量标准</w:t>
      </w:r>
    </w:p>
    <w:p w14:paraId="7AB8FB4D">
      <w:pPr>
        <w:pStyle w:val="41"/>
        <w:bidi w:val="0"/>
        <w:rPr>
          <w:rFonts w:hint="default"/>
        </w:rPr>
      </w:pPr>
      <w:r>
        <w:rPr>
          <w:rFonts w:hint="default"/>
        </w:rPr>
        <w:t>按照项目所在用地的使用功能及本项目特点</w:t>
      </w:r>
      <w:r>
        <w:rPr>
          <w:rFonts w:hint="default"/>
          <w:lang w:val="en-US" w:eastAsia="zh-CN"/>
        </w:rPr>
        <w:t>，项目范围内</w:t>
      </w:r>
      <w:r>
        <w:rPr>
          <w:rFonts w:hint="default"/>
        </w:rPr>
        <w:t>土壤环境执行</w:t>
      </w:r>
      <w:r>
        <w:rPr>
          <w:rFonts w:hint="eastAsia"/>
          <w:lang w:eastAsia="zh-CN"/>
        </w:rPr>
        <w:t>《</w:t>
      </w:r>
      <w:r>
        <w:rPr>
          <w:rFonts w:hint="default"/>
        </w:rPr>
        <w:t>土壤环境质量 建设用地土壤污染风险管控标准（试行）》（GB36600-2018）中第二类用地的标准值，</w:t>
      </w:r>
      <w:r>
        <w:rPr>
          <w:rFonts w:hint="default"/>
          <w:lang w:val="en-US" w:eastAsia="zh-CN"/>
        </w:rPr>
        <w:t>周边农用地</w:t>
      </w:r>
      <w:r>
        <w:rPr>
          <w:rFonts w:hint="default"/>
        </w:rPr>
        <w:t>土壤执行</w:t>
      </w:r>
      <w:r>
        <w:rPr>
          <w:rFonts w:hint="eastAsia"/>
          <w:lang w:eastAsia="zh-CN"/>
        </w:rPr>
        <w:t>《</w:t>
      </w:r>
      <w:r>
        <w:rPr>
          <w:rFonts w:hint="default"/>
        </w:rPr>
        <w:t>土壤环境质量 农用地土壤污染风险管控标准（试行）》（GB 15618-2018），具体标准值见下表。</w:t>
      </w:r>
    </w:p>
    <w:p w14:paraId="29B1538E">
      <w:pPr>
        <w:pStyle w:val="45"/>
        <w:bidi w:val="0"/>
        <w:rPr>
          <w:rFonts w:hint="default"/>
        </w:rPr>
      </w:pPr>
      <w:r>
        <w:rPr>
          <w:rFonts w:hint="default"/>
        </w:rPr>
        <w:t>表</w:t>
      </w:r>
      <w:r>
        <w:rPr>
          <w:rFonts w:hint="default"/>
          <w:lang w:val="en-US" w:eastAsia="zh-CN"/>
        </w:rPr>
        <w:t>1</w:t>
      </w:r>
      <w:r>
        <w:rPr>
          <w:rFonts w:hint="default"/>
        </w:rPr>
        <w:t>.5-4  建设用地土壤污染风险筛选值（基本项目）  单位：mg/kg</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26"/>
        <w:gridCol w:w="1985"/>
        <w:gridCol w:w="1701"/>
        <w:gridCol w:w="1893"/>
      </w:tblGrid>
      <w:tr w14:paraId="4443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17" w:type="dxa"/>
            <w:noWrap w:val="0"/>
            <w:vAlign w:val="center"/>
          </w:tcPr>
          <w:p w14:paraId="563F953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序号</w:t>
            </w:r>
          </w:p>
        </w:tc>
        <w:tc>
          <w:tcPr>
            <w:tcW w:w="2126" w:type="dxa"/>
            <w:noWrap w:val="0"/>
            <w:vAlign w:val="center"/>
          </w:tcPr>
          <w:p w14:paraId="2618D34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污染物项目</w:t>
            </w:r>
          </w:p>
        </w:tc>
        <w:tc>
          <w:tcPr>
            <w:tcW w:w="1985" w:type="dxa"/>
            <w:noWrap w:val="0"/>
            <w:vAlign w:val="center"/>
          </w:tcPr>
          <w:p w14:paraId="09605A9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CAS编号</w:t>
            </w:r>
          </w:p>
        </w:tc>
        <w:tc>
          <w:tcPr>
            <w:tcW w:w="1701" w:type="dxa"/>
            <w:noWrap w:val="0"/>
            <w:vAlign w:val="center"/>
          </w:tcPr>
          <w:p w14:paraId="4C38019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筛选值</w:t>
            </w:r>
          </w:p>
          <w:p w14:paraId="503F5A1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（第二类用地）</w:t>
            </w:r>
          </w:p>
        </w:tc>
        <w:tc>
          <w:tcPr>
            <w:tcW w:w="1892" w:type="dxa"/>
            <w:noWrap w:val="0"/>
            <w:vAlign w:val="center"/>
          </w:tcPr>
          <w:p w14:paraId="16791644">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管制值</w:t>
            </w:r>
          </w:p>
          <w:p w14:paraId="202AFCF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（第二类用地）</w:t>
            </w:r>
          </w:p>
        </w:tc>
      </w:tr>
      <w:tr w14:paraId="1D46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C94215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2126" w:type="dxa"/>
            <w:noWrap w:val="0"/>
            <w:vAlign w:val="center"/>
          </w:tcPr>
          <w:p w14:paraId="234A62C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砷</w:t>
            </w:r>
          </w:p>
        </w:tc>
        <w:tc>
          <w:tcPr>
            <w:tcW w:w="1985" w:type="dxa"/>
            <w:noWrap w:val="0"/>
            <w:vAlign w:val="center"/>
          </w:tcPr>
          <w:p w14:paraId="463C17A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7440-38-2</w:t>
            </w:r>
          </w:p>
        </w:tc>
        <w:tc>
          <w:tcPr>
            <w:tcW w:w="1701" w:type="dxa"/>
            <w:noWrap w:val="0"/>
            <w:vAlign w:val="center"/>
          </w:tcPr>
          <w:p w14:paraId="491C0C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60</w:t>
            </w:r>
          </w:p>
        </w:tc>
        <w:tc>
          <w:tcPr>
            <w:tcW w:w="1892" w:type="dxa"/>
            <w:noWrap w:val="0"/>
            <w:vAlign w:val="center"/>
          </w:tcPr>
          <w:p w14:paraId="10A8D6A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140</w:t>
            </w:r>
          </w:p>
        </w:tc>
      </w:tr>
      <w:tr w14:paraId="6EDA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626883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p>
        </w:tc>
        <w:tc>
          <w:tcPr>
            <w:tcW w:w="2126" w:type="dxa"/>
            <w:noWrap w:val="0"/>
            <w:vAlign w:val="center"/>
          </w:tcPr>
          <w:p w14:paraId="2DCC64A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镉</w:t>
            </w:r>
          </w:p>
        </w:tc>
        <w:tc>
          <w:tcPr>
            <w:tcW w:w="1985" w:type="dxa"/>
            <w:noWrap w:val="0"/>
            <w:vAlign w:val="center"/>
          </w:tcPr>
          <w:p w14:paraId="0783300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7440-43-9</w:t>
            </w:r>
          </w:p>
        </w:tc>
        <w:tc>
          <w:tcPr>
            <w:tcW w:w="1701" w:type="dxa"/>
            <w:noWrap w:val="0"/>
            <w:vAlign w:val="center"/>
          </w:tcPr>
          <w:p w14:paraId="5831CF5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65</w:t>
            </w:r>
          </w:p>
        </w:tc>
        <w:tc>
          <w:tcPr>
            <w:tcW w:w="1892" w:type="dxa"/>
            <w:noWrap w:val="0"/>
            <w:vAlign w:val="center"/>
          </w:tcPr>
          <w:p w14:paraId="41B4FFB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172</w:t>
            </w:r>
          </w:p>
        </w:tc>
      </w:tr>
      <w:tr w14:paraId="044A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92BFE0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w:t>
            </w:r>
          </w:p>
        </w:tc>
        <w:tc>
          <w:tcPr>
            <w:tcW w:w="2126" w:type="dxa"/>
            <w:noWrap w:val="0"/>
            <w:vAlign w:val="center"/>
          </w:tcPr>
          <w:p w14:paraId="216BE1C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铬（六价）</w:t>
            </w:r>
          </w:p>
        </w:tc>
        <w:tc>
          <w:tcPr>
            <w:tcW w:w="1985" w:type="dxa"/>
            <w:noWrap w:val="0"/>
            <w:vAlign w:val="center"/>
          </w:tcPr>
          <w:p w14:paraId="5A862C0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18540-29-9</w:t>
            </w:r>
          </w:p>
        </w:tc>
        <w:tc>
          <w:tcPr>
            <w:tcW w:w="1701" w:type="dxa"/>
            <w:noWrap w:val="0"/>
            <w:vAlign w:val="center"/>
          </w:tcPr>
          <w:p w14:paraId="1086838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5.7</w:t>
            </w:r>
          </w:p>
        </w:tc>
        <w:tc>
          <w:tcPr>
            <w:tcW w:w="1892" w:type="dxa"/>
            <w:noWrap w:val="0"/>
            <w:vAlign w:val="center"/>
          </w:tcPr>
          <w:p w14:paraId="4EE2359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78</w:t>
            </w:r>
          </w:p>
        </w:tc>
      </w:tr>
      <w:tr w14:paraId="7287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5BD905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w:t>
            </w:r>
          </w:p>
        </w:tc>
        <w:tc>
          <w:tcPr>
            <w:tcW w:w="2126" w:type="dxa"/>
            <w:noWrap w:val="0"/>
            <w:vAlign w:val="center"/>
          </w:tcPr>
          <w:p w14:paraId="78EAFC0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铜</w:t>
            </w:r>
          </w:p>
        </w:tc>
        <w:tc>
          <w:tcPr>
            <w:tcW w:w="1985" w:type="dxa"/>
            <w:noWrap w:val="0"/>
            <w:vAlign w:val="center"/>
          </w:tcPr>
          <w:p w14:paraId="43EA635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7440-50-8</w:t>
            </w:r>
          </w:p>
        </w:tc>
        <w:tc>
          <w:tcPr>
            <w:tcW w:w="1701" w:type="dxa"/>
            <w:noWrap w:val="0"/>
            <w:vAlign w:val="center"/>
          </w:tcPr>
          <w:p w14:paraId="416668E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18000</w:t>
            </w:r>
          </w:p>
        </w:tc>
        <w:tc>
          <w:tcPr>
            <w:tcW w:w="1892" w:type="dxa"/>
            <w:noWrap w:val="0"/>
            <w:vAlign w:val="center"/>
          </w:tcPr>
          <w:p w14:paraId="194D921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36000</w:t>
            </w:r>
          </w:p>
        </w:tc>
      </w:tr>
      <w:tr w14:paraId="498C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81BECB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w:t>
            </w:r>
          </w:p>
        </w:tc>
        <w:tc>
          <w:tcPr>
            <w:tcW w:w="2126" w:type="dxa"/>
            <w:noWrap w:val="0"/>
            <w:vAlign w:val="center"/>
          </w:tcPr>
          <w:p w14:paraId="2E5D4D3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铅</w:t>
            </w:r>
          </w:p>
        </w:tc>
        <w:tc>
          <w:tcPr>
            <w:tcW w:w="1985" w:type="dxa"/>
            <w:noWrap w:val="0"/>
            <w:vAlign w:val="center"/>
          </w:tcPr>
          <w:p w14:paraId="6446299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7439-92-1</w:t>
            </w:r>
          </w:p>
        </w:tc>
        <w:tc>
          <w:tcPr>
            <w:tcW w:w="1701" w:type="dxa"/>
            <w:noWrap w:val="0"/>
            <w:vAlign w:val="center"/>
          </w:tcPr>
          <w:p w14:paraId="4EDA490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800</w:t>
            </w:r>
          </w:p>
        </w:tc>
        <w:tc>
          <w:tcPr>
            <w:tcW w:w="1892" w:type="dxa"/>
            <w:noWrap w:val="0"/>
            <w:vAlign w:val="center"/>
          </w:tcPr>
          <w:p w14:paraId="6CC6F21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2500</w:t>
            </w:r>
          </w:p>
        </w:tc>
      </w:tr>
      <w:tr w14:paraId="70FA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3801389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w:t>
            </w:r>
          </w:p>
        </w:tc>
        <w:tc>
          <w:tcPr>
            <w:tcW w:w="2126" w:type="dxa"/>
            <w:noWrap w:val="0"/>
            <w:vAlign w:val="center"/>
          </w:tcPr>
          <w:p w14:paraId="28E4B5B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汞</w:t>
            </w:r>
          </w:p>
        </w:tc>
        <w:tc>
          <w:tcPr>
            <w:tcW w:w="1985" w:type="dxa"/>
            <w:noWrap w:val="0"/>
            <w:vAlign w:val="center"/>
          </w:tcPr>
          <w:p w14:paraId="417EDC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7439-97-6</w:t>
            </w:r>
          </w:p>
        </w:tc>
        <w:tc>
          <w:tcPr>
            <w:tcW w:w="1701" w:type="dxa"/>
            <w:noWrap w:val="0"/>
            <w:vAlign w:val="center"/>
          </w:tcPr>
          <w:p w14:paraId="3F1D296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38</w:t>
            </w:r>
          </w:p>
        </w:tc>
        <w:tc>
          <w:tcPr>
            <w:tcW w:w="1892" w:type="dxa"/>
            <w:noWrap w:val="0"/>
            <w:vAlign w:val="center"/>
          </w:tcPr>
          <w:p w14:paraId="7ED63D2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82</w:t>
            </w:r>
          </w:p>
        </w:tc>
      </w:tr>
      <w:tr w14:paraId="13A9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82DD6A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w:t>
            </w:r>
          </w:p>
        </w:tc>
        <w:tc>
          <w:tcPr>
            <w:tcW w:w="2126" w:type="dxa"/>
            <w:noWrap w:val="0"/>
            <w:vAlign w:val="center"/>
          </w:tcPr>
          <w:p w14:paraId="39A8C8A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镍</w:t>
            </w:r>
          </w:p>
        </w:tc>
        <w:tc>
          <w:tcPr>
            <w:tcW w:w="1985" w:type="dxa"/>
            <w:noWrap w:val="0"/>
            <w:vAlign w:val="center"/>
          </w:tcPr>
          <w:p w14:paraId="47C816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7440-02-0</w:t>
            </w:r>
          </w:p>
        </w:tc>
        <w:tc>
          <w:tcPr>
            <w:tcW w:w="1701" w:type="dxa"/>
            <w:noWrap w:val="0"/>
            <w:vAlign w:val="center"/>
          </w:tcPr>
          <w:p w14:paraId="4A8C5BA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900</w:t>
            </w:r>
          </w:p>
        </w:tc>
        <w:tc>
          <w:tcPr>
            <w:tcW w:w="1892" w:type="dxa"/>
            <w:noWrap w:val="0"/>
            <w:vAlign w:val="center"/>
          </w:tcPr>
          <w:p w14:paraId="0F95523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2000</w:t>
            </w:r>
          </w:p>
        </w:tc>
      </w:tr>
      <w:tr w14:paraId="0A94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3A0C917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w:t>
            </w:r>
          </w:p>
        </w:tc>
        <w:tc>
          <w:tcPr>
            <w:tcW w:w="2126" w:type="dxa"/>
            <w:noWrap w:val="0"/>
            <w:vAlign w:val="center"/>
          </w:tcPr>
          <w:p w14:paraId="296D8B0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四氯化碳</w:t>
            </w:r>
          </w:p>
        </w:tc>
        <w:tc>
          <w:tcPr>
            <w:tcW w:w="1985" w:type="dxa"/>
            <w:noWrap w:val="0"/>
            <w:vAlign w:val="center"/>
          </w:tcPr>
          <w:p w14:paraId="454562C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56-23-5</w:t>
            </w:r>
          </w:p>
        </w:tc>
        <w:tc>
          <w:tcPr>
            <w:tcW w:w="1701" w:type="dxa"/>
            <w:noWrap w:val="0"/>
            <w:vAlign w:val="center"/>
          </w:tcPr>
          <w:p w14:paraId="6166FBA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w:t>
            </w:r>
          </w:p>
        </w:tc>
        <w:tc>
          <w:tcPr>
            <w:tcW w:w="1892" w:type="dxa"/>
            <w:noWrap w:val="0"/>
            <w:vAlign w:val="center"/>
          </w:tcPr>
          <w:p w14:paraId="4F935C1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36</w:t>
            </w:r>
          </w:p>
        </w:tc>
      </w:tr>
      <w:tr w14:paraId="60F0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6A7DCA1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w:t>
            </w:r>
          </w:p>
        </w:tc>
        <w:tc>
          <w:tcPr>
            <w:tcW w:w="2126" w:type="dxa"/>
            <w:noWrap w:val="0"/>
            <w:vAlign w:val="center"/>
          </w:tcPr>
          <w:p w14:paraId="6022297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氯仿</w:t>
            </w:r>
          </w:p>
        </w:tc>
        <w:tc>
          <w:tcPr>
            <w:tcW w:w="1985" w:type="dxa"/>
            <w:noWrap w:val="0"/>
            <w:vAlign w:val="center"/>
          </w:tcPr>
          <w:p w14:paraId="4EB1D8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67-66-3</w:t>
            </w:r>
          </w:p>
        </w:tc>
        <w:tc>
          <w:tcPr>
            <w:tcW w:w="1701" w:type="dxa"/>
            <w:noWrap w:val="0"/>
            <w:vAlign w:val="center"/>
          </w:tcPr>
          <w:p w14:paraId="2687B08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0.9</w:t>
            </w:r>
          </w:p>
        </w:tc>
        <w:tc>
          <w:tcPr>
            <w:tcW w:w="1892" w:type="dxa"/>
            <w:noWrap w:val="0"/>
            <w:vAlign w:val="center"/>
          </w:tcPr>
          <w:p w14:paraId="301CA99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r>
      <w:tr w14:paraId="1CF8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3D73A13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c>
          <w:tcPr>
            <w:tcW w:w="2126" w:type="dxa"/>
            <w:noWrap w:val="0"/>
            <w:vAlign w:val="center"/>
          </w:tcPr>
          <w:p w14:paraId="348283F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氯甲烷</w:t>
            </w:r>
          </w:p>
        </w:tc>
        <w:tc>
          <w:tcPr>
            <w:tcW w:w="1985" w:type="dxa"/>
            <w:noWrap w:val="0"/>
            <w:vAlign w:val="center"/>
          </w:tcPr>
          <w:p w14:paraId="73196D6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74-87-3</w:t>
            </w:r>
          </w:p>
        </w:tc>
        <w:tc>
          <w:tcPr>
            <w:tcW w:w="1701" w:type="dxa"/>
            <w:noWrap w:val="0"/>
            <w:vAlign w:val="center"/>
          </w:tcPr>
          <w:p w14:paraId="4CE5A6D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37</w:t>
            </w:r>
          </w:p>
        </w:tc>
        <w:tc>
          <w:tcPr>
            <w:tcW w:w="1892" w:type="dxa"/>
            <w:noWrap w:val="0"/>
            <w:vAlign w:val="center"/>
          </w:tcPr>
          <w:p w14:paraId="55B72EA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120</w:t>
            </w:r>
          </w:p>
        </w:tc>
      </w:tr>
      <w:tr w14:paraId="0A1C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376421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11</w:t>
            </w:r>
          </w:p>
        </w:tc>
        <w:tc>
          <w:tcPr>
            <w:tcW w:w="2126" w:type="dxa"/>
            <w:noWrap w:val="0"/>
            <w:vAlign w:val="center"/>
          </w:tcPr>
          <w:p w14:paraId="47CB60B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1-二氯乙烷</w:t>
            </w:r>
          </w:p>
        </w:tc>
        <w:tc>
          <w:tcPr>
            <w:tcW w:w="1985" w:type="dxa"/>
            <w:noWrap w:val="0"/>
            <w:vAlign w:val="center"/>
          </w:tcPr>
          <w:p w14:paraId="70EE050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75-34-3</w:t>
            </w:r>
          </w:p>
        </w:tc>
        <w:tc>
          <w:tcPr>
            <w:tcW w:w="1701" w:type="dxa"/>
            <w:noWrap w:val="0"/>
            <w:vAlign w:val="center"/>
          </w:tcPr>
          <w:p w14:paraId="3A0F5F9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w:t>
            </w:r>
          </w:p>
        </w:tc>
        <w:tc>
          <w:tcPr>
            <w:tcW w:w="1892" w:type="dxa"/>
            <w:noWrap w:val="0"/>
            <w:vAlign w:val="center"/>
          </w:tcPr>
          <w:p w14:paraId="72B88D5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7318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ACE277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w:t>
            </w:r>
          </w:p>
        </w:tc>
        <w:tc>
          <w:tcPr>
            <w:tcW w:w="2126" w:type="dxa"/>
            <w:noWrap w:val="0"/>
            <w:vAlign w:val="center"/>
          </w:tcPr>
          <w:p w14:paraId="496A33E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2-二氯乙烷</w:t>
            </w:r>
          </w:p>
        </w:tc>
        <w:tc>
          <w:tcPr>
            <w:tcW w:w="1985" w:type="dxa"/>
            <w:noWrap w:val="0"/>
            <w:vAlign w:val="center"/>
          </w:tcPr>
          <w:p w14:paraId="261BFD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107-06-2</w:t>
            </w:r>
          </w:p>
        </w:tc>
        <w:tc>
          <w:tcPr>
            <w:tcW w:w="1701" w:type="dxa"/>
            <w:noWrap w:val="0"/>
            <w:vAlign w:val="center"/>
          </w:tcPr>
          <w:p w14:paraId="7A51F08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w:t>
            </w:r>
          </w:p>
        </w:tc>
        <w:tc>
          <w:tcPr>
            <w:tcW w:w="1892" w:type="dxa"/>
            <w:noWrap w:val="0"/>
            <w:vAlign w:val="center"/>
          </w:tcPr>
          <w:p w14:paraId="3D1DBF8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21</w:t>
            </w:r>
          </w:p>
        </w:tc>
      </w:tr>
      <w:tr w14:paraId="2A68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5D1B0E7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13</w:t>
            </w:r>
          </w:p>
        </w:tc>
        <w:tc>
          <w:tcPr>
            <w:tcW w:w="2126" w:type="dxa"/>
            <w:noWrap w:val="0"/>
            <w:vAlign w:val="center"/>
          </w:tcPr>
          <w:p w14:paraId="6968D60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1-二氯乙烯</w:t>
            </w:r>
          </w:p>
        </w:tc>
        <w:tc>
          <w:tcPr>
            <w:tcW w:w="1985" w:type="dxa"/>
            <w:noWrap w:val="0"/>
            <w:vAlign w:val="center"/>
          </w:tcPr>
          <w:p w14:paraId="3035D19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75-35-4</w:t>
            </w:r>
          </w:p>
        </w:tc>
        <w:tc>
          <w:tcPr>
            <w:tcW w:w="1701" w:type="dxa"/>
            <w:noWrap w:val="0"/>
            <w:vAlign w:val="center"/>
          </w:tcPr>
          <w:p w14:paraId="36780CC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66</w:t>
            </w:r>
          </w:p>
        </w:tc>
        <w:tc>
          <w:tcPr>
            <w:tcW w:w="1892" w:type="dxa"/>
            <w:noWrap w:val="0"/>
            <w:vAlign w:val="center"/>
          </w:tcPr>
          <w:p w14:paraId="444CBFE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r>
      <w:tr w14:paraId="44F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D7F0DA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14</w:t>
            </w:r>
          </w:p>
        </w:tc>
        <w:tc>
          <w:tcPr>
            <w:tcW w:w="2126" w:type="dxa"/>
            <w:noWrap w:val="0"/>
            <w:vAlign w:val="center"/>
          </w:tcPr>
          <w:p w14:paraId="1398531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顺-1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2-二氯乙烯</w:t>
            </w:r>
          </w:p>
        </w:tc>
        <w:tc>
          <w:tcPr>
            <w:tcW w:w="1985" w:type="dxa"/>
            <w:noWrap w:val="0"/>
            <w:vAlign w:val="center"/>
          </w:tcPr>
          <w:p w14:paraId="71FE417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156-59-2</w:t>
            </w:r>
          </w:p>
        </w:tc>
        <w:tc>
          <w:tcPr>
            <w:tcW w:w="1701" w:type="dxa"/>
            <w:noWrap w:val="0"/>
            <w:vAlign w:val="center"/>
          </w:tcPr>
          <w:p w14:paraId="781BEAC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596</w:t>
            </w:r>
          </w:p>
        </w:tc>
        <w:tc>
          <w:tcPr>
            <w:tcW w:w="1892" w:type="dxa"/>
            <w:noWrap w:val="0"/>
            <w:vAlign w:val="center"/>
          </w:tcPr>
          <w:p w14:paraId="58DDCA0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2000</w:t>
            </w:r>
          </w:p>
        </w:tc>
      </w:tr>
      <w:tr w14:paraId="41A1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61775F0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2126" w:type="dxa"/>
            <w:noWrap w:val="0"/>
            <w:vAlign w:val="center"/>
          </w:tcPr>
          <w:p w14:paraId="45554D3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反-1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2-二氯乙烯</w:t>
            </w:r>
          </w:p>
        </w:tc>
        <w:tc>
          <w:tcPr>
            <w:tcW w:w="1985" w:type="dxa"/>
            <w:noWrap w:val="0"/>
            <w:vAlign w:val="center"/>
          </w:tcPr>
          <w:p w14:paraId="23BD3BA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156-60-5</w:t>
            </w:r>
          </w:p>
        </w:tc>
        <w:tc>
          <w:tcPr>
            <w:tcW w:w="1701" w:type="dxa"/>
            <w:noWrap w:val="0"/>
            <w:vAlign w:val="center"/>
          </w:tcPr>
          <w:p w14:paraId="67E0778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54</w:t>
            </w:r>
          </w:p>
        </w:tc>
        <w:tc>
          <w:tcPr>
            <w:tcW w:w="1892" w:type="dxa"/>
            <w:noWrap w:val="0"/>
            <w:vAlign w:val="center"/>
          </w:tcPr>
          <w:p w14:paraId="041826E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163</w:t>
            </w:r>
          </w:p>
        </w:tc>
      </w:tr>
      <w:tr w14:paraId="3638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300F0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16</w:t>
            </w:r>
          </w:p>
        </w:tc>
        <w:tc>
          <w:tcPr>
            <w:tcW w:w="2126" w:type="dxa"/>
            <w:noWrap w:val="0"/>
            <w:vAlign w:val="center"/>
          </w:tcPr>
          <w:p w14:paraId="07C3E9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二氯甲烷</w:t>
            </w:r>
          </w:p>
        </w:tc>
        <w:tc>
          <w:tcPr>
            <w:tcW w:w="1985" w:type="dxa"/>
            <w:noWrap w:val="0"/>
            <w:vAlign w:val="center"/>
          </w:tcPr>
          <w:p w14:paraId="7FDFBBE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75-09-2</w:t>
            </w:r>
          </w:p>
        </w:tc>
        <w:tc>
          <w:tcPr>
            <w:tcW w:w="1701" w:type="dxa"/>
            <w:noWrap w:val="0"/>
            <w:vAlign w:val="center"/>
          </w:tcPr>
          <w:p w14:paraId="396E994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616</w:t>
            </w:r>
          </w:p>
        </w:tc>
        <w:tc>
          <w:tcPr>
            <w:tcW w:w="1892" w:type="dxa"/>
            <w:noWrap w:val="0"/>
            <w:vAlign w:val="center"/>
          </w:tcPr>
          <w:p w14:paraId="73A05D0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2000</w:t>
            </w:r>
          </w:p>
        </w:tc>
      </w:tr>
      <w:tr w14:paraId="5E9A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038C6E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17</w:t>
            </w:r>
          </w:p>
        </w:tc>
        <w:tc>
          <w:tcPr>
            <w:tcW w:w="2126" w:type="dxa"/>
            <w:noWrap w:val="0"/>
            <w:vAlign w:val="center"/>
          </w:tcPr>
          <w:p w14:paraId="2E6671B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2-二氯丙烷</w:t>
            </w:r>
          </w:p>
        </w:tc>
        <w:tc>
          <w:tcPr>
            <w:tcW w:w="1985" w:type="dxa"/>
            <w:noWrap w:val="0"/>
            <w:vAlign w:val="center"/>
          </w:tcPr>
          <w:p w14:paraId="6ECF07D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78-87-5</w:t>
            </w:r>
          </w:p>
        </w:tc>
        <w:tc>
          <w:tcPr>
            <w:tcW w:w="1701" w:type="dxa"/>
            <w:noWrap w:val="0"/>
            <w:vAlign w:val="center"/>
          </w:tcPr>
          <w:p w14:paraId="11D29F3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w:t>
            </w:r>
          </w:p>
        </w:tc>
        <w:tc>
          <w:tcPr>
            <w:tcW w:w="1892" w:type="dxa"/>
            <w:noWrap w:val="0"/>
            <w:vAlign w:val="center"/>
          </w:tcPr>
          <w:p w14:paraId="2C1B10F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47</w:t>
            </w:r>
          </w:p>
        </w:tc>
      </w:tr>
      <w:tr w14:paraId="1036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C96876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w:t>
            </w:r>
          </w:p>
        </w:tc>
        <w:tc>
          <w:tcPr>
            <w:tcW w:w="2126" w:type="dxa"/>
            <w:noWrap w:val="0"/>
            <w:vAlign w:val="center"/>
          </w:tcPr>
          <w:p w14:paraId="475EA8F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2-四氯乙烷</w:t>
            </w:r>
          </w:p>
        </w:tc>
        <w:tc>
          <w:tcPr>
            <w:tcW w:w="1985" w:type="dxa"/>
            <w:noWrap w:val="0"/>
            <w:vAlign w:val="center"/>
          </w:tcPr>
          <w:p w14:paraId="5FC635F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630-20-6</w:t>
            </w:r>
          </w:p>
        </w:tc>
        <w:tc>
          <w:tcPr>
            <w:tcW w:w="1701" w:type="dxa"/>
            <w:noWrap w:val="0"/>
            <w:vAlign w:val="center"/>
          </w:tcPr>
          <w:p w14:paraId="65CAF65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c>
          <w:tcPr>
            <w:tcW w:w="1892" w:type="dxa"/>
            <w:noWrap w:val="0"/>
            <w:vAlign w:val="center"/>
          </w:tcPr>
          <w:p w14:paraId="54A0428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7304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3B97A60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w:t>
            </w:r>
          </w:p>
        </w:tc>
        <w:tc>
          <w:tcPr>
            <w:tcW w:w="2126" w:type="dxa"/>
            <w:noWrap w:val="0"/>
            <w:vAlign w:val="center"/>
          </w:tcPr>
          <w:p w14:paraId="4D39E2E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2-四氯乙烷</w:t>
            </w:r>
          </w:p>
        </w:tc>
        <w:tc>
          <w:tcPr>
            <w:tcW w:w="1985" w:type="dxa"/>
            <w:noWrap w:val="0"/>
            <w:vAlign w:val="center"/>
          </w:tcPr>
          <w:p w14:paraId="5DD95D0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79-34-5</w:t>
            </w:r>
          </w:p>
        </w:tc>
        <w:tc>
          <w:tcPr>
            <w:tcW w:w="1701" w:type="dxa"/>
            <w:noWrap w:val="0"/>
            <w:vAlign w:val="center"/>
          </w:tcPr>
          <w:p w14:paraId="3A4D2E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6.8</w:t>
            </w:r>
          </w:p>
        </w:tc>
        <w:tc>
          <w:tcPr>
            <w:tcW w:w="1892" w:type="dxa"/>
            <w:noWrap w:val="0"/>
            <w:vAlign w:val="center"/>
          </w:tcPr>
          <w:p w14:paraId="496D418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50</w:t>
            </w:r>
          </w:p>
        </w:tc>
      </w:tr>
      <w:tr w14:paraId="0EDE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3FA444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c>
          <w:tcPr>
            <w:tcW w:w="2126" w:type="dxa"/>
            <w:noWrap w:val="0"/>
            <w:vAlign w:val="center"/>
          </w:tcPr>
          <w:p w14:paraId="4B7A2D7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四氯乙烯</w:t>
            </w:r>
          </w:p>
        </w:tc>
        <w:tc>
          <w:tcPr>
            <w:tcW w:w="1985" w:type="dxa"/>
            <w:noWrap w:val="0"/>
            <w:vAlign w:val="center"/>
          </w:tcPr>
          <w:p w14:paraId="263B45F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127-18-4</w:t>
            </w:r>
          </w:p>
        </w:tc>
        <w:tc>
          <w:tcPr>
            <w:tcW w:w="1701" w:type="dxa"/>
            <w:noWrap w:val="0"/>
            <w:vAlign w:val="center"/>
          </w:tcPr>
          <w:p w14:paraId="3B298C3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53</w:t>
            </w:r>
          </w:p>
        </w:tc>
        <w:tc>
          <w:tcPr>
            <w:tcW w:w="1892" w:type="dxa"/>
            <w:noWrap w:val="0"/>
            <w:vAlign w:val="center"/>
          </w:tcPr>
          <w:p w14:paraId="5E05AA3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183</w:t>
            </w:r>
          </w:p>
        </w:tc>
      </w:tr>
      <w:tr w14:paraId="2337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04A5D8D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21</w:t>
            </w:r>
          </w:p>
        </w:tc>
        <w:tc>
          <w:tcPr>
            <w:tcW w:w="2126" w:type="dxa"/>
            <w:noWrap w:val="0"/>
            <w:vAlign w:val="center"/>
          </w:tcPr>
          <w:p w14:paraId="10059D4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1-三氯乙烷</w:t>
            </w:r>
          </w:p>
        </w:tc>
        <w:tc>
          <w:tcPr>
            <w:tcW w:w="1985" w:type="dxa"/>
            <w:noWrap w:val="0"/>
            <w:vAlign w:val="center"/>
          </w:tcPr>
          <w:p w14:paraId="7612107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71-55-6</w:t>
            </w:r>
          </w:p>
        </w:tc>
        <w:tc>
          <w:tcPr>
            <w:tcW w:w="1701" w:type="dxa"/>
            <w:noWrap w:val="0"/>
            <w:vAlign w:val="center"/>
          </w:tcPr>
          <w:p w14:paraId="3ED144C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840</w:t>
            </w:r>
          </w:p>
        </w:tc>
        <w:tc>
          <w:tcPr>
            <w:tcW w:w="1892" w:type="dxa"/>
            <w:noWrap w:val="0"/>
            <w:vAlign w:val="center"/>
          </w:tcPr>
          <w:p w14:paraId="6230867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840</w:t>
            </w:r>
          </w:p>
        </w:tc>
      </w:tr>
      <w:tr w14:paraId="0636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B50CBB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22</w:t>
            </w:r>
          </w:p>
        </w:tc>
        <w:tc>
          <w:tcPr>
            <w:tcW w:w="2126" w:type="dxa"/>
            <w:noWrap w:val="0"/>
            <w:vAlign w:val="center"/>
          </w:tcPr>
          <w:p w14:paraId="6EFD55B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2-三氯乙烷</w:t>
            </w:r>
          </w:p>
        </w:tc>
        <w:tc>
          <w:tcPr>
            <w:tcW w:w="1985" w:type="dxa"/>
            <w:noWrap w:val="0"/>
            <w:vAlign w:val="center"/>
          </w:tcPr>
          <w:p w14:paraId="6452FE2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79-00-5</w:t>
            </w:r>
          </w:p>
        </w:tc>
        <w:tc>
          <w:tcPr>
            <w:tcW w:w="1701" w:type="dxa"/>
            <w:noWrap w:val="0"/>
            <w:vAlign w:val="center"/>
          </w:tcPr>
          <w:p w14:paraId="639B548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w:t>
            </w:r>
          </w:p>
        </w:tc>
        <w:tc>
          <w:tcPr>
            <w:tcW w:w="1892" w:type="dxa"/>
            <w:noWrap w:val="0"/>
            <w:vAlign w:val="center"/>
          </w:tcPr>
          <w:p w14:paraId="6A6DD7D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r>
      <w:tr w14:paraId="6379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BA231E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23</w:t>
            </w:r>
          </w:p>
        </w:tc>
        <w:tc>
          <w:tcPr>
            <w:tcW w:w="2126" w:type="dxa"/>
            <w:noWrap w:val="0"/>
            <w:vAlign w:val="center"/>
          </w:tcPr>
          <w:p w14:paraId="0EE0D80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三氯乙烯</w:t>
            </w:r>
          </w:p>
        </w:tc>
        <w:tc>
          <w:tcPr>
            <w:tcW w:w="1985" w:type="dxa"/>
            <w:noWrap w:val="0"/>
            <w:vAlign w:val="center"/>
          </w:tcPr>
          <w:p w14:paraId="5913A0F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79-01-6</w:t>
            </w:r>
          </w:p>
        </w:tc>
        <w:tc>
          <w:tcPr>
            <w:tcW w:w="1701" w:type="dxa"/>
            <w:noWrap w:val="0"/>
            <w:vAlign w:val="center"/>
          </w:tcPr>
          <w:p w14:paraId="488385B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w:t>
            </w:r>
          </w:p>
        </w:tc>
        <w:tc>
          <w:tcPr>
            <w:tcW w:w="1892" w:type="dxa"/>
            <w:noWrap w:val="0"/>
            <w:vAlign w:val="center"/>
          </w:tcPr>
          <w:p w14:paraId="505C464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r>
      <w:tr w14:paraId="35DE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CB4F12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w:t>
            </w:r>
          </w:p>
        </w:tc>
        <w:tc>
          <w:tcPr>
            <w:tcW w:w="2126" w:type="dxa"/>
            <w:noWrap w:val="0"/>
            <w:vAlign w:val="center"/>
          </w:tcPr>
          <w:p w14:paraId="4982EF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2</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3-三氯丙烷</w:t>
            </w:r>
          </w:p>
        </w:tc>
        <w:tc>
          <w:tcPr>
            <w:tcW w:w="1985" w:type="dxa"/>
            <w:noWrap w:val="0"/>
            <w:vAlign w:val="center"/>
          </w:tcPr>
          <w:p w14:paraId="3D39836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96-18-4</w:t>
            </w:r>
          </w:p>
        </w:tc>
        <w:tc>
          <w:tcPr>
            <w:tcW w:w="1701" w:type="dxa"/>
            <w:noWrap w:val="0"/>
            <w:vAlign w:val="center"/>
          </w:tcPr>
          <w:p w14:paraId="1986D78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0.5</w:t>
            </w:r>
          </w:p>
        </w:tc>
        <w:tc>
          <w:tcPr>
            <w:tcW w:w="1892" w:type="dxa"/>
            <w:noWrap w:val="0"/>
            <w:vAlign w:val="center"/>
          </w:tcPr>
          <w:p w14:paraId="5462789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w:t>
            </w:r>
          </w:p>
        </w:tc>
      </w:tr>
      <w:tr w14:paraId="5722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D9932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w:t>
            </w:r>
          </w:p>
        </w:tc>
        <w:tc>
          <w:tcPr>
            <w:tcW w:w="2126" w:type="dxa"/>
            <w:noWrap w:val="0"/>
            <w:vAlign w:val="center"/>
          </w:tcPr>
          <w:p w14:paraId="6A6A29A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氯乙烯</w:t>
            </w:r>
          </w:p>
        </w:tc>
        <w:tc>
          <w:tcPr>
            <w:tcW w:w="1985" w:type="dxa"/>
            <w:noWrap w:val="0"/>
            <w:vAlign w:val="center"/>
          </w:tcPr>
          <w:p w14:paraId="1FA962C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75-01-4</w:t>
            </w:r>
          </w:p>
        </w:tc>
        <w:tc>
          <w:tcPr>
            <w:tcW w:w="1701" w:type="dxa"/>
            <w:noWrap w:val="0"/>
            <w:vAlign w:val="center"/>
          </w:tcPr>
          <w:p w14:paraId="5B0C7C9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0.43</w:t>
            </w:r>
          </w:p>
        </w:tc>
        <w:tc>
          <w:tcPr>
            <w:tcW w:w="1892" w:type="dxa"/>
            <w:noWrap w:val="0"/>
            <w:vAlign w:val="center"/>
          </w:tcPr>
          <w:p w14:paraId="7F5D9F9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3</w:t>
            </w:r>
          </w:p>
        </w:tc>
      </w:tr>
      <w:tr w14:paraId="3C1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8423C6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26</w:t>
            </w:r>
          </w:p>
        </w:tc>
        <w:tc>
          <w:tcPr>
            <w:tcW w:w="2126" w:type="dxa"/>
            <w:noWrap w:val="0"/>
            <w:vAlign w:val="center"/>
          </w:tcPr>
          <w:p w14:paraId="30AB8AA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w:t>
            </w:r>
          </w:p>
        </w:tc>
        <w:tc>
          <w:tcPr>
            <w:tcW w:w="1985" w:type="dxa"/>
            <w:noWrap w:val="0"/>
            <w:vAlign w:val="center"/>
          </w:tcPr>
          <w:p w14:paraId="1285A76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71-43-2</w:t>
            </w:r>
          </w:p>
        </w:tc>
        <w:tc>
          <w:tcPr>
            <w:tcW w:w="1701" w:type="dxa"/>
            <w:noWrap w:val="0"/>
            <w:vAlign w:val="center"/>
          </w:tcPr>
          <w:p w14:paraId="67B5ABA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w:t>
            </w:r>
          </w:p>
        </w:tc>
        <w:tc>
          <w:tcPr>
            <w:tcW w:w="1892" w:type="dxa"/>
            <w:noWrap w:val="0"/>
            <w:vAlign w:val="center"/>
          </w:tcPr>
          <w:p w14:paraId="3C216F5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r>
      <w:tr w14:paraId="311E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C0B859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27</w:t>
            </w:r>
          </w:p>
        </w:tc>
        <w:tc>
          <w:tcPr>
            <w:tcW w:w="2126" w:type="dxa"/>
            <w:noWrap w:val="0"/>
            <w:vAlign w:val="center"/>
          </w:tcPr>
          <w:p w14:paraId="1F21D12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氯苯</w:t>
            </w:r>
          </w:p>
        </w:tc>
        <w:tc>
          <w:tcPr>
            <w:tcW w:w="1985" w:type="dxa"/>
            <w:noWrap w:val="0"/>
            <w:vAlign w:val="center"/>
          </w:tcPr>
          <w:p w14:paraId="60C13AD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108-90-7</w:t>
            </w:r>
          </w:p>
        </w:tc>
        <w:tc>
          <w:tcPr>
            <w:tcW w:w="1701" w:type="dxa"/>
            <w:noWrap w:val="0"/>
            <w:vAlign w:val="center"/>
          </w:tcPr>
          <w:p w14:paraId="0F56F8E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270</w:t>
            </w:r>
          </w:p>
        </w:tc>
        <w:tc>
          <w:tcPr>
            <w:tcW w:w="1892" w:type="dxa"/>
            <w:noWrap w:val="0"/>
            <w:vAlign w:val="center"/>
          </w:tcPr>
          <w:p w14:paraId="7E57275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1000</w:t>
            </w:r>
          </w:p>
        </w:tc>
      </w:tr>
      <w:tr w14:paraId="6939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4AACD5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w:t>
            </w:r>
          </w:p>
        </w:tc>
        <w:tc>
          <w:tcPr>
            <w:tcW w:w="2126" w:type="dxa"/>
            <w:noWrap w:val="0"/>
            <w:vAlign w:val="center"/>
          </w:tcPr>
          <w:p w14:paraId="23655E9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2-二氯苯</w:t>
            </w:r>
          </w:p>
        </w:tc>
        <w:tc>
          <w:tcPr>
            <w:tcW w:w="1985" w:type="dxa"/>
            <w:noWrap w:val="0"/>
            <w:vAlign w:val="center"/>
          </w:tcPr>
          <w:p w14:paraId="3E97D1E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95-50-1</w:t>
            </w:r>
          </w:p>
        </w:tc>
        <w:tc>
          <w:tcPr>
            <w:tcW w:w="1701" w:type="dxa"/>
            <w:noWrap w:val="0"/>
            <w:vAlign w:val="center"/>
          </w:tcPr>
          <w:p w14:paraId="3E61E55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560</w:t>
            </w:r>
          </w:p>
        </w:tc>
        <w:tc>
          <w:tcPr>
            <w:tcW w:w="1892" w:type="dxa"/>
            <w:noWrap w:val="0"/>
            <w:vAlign w:val="center"/>
          </w:tcPr>
          <w:p w14:paraId="11F692F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560</w:t>
            </w:r>
          </w:p>
        </w:tc>
      </w:tr>
      <w:tr w14:paraId="30D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1141F1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29</w:t>
            </w:r>
          </w:p>
        </w:tc>
        <w:tc>
          <w:tcPr>
            <w:tcW w:w="2126" w:type="dxa"/>
            <w:noWrap w:val="0"/>
            <w:vAlign w:val="center"/>
          </w:tcPr>
          <w:p w14:paraId="3B5D823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4-二氯苯</w:t>
            </w:r>
          </w:p>
        </w:tc>
        <w:tc>
          <w:tcPr>
            <w:tcW w:w="1985" w:type="dxa"/>
            <w:noWrap w:val="0"/>
            <w:vAlign w:val="center"/>
          </w:tcPr>
          <w:p w14:paraId="22759B1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106-46-7</w:t>
            </w:r>
          </w:p>
        </w:tc>
        <w:tc>
          <w:tcPr>
            <w:tcW w:w="1701" w:type="dxa"/>
            <w:noWrap w:val="0"/>
            <w:vAlign w:val="center"/>
          </w:tcPr>
          <w:p w14:paraId="2399704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c>
          <w:tcPr>
            <w:tcW w:w="1892" w:type="dxa"/>
            <w:noWrap w:val="0"/>
            <w:vAlign w:val="center"/>
          </w:tcPr>
          <w:p w14:paraId="6A06D8C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r>
      <w:tr w14:paraId="5301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10EC61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c>
          <w:tcPr>
            <w:tcW w:w="2126" w:type="dxa"/>
            <w:noWrap w:val="0"/>
            <w:vAlign w:val="center"/>
          </w:tcPr>
          <w:p w14:paraId="5C82CBD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乙苯</w:t>
            </w:r>
          </w:p>
        </w:tc>
        <w:tc>
          <w:tcPr>
            <w:tcW w:w="1985" w:type="dxa"/>
            <w:noWrap w:val="0"/>
            <w:vAlign w:val="center"/>
          </w:tcPr>
          <w:p w14:paraId="66F0B99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100-41-4</w:t>
            </w:r>
          </w:p>
        </w:tc>
        <w:tc>
          <w:tcPr>
            <w:tcW w:w="1701" w:type="dxa"/>
            <w:noWrap w:val="0"/>
            <w:vAlign w:val="center"/>
          </w:tcPr>
          <w:p w14:paraId="42C52BA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w:t>
            </w:r>
          </w:p>
        </w:tc>
        <w:tc>
          <w:tcPr>
            <w:tcW w:w="1892" w:type="dxa"/>
            <w:noWrap w:val="0"/>
            <w:vAlign w:val="center"/>
          </w:tcPr>
          <w:p w14:paraId="1A3C13A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280</w:t>
            </w:r>
          </w:p>
        </w:tc>
      </w:tr>
      <w:tr w14:paraId="4133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A0D14A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31</w:t>
            </w:r>
          </w:p>
        </w:tc>
        <w:tc>
          <w:tcPr>
            <w:tcW w:w="2126" w:type="dxa"/>
            <w:noWrap w:val="0"/>
            <w:vAlign w:val="center"/>
          </w:tcPr>
          <w:p w14:paraId="0A45BEB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苯乙烯</w:t>
            </w:r>
          </w:p>
        </w:tc>
        <w:tc>
          <w:tcPr>
            <w:tcW w:w="1985" w:type="dxa"/>
            <w:noWrap w:val="0"/>
            <w:vAlign w:val="center"/>
          </w:tcPr>
          <w:p w14:paraId="4FA14F3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100-42-5</w:t>
            </w:r>
          </w:p>
        </w:tc>
        <w:tc>
          <w:tcPr>
            <w:tcW w:w="1701" w:type="dxa"/>
            <w:noWrap w:val="0"/>
            <w:vAlign w:val="center"/>
          </w:tcPr>
          <w:p w14:paraId="10C4032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1290</w:t>
            </w:r>
          </w:p>
        </w:tc>
        <w:tc>
          <w:tcPr>
            <w:tcW w:w="1892" w:type="dxa"/>
            <w:noWrap w:val="0"/>
            <w:vAlign w:val="center"/>
          </w:tcPr>
          <w:p w14:paraId="1517FB9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1290</w:t>
            </w:r>
          </w:p>
        </w:tc>
      </w:tr>
      <w:tr w14:paraId="19A6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43DABB6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32</w:t>
            </w:r>
          </w:p>
        </w:tc>
        <w:tc>
          <w:tcPr>
            <w:tcW w:w="2126" w:type="dxa"/>
            <w:noWrap w:val="0"/>
            <w:vAlign w:val="center"/>
          </w:tcPr>
          <w:p w14:paraId="1F8109E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甲苯</w:t>
            </w:r>
          </w:p>
        </w:tc>
        <w:tc>
          <w:tcPr>
            <w:tcW w:w="1985" w:type="dxa"/>
            <w:noWrap w:val="0"/>
            <w:vAlign w:val="center"/>
          </w:tcPr>
          <w:p w14:paraId="75B5D76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108-88-3</w:t>
            </w:r>
          </w:p>
        </w:tc>
        <w:tc>
          <w:tcPr>
            <w:tcW w:w="1701" w:type="dxa"/>
            <w:noWrap w:val="0"/>
            <w:vAlign w:val="center"/>
          </w:tcPr>
          <w:p w14:paraId="2D7DF00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1200</w:t>
            </w:r>
          </w:p>
        </w:tc>
        <w:tc>
          <w:tcPr>
            <w:tcW w:w="1892" w:type="dxa"/>
            <w:noWrap w:val="0"/>
            <w:vAlign w:val="center"/>
          </w:tcPr>
          <w:p w14:paraId="0BA030E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1200</w:t>
            </w:r>
          </w:p>
        </w:tc>
      </w:tr>
      <w:tr w14:paraId="4327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5C7C915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33</w:t>
            </w:r>
          </w:p>
        </w:tc>
        <w:tc>
          <w:tcPr>
            <w:tcW w:w="2126" w:type="dxa"/>
            <w:noWrap w:val="0"/>
            <w:vAlign w:val="center"/>
          </w:tcPr>
          <w:p w14:paraId="65DC5F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间二甲苯+对二甲苯</w:t>
            </w:r>
          </w:p>
        </w:tc>
        <w:tc>
          <w:tcPr>
            <w:tcW w:w="1985" w:type="dxa"/>
            <w:noWrap w:val="0"/>
            <w:vAlign w:val="center"/>
          </w:tcPr>
          <w:p w14:paraId="0A8D9C1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108-38-3</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106-42-3</w:t>
            </w:r>
          </w:p>
        </w:tc>
        <w:tc>
          <w:tcPr>
            <w:tcW w:w="1701" w:type="dxa"/>
            <w:noWrap w:val="0"/>
            <w:vAlign w:val="center"/>
          </w:tcPr>
          <w:p w14:paraId="09675F8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570</w:t>
            </w:r>
          </w:p>
        </w:tc>
        <w:tc>
          <w:tcPr>
            <w:tcW w:w="1892" w:type="dxa"/>
            <w:noWrap w:val="0"/>
            <w:vAlign w:val="center"/>
          </w:tcPr>
          <w:p w14:paraId="2FFF8FA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570</w:t>
            </w:r>
          </w:p>
        </w:tc>
      </w:tr>
      <w:tr w14:paraId="466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26179E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34</w:t>
            </w:r>
          </w:p>
        </w:tc>
        <w:tc>
          <w:tcPr>
            <w:tcW w:w="2126" w:type="dxa"/>
            <w:noWrap w:val="0"/>
            <w:vAlign w:val="center"/>
          </w:tcPr>
          <w:p w14:paraId="16C2066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邻二甲苯</w:t>
            </w:r>
          </w:p>
        </w:tc>
        <w:tc>
          <w:tcPr>
            <w:tcW w:w="1985" w:type="dxa"/>
            <w:noWrap w:val="0"/>
            <w:vAlign w:val="center"/>
          </w:tcPr>
          <w:p w14:paraId="5F13EDA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95-47-6</w:t>
            </w:r>
          </w:p>
        </w:tc>
        <w:tc>
          <w:tcPr>
            <w:tcW w:w="1701" w:type="dxa"/>
            <w:noWrap w:val="0"/>
            <w:vAlign w:val="center"/>
          </w:tcPr>
          <w:p w14:paraId="5441A61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640</w:t>
            </w:r>
          </w:p>
        </w:tc>
        <w:tc>
          <w:tcPr>
            <w:tcW w:w="1892" w:type="dxa"/>
            <w:noWrap w:val="0"/>
            <w:vAlign w:val="center"/>
          </w:tcPr>
          <w:p w14:paraId="695FFE3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640</w:t>
            </w:r>
          </w:p>
        </w:tc>
      </w:tr>
      <w:tr w14:paraId="20A1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50AEC9C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35</w:t>
            </w:r>
          </w:p>
        </w:tc>
        <w:tc>
          <w:tcPr>
            <w:tcW w:w="2126" w:type="dxa"/>
            <w:noWrap w:val="0"/>
            <w:vAlign w:val="center"/>
          </w:tcPr>
          <w:p w14:paraId="3495278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硝基苯</w:t>
            </w:r>
          </w:p>
        </w:tc>
        <w:tc>
          <w:tcPr>
            <w:tcW w:w="1985" w:type="dxa"/>
            <w:noWrap w:val="0"/>
            <w:vAlign w:val="center"/>
          </w:tcPr>
          <w:p w14:paraId="7FA3940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98-95-3</w:t>
            </w:r>
          </w:p>
        </w:tc>
        <w:tc>
          <w:tcPr>
            <w:tcW w:w="1701" w:type="dxa"/>
            <w:noWrap w:val="0"/>
            <w:vAlign w:val="center"/>
          </w:tcPr>
          <w:p w14:paraId="3A259A5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76</w:t>
            </w:r>
          </w:p>
        </w:tc>
        <w:tc>
          <w:tcPr>
            <w:tcW w:w="1892" w:type="dxa"/>
            <w:noWrap w:val="0"/>
            <w:vAlign w:val="center"/>
          </w:tcPr>
          <w:p w14:paraId="5D18D42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760</w:t>
            </w:r>
          </w:p>
        </w:tc>
      </w:tr>
      <w:tr w14:paraId="343A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205BE87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36</w:t>
            </w:r>
          </w:p>
        </w:tc>
        <w:tc>
          <w:tcPr>
            <w:tcW w:w="2126" w:type="dxa"/>
            <w:noWrap w:val="0"/>
            <w:vAlign w:val="center"/>
          </w:tcPr>
          <w:p w14:paraId="61C8636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苯胺</w:t>
            </w:r>
          </w:p>
        </w:tc>
        <w:tc>
          <w:tcPr>
            <w:tcW w:w="1985" w:type="dxa"/>
            <w:noWrap w:val="0"/>
            <w:vAlign w:val="center"/>
          </w:tcPr>
          <w:p w14:paraId="68787D7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62-53-3</w:t>
            </w:r>
          </w:p>
        </w:tc>
        <w:tc>
          <w:tcPr>
            <w:tcW w:w="1701" w:type="dxa"/>
            <w:noWrap w:val="0"/>
            <w:vAlign w:val="center"/>
          </w:tcPr>
          <w:p w14:paraId="03691C4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260</w:t>
            </w:r>
          </w:p>
        </w:tc>
        <w:tc>
          <w:tcPr>
            <w:tcW w:w="1892" w:type="dxa"/>
            <w:noWrap w:val="0"/>
            <w:vAlign w:val="center"/>
          </w:tcPr>
          <w:p w14:paraId="5CDD787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663</w:t>
            </w:r>
          </w:p>
        </w:tc>
      </w:tr>
      <w:tr w14:paraId="6213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6B858A9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37</w:t>
            </w:r>
          </w:p>
        </w:tc>
        <w:tc>
          <w:tcPr>
            <w:tcW w:w="2126" w:type="dxa"/>
            <w:noWrap w:val="0"/>
            <w:vAlign w:val="center"/>
          </w:tcPr>
          <w:p w14:paraId="2B8D873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2-氯酚</w:t>
            </w:r>
          </w:p>
        </w:tc>
        <w:tc>
          <w:tcPr>
            <w:tcW w:w="1985" w:type="dxa"/>
            <w:noWrap w:val="0"/>
            <w:vAlign w:val="center"/>
          </w:tcPr>
          <w:p w14:paraId="0779AA2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95-57-8</w:t>
            </w:r>
          </w:p>
        </w:tc>
        <w:tc>
          <w:tcPr>
            <w:tcW w:w="1701" w:type="dxa"/>
            <w:noWrap w:val="0"/>
            <w:vAlign w:val="center"/>
          </w:tcPr>
          <w:p w14:paraId="00DDE9D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2256</w:t>
            </w:r>
          </w:p>
        </w:tc>
        <w:tc>
          <w:tcPr>
            <w:tcW w:w="1892" w:type="dxa"/>
            <w:noWrap w:val="0"/>
            <w:vAlign w:val="center"/>
          </w:tcPr>
          <w:p w14:paraId="2BCAD0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4500</w:t>
            </w:r>
          </w:p>
        </w:tc>
      </w:tr>
      <w:tr w14:paraId="20A4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EFAB69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38</w:t>
            </w:r>
          </w:p>
        </w:tc>
        <w:tc>
          <w:tcPr>
            <w:tcW w:w="2126" w:type="dxa"/>
            <w:noWrap w:val="0"/>
            <w:vAlign w:val="center"/>
          </w:tcPr>
          <w:p w14:paraId="63701A7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蒽</w:t>
            </w:r>
          </w:p>
        </w:tc>
        <w:tc>
          <w:tcPr>
            <w:tcW w:w="1985" w:type="dxa"/>
            <w:noWrap w:val="0"/>
            <w:vAlign w:val="center"/>
          </w:tcPr>
          <w:p w14:paraId="2B63A8E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56-55-3</w:t>
            </w:r>
          </w:p>
        </w:tc>
        <w:tc>
          <w:tcPr>
            <w:tcW w:w="1701" w:type="dxa"/>
            <w:noWrap w:val="0"/>
            <w:vAlign w:val="center"/>
          </w:tcPr>
          <w:p w14:paraId="327C9EA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1892" w:type="dxa"/>
            <w:noWrap w:val="0"/>
            <w:vAlign w:val="center"/>
          </w:tcPr>
          <w:p w14:paraId="05C2758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151</w:t>
            </w:r>
          </w:p>
        </w:tc>
      </w:tr>
      <w:tr w14:paraId="7AC1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78546A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39</w:t>
            </w:r>
          </w:p>
        </w:tc>
        <w:tc>
          <w:tcPr>
            <w:tcW w:w="2126" w:type="dxa"/>
            <w:noWrap w:val="0"/>
            <w:vAlign w:val="center"/>
          </w:tcPr>
          <w:p w14:paraId="7531770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芘</w:t>
            </w:r>
          </w:p>
        </w:tc>
        <w:tc>
          <w:tcPr>
            <w:tcW w:w="1985" w:type="dxa"/>
            <w:noWrap w:val="0"/>
            <w:vAlign w:val="center"/>
          </w:tcPr>
          <w:p w14:paraId="7EEE6AA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50-32-8</w:t>
            </w:r>
          </w:p>
        </w:tc>
        <w:tc>
          <w:tcPr>
            <w:tcW w:w="1701" w:type="dxa"/>
            <w:noWrap w:val="0"/>
            <w:vAlign w:val="center"/>
          </w:tcPr>
          <w:p w14:paraId="2AD1031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1892" w:type="dxa"/>
            <w:noWrap w:val="0"/>
            <w:vAlign w:val="center"/>
          </w:tcPr>
          <w:p w14:paraId="0033267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r>
      <w:tr w14:paraId="50DB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05D3B6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c>
          <w:tcPr>
            <w:tcW w:w="2126" w:type="dxa"/>
            <w:noWrap w:val="0"/>
            <w:vAlign w:val="center"/>
          </w:tcPr>
          <w:p w14:paraId="66D5DB8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b</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荧蒽</w:t>
            </w:r>
          </w:p>
        </w:tc>
        <w:tc>
          <w:tcPr>
            <w:tcW w:w="1985" w:type="dxa"/>
            <w:noWrap w:val="0"/>
            <w:vAlign w:val="center"/>
          </w:tcPr>
          <w:p w14:paraId="0DF09CF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205-99-</w:t>
            </w:r>
          </w:p>
        </w:tc>
        <w:tc>
          <w:tcPr>
            <w:tcW w:w="1701" w:type="dxa"/>
            <w:noWrap w:val="0"/>
            <w:vAlign w:val="center"/>
          </w:tcPr>
          <w:p w14:paraId="0C0DCC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1892" w:type="dxa"/>
            <w:noWrap w:val="0"/>
            <w:vAlign w:val="center"/>
          </w:tcPr>
          <w:p w14:paraId="2B16934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151</w:t>
            </w:r>
          </w:p>
        </w:tc>
      </w:tr>
      <w:tr w14:paraId="76D3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403DBF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41</w:t>
            </w:r>
          </w:p>
        </w:tc>
        <w:tc>
          <w:tcPr>
            <w:tcW w:w="2126" w:type="dxa"/>
            <w:noWrap w:val="0"/>
            <w:vAlign w:val="center"/>
          </w:tcPr>
          <w:p w14:paraId="2C7A3D5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苯并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k</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荧蒽</w:t>
            </w:r>
          </w:p>
        </w:tc>
        <w:tc>
          <w:tcPr>
            <w:tcW w:w="1985" w:type="dxa"/>
            <w:noWrap w:val="0"/>
            <w:vAlign w:val="center"/>
          </w:tcPr>
          <w:p w14:paraId="1482CE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207-08-9</w:t>
            </w:r>
          </w:p>
        </w:tc>
        <w:tc>
          <w:tcPr>
            <w:tcW w:w="1701" w:type="dxa"/>
            <w:noWrap w:val="0"/>
            <w:vAlign w:val="center"/>
          </w:tcPr>
          <w:p w14:paraId="307B469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151</w:t>
            </w:r>
          </w:p>
        </w:tc>
        <w:tc>
          <w:tcPr>
            <w:tcW w:w="1892" w:type="dxa"/>
            <w:noWrap w:val="0"/>
            <w:vAlign w:val="center"/>
          </w:tcPr>
          <w:p w14:paraId="401C106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1500</w:t>
            </w:r>
          </w:p>
        </w:tc>
      </w:tr>
      <w:tr w14:paraId="05D2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6105A07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42</w:t>
            </w:r>
          </w:p>
        </w:tc>
        <w:tc>
          <w:tcPr>
            <w:tcW w:w="2126" w:type="dxa"/>
            <w:noWrap w:val="0"/>
            <w:vAlign w:val="center"/>
          </w:tcPr>
          <w:p w14:paraId="13688FD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䓛</w:t>
            </w:r>
          </w:p>
        </w:tc>
        <w:tc>
          <w:tcPr>
            <w:tcW w:w="1985" w:type="dxa"/>
            <w:noWrap w:val="0"/>
            <w:vAlign w:val="center"/>
          </w:tcPr>
          <w:p w14:paraId="5C7E483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218-01-9</w:t>
            </w:r>
          </w:p>
        </w:tc>
        <w:tc>
          <w:tcPr>
            <w:tcW w:w="1701" w:type="dxa"/>
            <w:noWrap w:val="0"/>
            <w:vAlign w:val="center"/>
          </w:tcPr>
          <w:p w14:paraId="512EED0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1293</w:t>
            </w:r>
          </w:p>
        </w:tc>
        <w:tc>
          <w:tcPr>
            <w:tcW w:w="1892" w:type="dxa"/>
            <w:noWrap w:val="0"/>
            <w:vAlign w:val="center"/>
          </w:tcPr>
          <w:p w14:paraId="1BB6E30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12900</w:t>
            </w:r>
          </w:p>
        </w:tc>
      </w:tr>
      <w:tr w14:paraId="7550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AD3BDF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43</w:t>
            </w:r>
          </w:p>
        </w:tc>
        <w:tc>
          <w:tcPr>
            <w:tcW w:w="2126" w:type="dxa"/>
            <w:noWrap w:val="0"/>
            <w:vAlign w:val="center"/>
          </w:tcPr>
          <w:p w14:paraId="4150064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二苯并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h</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蒽</w:t>
            </w:r>
          </w:p>
        </w:tc>
        <w:tc>
          <w:tcPr>
            <w:tcW w:w="1985" w:type="dxa"/>
            <w:noWrap w:val="0"/>
            <w:vAlign w:val="center"/>
          </w:tcPr>
          <w:p w14:paraId="066700B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53-70-3</w:t>
            </w:r>
          </w:p>
        </w:tc>
        <w:tc>
          <w:tcPr>
            <w:tcW w:w="1701" w:type="dxa"/>
            <w:noWrap w:val="0"/>
            <w:vAlign w:val="center"/>
          </w:tcPr>
          <w:p w14:paraId="5E7854C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1892" w:type="dxa"/>
            <w:noWrap w:val="0"/>
            <w:vAlign w:val="center"/>
          </w:tcPr>
          <w:p w14:paraId="573C6D6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r>
      <w:tr w14:paraId="539E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13D2D38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44</w:t>
            </w:r>
          </w:p>
        </w:tc>
        <w:tc>
          <w:tcPr>
            <w:tcW w:w="2126" w:type="dxa"/>
            <w:noWrap w:val="0"/>
            <w:vAlign w:val="center"/>
          </w:tcPr>
          <w:p w14:paraId="1C60526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茚并</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3-cd</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芘</w:t>
            </w:r>
          </w:p>
        </w:tc>
        <w:tc>
          <w:tcPr>
            <w:tcW w:w="1985" w:type="dxa"/>
            <w:noWrap w:val="0"/>
            <w:vAlign w:val="center"/>
          </w:tcPr>
          <w:p w14:paraId="1AA4FB2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193-39-5</w:t>
            </w:r>
          </w:p>
        </w:tc>
        <w:tc>
          <w:tcPr>
            <w:tcW w:w="1701" w:type="dxa"/>
            <w:noWrap w:val="0"/>
            <w:vAlign w:val="center"/>
          </w:tcPr>
          <w:p w14:paraId="1A1D628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w:t>
            </w:r>
          </w:p>
        </w:tc>
        <w:tc>
          <w:tcPr>
            <w:tcW w:w="1892" w:type="dxa"/>
            <w:noWrap w:val="0"/>
            <w:vAlign w:val="center"/>
          </w:tcPr>
          <w:p w14:paraId="7AA8D46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151</w:t>
            </w:r>
          </w:p>
        </w:tc>
      </w:tr>
      <w:tr w14:paraId="79F0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6448CD9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45</w:t>
            </w:r>
          </w:p>
        </w:tc>
        <w:tc>
          <w:tcPr>
            <w:tcW w:w="2126" w:type="dxa"/>
            <w:noWrap w:val="0"/>
            <w:vAlign w:val="center"/>
          </w:tcPr>
          <w:p w14:paraId="134F2A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萘</w:t>
            </w:r>
          </w:p>
        </w:tc>
        <w:tc>
          <w:tcPr>
            <w:tcW w:w="1985" w:type="dxa"/>
            <w:noWrap w:val="0"/>
            <w:vAlign w:val="center"/>
          </w:tcPr>
          <w:p w14:paraId="1D82819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91-20-3</w:t>
            </w:r>
          </w:p>
        </w:tc>
        <w:tc>
          <w:tcPr>
            <w:tcW w:w="1701" w:type="dxa"/>
            <w:noWrap w:val="0"/>
            <w:vAlign w:val="center"/>
          </w:tcPr>
          <w:p w14:paraId="378D7BA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c>
          <w:tcPr>
            <w:tcW w:w="1892" w:type="dxa"/>
            <w:noWrap w:val="0"/>
            <w:vAlign w:val="center"/>
          </w:tcPr>
          <w:p w14:paraId="6EBCF37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700</w:t>
            </w:r>
          </w:p>
        </w:tc>
      </w:tr>
      <w:tr w14:paraId="65A7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7" w:type="dxa"/>
            <w:noWrap w:val="0"/>
            <w:vAlign w:val="center"/>
          </w:tcPr>
          <w:p w14:paraId="78CBC33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2126" w:type="dxa"/>
            <w:noWrap w:val="0"/>
            <w:vAlign w:val="center"/>
          </w:tcPr>
          <w:p w14:paraId="2D6AFC89">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石油烃</w:t>
            </w:r>
          </w:p>
        </w:tc>
        <w:tc>
          <w:tcPr>
            <w:tcW w:w="1985" w:type="dxa"/>
            <w:noWrap w:val="0"/>
            <w:vAlign w:val="center"/>
          </w:tcPr>
          <w:p w14:paraId="432152CD">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701" w:type="dxa"/>
            <w:noWrap w:val="0"/>
            <w:vAlign w:val="center"/>
          </w:tcPr>
          <w:p w14:paraId="31CCE76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892" w:type="dxa"/>
            <w:noWrap w:val="0"/>
            <w:vAlign w:val="center"/>
          </w:tcPr>
          <w:p w14:paraId="7C6DDFC2">
            <w:pPr>
              <w:pStyle w:val="43"/>
              <w:bidi w:val="0"/>
              <w:rPr>
                <w:rFonts w:hint="default" w:ascii="Times New Roman" w:hAnsi="Times New Roman" w:cs="Times New Roman"/>
                <w:color w:val="000000" w:themeColor="text1"/>
                <w:highlight w:val="none"/>
                <w14:textFill>
                  <w14:solidFill>
                    <w14:schemeClr w14:val="tx1"/>
                  </w14:solidFill>
                </w14:textFill>
              </w:rPr>
            </w:pPr>
          </w:p>
        </w:tc>
      </w:tr>
    </w:tbl>
    <w:p w14:paraId="33EF67D0">
      <w:pPr>
        <w:pStyle w:val="45"/>
        <w:bidi w:val="0"/>
        <w:rPr>
          <w:rFonts w:hint="default"/>
        </w:rPr>
      </w:pPr>
      <w:r>
        <w:rPr>
          <w:rFonts w:hint="default"/>
        </w:rPr>
        <w:t>表</w:t>
      </w:r>
      <w:r>
        <w:rPr>
          <w:rFonts w:hint="default"/>
          <w:lang w:val="en-US" w:eastAsia="zh-CN"/>
        </w:rPr>
        <w:t>1</w:t>
      </w:r>
      <w:r>
        <w:rPr>
          <w:rFonts w:hint="default"/>
        </w:rPr>
        <w:t>.5-5  农用地土壤污染风险筛选值（基本项目）  单位：mg/kg</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345"/>
        <w:gridCol w:w="1486"/>
        <w:gridCol w:w="1594"/>
        <w:gridCol w:w="1611"/>
        <w:gridCol w:w="1564"/>
      </w:tblGrid>
      <w:tr w14:paraId="5CBB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69" w:type="dxa"/>
            <w:gridSpan w:val="2"/>
            <w:noWrap w:val="0"/>
            <w:vAlign w:val="center"/>
          </w:tcPr>
          <w:p w14:paraId="2B4DECE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污染物项目</w:t>
            </w:r>
          </w:p>
        </w:tc>
        <w:tc>
          <w:tcPr>
            <w:tcW w:w="1487" w:type="dxa"/>
            <w:noWrap w:val="0"/>
            <w:vAlign w:val="center"/>
          </w:tcPr>
          <w:p w14:paraId="63912DC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pH≤5.5</w:t>
            </w:r>
          </w:p>
        </w:tc>
        <w:tc>
          <w:tcPr>
            <w:tcW w:w="1595" w:type="dxa"/>
            <w:noWrap w:val="0"/>
            <w:vAlign w:val="center"/>
          </w:tcPr>
          <w:p w14:paraId="3187766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5.5＜pH≤6.5</w:t>
            </w:r>
          </w:p>
        </w:tc>
        <w:tc>
          <w:tcPr>
            <w:tcW w:w="1612" w:type="dxa"/>
            <w:noWrap w:val="0"/>
            <w:vAlign w:val="top"/>
          </w:tcPr>
          <w:p w14:paraId="28B18EB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6.5＜pH≤7.5</w:t>
            </w:r>
          </w:p>
        </w:tc>
        <w:tc>
          <w:tcPr>
            <w:tcW w:w="1565" w:type="dxa"/>
            <w:noWrap w:val="0"/>
            <w:vAlign w:val="center"/>
          </w:tcPr>
          <w:p w14:paraId="07614CB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pH＞7.5</w:t>
            </w:r>
          </w:p>
        </w:tc>
      </w:tr>
      <w:tr w14:paraId="4B8D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3A13AB0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镉</w:t>
            </w:r>
          </w:p>
        </w:tc>
        <w:tc>
          <w:tcPr>
            <w:tcW w:w="1346" w:type="dxa"/>
            <w:noWrap w:val="0"/>
            <w:vAlign w:val="center"/>
          </w:tcPr>
          <w:p w14:paraId="71FD99A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6B5933C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0.3</w:t>
            </w:r>
          </w:p>
        </w:tc>
        <w:tc>
          <w:tcPr>
            <w:tcW w:w="1595" w:type="dxa"/>
            <w:noWrap w:val="0"/>
            <w:vAlign w:val="center"/>
          </w:tcPr>
          <w:p w14:paraId="6176A32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0.4</w:t>
            </w:r>
          </w:p>
        </w:tc>
        <w:tc>
          <w:tcPr>
            <w:tcW w:w="1612" w:type="dxa"/>
            <w:noWrap w:val="0"/>
            <w:vAlign w:val="top"/>
          </w:tcPr>
          <w:p w14:paraId="3060AA0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0.6</w:t>
            </w:r>
          </w:p>
        </w:tc>
        <w:tc>
          <w:tcPr>
            <w:tcW w:w="1565" w:type="dxa"/>
            <w:noWrap w:val="0"/>
            <w:vAlign w:val="center"/>
          </w:tcPr>
          <w:p w14:paraId="33112A4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0.8</w:t>
            </w:r>
          </w:p>
        </w:tc>
      </w:tr>
      <w:tr w14:paraId="6B31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57B2FACD">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61C6444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75F54EF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0.3</w:t>
            </w:r>
          </w:p>
        </w:tc>
        <w:tc>
          <w:tcPr>
            <w:tcW w:w="1595" w:type="dxa"/>
            <w:noWrap w:val="0"/>
            <w:vAlign w:val="center"/>
          </w:tcPr>
          <w:p w14:paraId="38DB242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0.3</w:t>
            </w:r>
          </w:p>
        </w:tc>
        <w:tc>
          <w:tcPr>
            <w:tcW w:w="1612" w:type="dxa"/>
            <w:noWrap w:val="0"/>
            <w:vAlign w:val="top"/>
          </w:tcPr>
          <w:p w14:paraId="6141FC8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0.3</w:t>
            </w:r>
          </w:p>
        </w:tc>
        <w:tc>
          <w:tcPr>
            <w:tcW w:w="1565" w:type="dxa"/>
            <w:noWrap w:val="0"/>
            <w:vAlign w:val="center"/>
          </w:tcPr>
          <w:p w14:paraId="599BA56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0.6</w:t>
            </w:r>
          </w:p>
        </w:tc>
      </w:tr>
      <w:tr w14:paraId="3CC3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5D70EDC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汞</w:t>
            </w:r>
          </w:p>
        </w:tc>
        <w:tc>
          <w:tcPr>
            <w:tcW w:w="1346" w:type="dxa"/>
            <w:noWrap w:val="0"/>
            <w:vAlign w:val="center"/>
          </w:tcPr>
          <w:p w14:paraId="4A2B0A2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2EA08D3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0.5</w:t>
            </w:r>
          </w:p>
        </w:tc>
        <w:tc>
          <w:tcPr>
            <w:tcW w:w="1595" w:type="dxa"/>
            <w:noWrap w:val="0"/>
            <w:vAlign w:val="center"/>
          </w:tcPr>
          <w:p w14:paraId="21AFF8D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0.5</w:t>
            </w:r>
          </w:p>
        </w:tc>
        <w:tc>
          <w:tcPr>
            <w:tcW w:w="1612" w:type="dxa"/>
            <w:noWrap w:val="0"/>
            <w:vAlign w:val="top"/>
          </w:tcPr>
          <w:p w14:paraId="717EBB2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0.6</w:t>
            </w:r>
          </w:p>
        </w:tc>
        <w:tc>
          <w:tcPr>
            <w:tcW w:w="1565" w:type="dxa"/>
            <w:noWrap w:val="0"/>
            <w:vAlign w:val="center"/>
          </w:tcPr>
          <w:p w14:paraId="7287A8B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r>
      <w:tr w14:paraId="7839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2755BC9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731422E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70841B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1.3</w:t>
            </w:r>
          </w:p>
        </w:tc>
        <w:tc>
          <w:tcPr>
            <w:tcW w:w="1595" w:type="dxa"/>
            <w:noWrap w:val="0"/>
            <w:vAlign w:val="center"/>
          </w:tcPr>
          <w:p w14:paraId="36C8B5D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1.8</w:t>
            </w:r>
          </w:p>
        </w:tc>
        <w:tc>
          <w:tcPr>
            <w:tcW w:w="1612" w:type="dxa"/>
            <w:noWrap w:val="0"/>
            <w:vAlign w:val="top"/>
          </w:tcPr>
          <w:p w14:paraId="35D4E76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w:t>
            </w:r>
          </w:p>
        </w:tc>
        <w:tc>
          <w:tcPr>
            <w:tcW w:w="1565" w:type="dxa"/>
            <w:noWrap w:val="0"/>
            <w:vAlign w:val="center"/>
          </w:tcPr>
          <w:p w14:paraId="0AE93C8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3.4</w:t>
            </w:r>
          </w:p>
        </w:tc>
      </w:tr>
      <w:tr w14:paraId="4DB7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02A6BE5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砷</w:t>
            </w:r>
          </w:p>
        </w:tc>
        <w:tc>
          <w:tcPr>
            <w:tcW w:w="1346" w:type="dxa"/>
            <w:noWrap w:val="0"/>
            <w:vAlign w:val="center"/>
          </w:tcPr>
          <w:p w14:paraId="05709AF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6E7ACF5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c>
          <w:tcPr>
            <w:tcW w:w="1595" w:type="dxa"/>
            <w:noWrap w:val="0"/>
            <w:vAlign w:val="center"/>
          </w:tcPr>
          <w:p w14:paraId="042C09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c>
          <w:tcPr>
            <w:tcW w:w="1612" w:type="dxa"/>
            <w:noWrap w:val="0"/>
            <w:vAlign w:val="top"/>
          </w:tcPr>
          <w:p w14:paraId="3FA34E2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w:t>
            </w:r>
          </w:p>
        </w:tc>
        <w:tc>
          <w:tcPr>
            <w:tcW w:w="1565" w:type="dxa"/>
            <w:noWrap w:val="0"/>
            <w:vAlign w:val="center"/>
          </w:tcPr>
          <w:p w14:paraId="3934C7E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r>
      <w:tr w14:paraId="0630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6EC0018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15139B4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2FCC374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c>
          <w:tcPr>
            <w:tcW w:w="1595" w:type="dxa"/>
            <w:noWrap w:val="0"/>
            <w:vAlign w:val="center"/>
          </w:tcPr>
          <w:p w14:paraId="4DF533C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c>
          <w:tcPr>
            <w:tcW w:w="1612" w:type="dxa"/>
            <w:noWrap w:val="0"/>
            <w:vAlign w:val="top"/>
          </w:tcPr>
          <w:p w14:paraId="0FA0AAA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w:t>
            </w:r>
          </w:p>
        </w:tc>
        <w:tc>
          <w:tcPr>
            <w:tcW w:w="1565" w:type="dxa"/>
            <w:noWrap w:val="0"/>
            <w:vAlign w:val="center"/>
          </w:tcPr>
          <w:p w14:paraId="0E7F6F2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w:t>
            </w:r>
          </w:p>
        </w:tc>
      </w:tr>
      <w:tr w14:paraId="5B55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12548D8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铅</w:t>
            </w:r>
          </w:p>
        </w:tc>
        <w:tc>
          <w:tcPr>
            <w:tcW w:w="1346" w:type="dxa"/>
            <w:noWrap w:val="0"/>
            <w:vAlign w:val="center"/>
          </w:tcPr>
          <w:p w14:paraId="7F83482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00A0005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80</w:t>
            </w:r>
          </w:p>
        </w:tc>
        <w:tc>
          <w:tcPr>
            <w:tcW w:w="1595" w:type="dxa"/>
            <w:noWrap w:val="0"/>
            <w:vAlign w:val="center"/>
          </w:tcPr>
          <w:p w14:paraId="726279B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c>
          <w:tcPr>
            <w:tcW w:w="1612" w:type="dxa"/>
            <w:noWrap w:val="0"/>
            <w:vAlign w:val="top"/>
          </w:tcPr>
          <w:p w14:paraId="7EF2E27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140</w:t>
            </w:r>
          </w:p>
        </w:tc>
        <w:tc>
          <w:tcPr>
            <w:tcW w:w="1565" w:type="dxa"/>
            <w:noWrap w:val="0"/>
            <w:vAlign w:val="center"/>
          </w:tcPr>
          <w:p w14:paraId="7B3794E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240</w:t>
            </w:r>
          </w:p>
        </w:tc>
      </w:tr>
      <w:tr w14:paraId="42F2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5D3593D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2FD4B45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138E83D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c>
          <w:tcPr>
            <w:tcW w:w="1595" w:type="dxa"/>
            <w:noWrap w:val="0"/>
            <w:vAlign w:val="center"/>
          </w:tcPr>
          <w:p w14:paraId="3BD565E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90</w:t>
            </w:r>
          </w:p>
        </w:tc>
        <w:tc>
          <w:tcPr>
            <w:tcW w:w="1612" w:type="dxa"/>
            <w:noWrap w:val="0"/>
            <w:vAlign w:val="top"/>
          </w:tcPr>
          <w:p w14:paraId="6B8C3D7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120</w:t>
            </w:r>
          </w:p>
        </w:tc>
        <w:tc>
          <w:tcPr>
            <w:tcW w:w="1565" w:type="dxa"/>
            <w:noWrap w:val="0"/>
            <w:vAlign w:val="center"/>
          </w:tcPr>
          <w:p w14:paraId="18E5291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170</w:t>
            </w:r>
          </w:p>
        </w:tc>
      </w:tr>
      <w:tr w14:paraId="6573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6A94712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铬</w:t>
            </w:r>
          </w:p>
        </w:tc>
        <w:tc>
          <w:tcPr>
            <w:tcW w:w="1346" w:type="dxa"/>
            <w:noWrap w:val="0"/>
            <w:vAlign w:val="center"/>
          </w:tcPr>
          <w:p w14:paraId="0FDF501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71B1CCC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w:t>
            </w:r>
          </w:p>
        </w:tc>
        <w:tc>
          <w:tcPr>
            <w:tcW w:w="1595" w:type="dxa"/>
            <w:noWrap w:val="0"/>
            <w:vAlign w:val="center"/>
          </w:tcPr>
          <w:p w14:paraId="2EDCE30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w:t>
            </w:r>
          </w:p>
        </w:tc>
        <w:tc>
          <w:tcPr>
            <w:tcW w:w="1612" w:type="dxa"/>
            <w:noWrap w:val="0"/>
            <w:vAlign w:val="top"/>
          </w:tcPr>
          <w:p w14:paraId="41CA1EC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300</w:t>
            </w:r>
          </w:p>
        </w:tc>
        <w:tc>
          <w:tcPr>
            <w:tcW w:w="1565" w:type="dxa"/>
            <w:noWrap w:val="0"/>
            <w:vAlign w:val="center"/>
          </w:tcPr>
          <w:p w14:paraId="7FAF9BF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350</w:t>
            </w:r>
          </w:p>
        </w:tc>
      </w:tr>
      <w:tr w14:paraId="52C4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578471AF">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6ADC12B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314B07C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w:t>
            </w:r>
          </w:p>
        </w:tc>
        <w:tc>
          <w:tcPr>
            <w:tcW w:w="1595" w:type="dxa"/>
            <w:noWrap w:val="0"/>
            <w:vAlign w:val="center"/>
          </w:tcPr>
          <w:p w14:paraId="3CFB9D6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w:t>
            </w:r>
          </w:p>
        </w:tc>
        <w:tc>
          <w:tcPr>
            <w:tcW w:w="1612" w:type="dxa"/>
            <w:noWrap w:val="0"/>
            <w:vAlign w:val="top"/>
          </w:tcPr>
          <w:p w14:paraId="6C0A15D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1565" w:type="dxa"/>
            <w:noWrap w:val="0"/>
            <w:vAlign w:val="center"/>
          </w:tcPr>
          <w:p w14:paraId="3F0E336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w:t>
            </w:r>
          </w:p>
        </w:tc>
      </w:tr>
      <w:tr w14:paraId="0BF7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restart"/>
            <w:noWrap w:val="0"/>
            <w:vAlign w:val="center"/>
          </w:tcPr>
          <w:p w14:paraId="4AD04DC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铜</w:t>
            </w:r>
          </w:p>
        </w:tc>
        <w:tc>
          <w:tcPr>
            <w:tcW w:w="1346" w:type="dxa"/>
            <w:noWrap w:val="0"/>
            <w:vAlign w:val="center"/>
          </w:tcPr>
          <w:p w14:paraId="7C20A6E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水田</w:t>
            </w:r>
          </w:p>
        </w:tc>
        <w:tc>
          <w:tcPr>
            <w:tcW w:w="1487" w:type="dxa"/>
            <w:noWrap w:val="0"/>
            <w:vAlign w:val="center"/>
          </w:tcPr>
          <w:p w14:paraId="3DAD78B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w:t>
            </w:r>
          </w:p>
        </w:tc>
        <w:tc>
          <w:tcPr>
            <w:tcW w:w="1595" w:type="dxa"/>
            <w:noWrap w:val="0"/>
            <w:vAlign w:val="center"/>
          </w:tcPr>
          <w:p w14:paraId="7E6D59D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150</w:t>
            </w:r>
          </w:p>
        </w:tc>
        <w:tc>
          <w:tcPr>
            <w:tcW w:w="1612" w:type="dxa"/>
            <w:noWrap w:val="0"/>
            <w:vAlign w:val="top"/>
          </w:tcPr>
          <w:p w14:paraId="4637F58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1565" w:type="dxa"/>
            <w:noWrap w:val="0"/>
            <w:vAlign w:val="center"/>
          </w:tcPr>
          <w:p w14:paraId="6579D72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r>
      <w:tr w14:paraId="2B61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3" w:type="dxa"/>
            <w:vMerge w:val="continue"/>
            <w:noWrap w:val="0"/>
            <w:vAlign w:val="center"/>
          </w:tcPr>
          <w:p w14:paraId="17CCAE5D">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346" w:type="dxa"/>
            <w:noWrap w:val="0"/>
            <w:vAlign w:val="center"/>
          </w:tcPr>
          <w:p w14:paraId="5076EAB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1487" w:type="dxa"/>
            <w:noWrap w:val="0"/>
            <w:vAlign w:val="center"/>
          </w:tcPr>
          <w:p w14:paraId="65F7189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50</w:t>
            </w:r>
          </w:p>
        </w:tc>
        <w:tc>
          <w:tcPr>
            <w:tcW w:w="1595" w:type="dxa"/>
            <w:noWrap w:val="0"/>
            <w:vAlign w:val="center"/>
          </w:tcPr>
          <w:p w14:paraId="13AE91B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50</w:t>
            </w:r>
          </w:p>
        </w:tc>
        <w:tc>
          <w:tcPr>
            <w:tcW w:w="1612" w:type="dxa"/>
            <w:noWrap w:val="0"/>
            <w:vAlign w:val="top"/>
          </w:tcPr>
          <w:p w14:paraId="3853CBF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c>
          <w:tcPr>
            <w:tcW w:w="1565" w:type="dxa"/>
            <w:noWrap w:val="0"/>
            <w:vAlign w:val="center"/>
          </w:tcPr>
          <w:p w14:paraId="6B039DC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r>
      <w:tr w14:paraId="525A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gridSpan w:val="2"/>
            <w:noWrap w:val="0"/>
            <w:vAlign w:val="center"/>
          </w:tcPr>
          <w:p w14:paraId="4D0031A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镍</w:t>
            </w:r>
          </w:p>
        </w:tc>
        <w:tc>
          <w:tcPr>
            <w:tcW w:w="1487" w:type="dxa"/>
            <w:noWrap w:val="0"/>
            <w:vAlign w:val="center"/>
          </w:tcPr>
          <w:p w14:paraId="3D5D086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60</w:t>
            </w:r>
          </w:p>
        </w:tc>
        <w:tc>
          <w:tcPr>
            <w:tcW w:w="1595" w:type="dxa"/>
            <w:noWrap w:val="0"/>
            <w:vAlign w:val="center"/>
          </w:tcPr>
          <w:p w14:paraId="3C5B792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c>
          <w:tcPr>
            <w:tcW w:w="1612" w:type="dxa"/>
            <w:noWrap w:val="0"/>
            <w:vAlign w:val="top"/>
          </w:tcPr>
          <w:p w14:paraId="56B53AD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c>
          <w:tcPr>
            <w:tcW w:w="1565" w:type="dxa"/>
            <w:noWrap w:val="0"/>
            <w:vAlign w:val="center"/>
          </w:tcPr>
          <w:p w14:paraId="06F2161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190</w:t>
            </w:r>
          </w:p>
        </w:tc>
      </w:tr>
      <w:tr w14:paraId="5914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gridSpan w:val="2"/>
            <w:noWrap w:val="0"/>
            <w:vAlign w:val="center"/>
          </w:tcPr>
          <w:p w14:paraId="1628493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锌</w:t>
            </w:r>
          </w:p>
        </w:tc>
        <w:tc>
          <w:tcPr>
            <w:tcW w:w="1487" w:type="dxa"/>
            <w:noWrap w:val="0"/>
            <w:vAlign w:val="center"/>
          </w:tcPr>
          <w:p w14:paraId="2C4FBC5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1595" w:type="dxa"/>
            <w:noWrap w:val="0"/>
            <w:vAlign w:val="center"/>
          </w:tcPr>
          <w:p w14:paraId="774E1CB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w:t>
            </w:r>
          </w:p>
        </w:tc>
        <w:tc>
          <w:tcPr>
            <w:tcW w:w="1612" w:type="dxa"/>
            <w:noWrap w:val="0"/>
            <w:vAlign w:val="top"/>
          </w:tcPr>
          <w:p w14:paraId="3BF13EC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w:t>
            </w:r>
          </w:p>
        </w:tc>
        <w:tc>
          <w:tcPr>
            <w:tcW w:w="1565" w:type="dxa"/>
            <w:noWrap w:val="0"/>
            <w:vAlign w:val="center"/>
          </w:tcPr>
          <w:p w14:paraId="2B080BC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300</w:t>
            </w:r>
          </w:p>
        </w:tc>
      </w:tr>
    </w:tbl>
    <w:p w14:paraId="69FE7BB8">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61" w:name="_Toc22665"/>
      <w:bookmarkStart w:id="62" w:name="_Toc14724"/>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.2污染物排放标准</w:t>
      </w:r>
      <w:bookmarkEnd w:id="61"/>
      <w:bookmarkEnd w:id="62"/>
    </w:p>
    <w:p w14:paraId="046F4409">
      <w:pPr>
        <w:pStyle w:val="41"/>
        <w:bidi w:val="0"/>
        <w:rPr>
          <w:rFonts w:hint="default"/>
          <w:b/>
          <w:bCs/>
        </w:rPr>
      </w:pPr>
      <w:r>
        <w:rPr>
          <w:rFonts w:hint="default"/>
          <w:b/>
          <w:bCs/>
          <w:lang w:eastAsia="zh-CN"/>
        </w:rPr>
        <w:t>（</w:t>
      </w:r>
      <w:r>
        <w:rPr>
          <w:rFonts w:hint="default"/>
          <w:b/>
          <w:bCs/>
          <w:lang w:val="en-US" w:eastAsia="zh-CN"/>
        </w:rPr>
        <w:t>1）</w:t>
      </w:r>
      <w:r>
        <w:rPr>
          <w:rFonts w:hint="default"/>
          <w:b/>
          <w:bCs/>
        </w:rPr>
        <w:t>大气污染物</w:t>
      </w:r>
    </w:p>
    <w:p w14:paraId="29FFA78A">
      <w:pPr>
        <w:pStyle w:val="41"/>
        <w:bidi w:val="0"/>
        <w:rPr>
          <w:rFonts w:hint="default"/>
        </w:rPr>
      </w:pPr>
      <w:r>
        <w:rPr>
          <w:rFonts w:hint="eastAsia"/>
          <w:lang w:val="en-US" w:eastAsia="zh-CN"/>
        </w:rPr>
        <w:t>1）</w:t>
      </w:r>
      <w:r>
        <w:rPr>
          <w:rFonts w:hint="default"/>
          <w:lang w:val="en-US" w:eastAsia="zh-CN"/>
        </w:rPr>
        <w:t>施工期：</w:t>
      </w:r>
      <w:r>
        <w:rPr>
          <w:rFonts w:hint="default"/>
        </w:rPr>
        <w:t>施工期颗粒物排放执行</w:t>
      </w:r>
      <w:r>
        <w:rPr>
          <w:rFonts w:hint="eastAsia"/>
          <w:lang w:eastAsia="zh-CN"/>
        </w:rPr>
        <w:t>《</w:t>
      </w:r>
      <w:r>
        <w:rPr>
          <w:rFonts w:hint="default"/>
        </w:rPr>
        <w:t>大气污染物综合排放标准》（GB 16297-1996）表2新污染源大气污染物无组织排放浓度限值</w:t>
      </w:r>
      <w:r>
        <w:rPr>
          <w:rFonts w:hint="default"/>
          <w:lang w:eastAsia="zh-CN"/>
        </w:rPr>
        <w:t>，</w:t>
      </w:r>
      <w:r>
        <w:rPr>
          <w:rFonts w:hint="default"/>
        </w:rPr>
        <w:t>即周界外浓度最高点1.0mg/</w:t>
      </w:r>
      <w:r>
        <w:rPr>
          <w:rFonts w:hint="eastAsia"/>
          <w:lang w:eastAsia="zh-CN"/>
        </w:rPr>
        <w:t>m</w:t>
      </w:r>
      <w:r>
        <w:rPr>
          <w:rFonts w:hint="eastAsia"/>
          <w:vertAlign w:val="superscript"/>
          <w:lang w:eastAsia="zh-CN"/>
        </w:rPr>
        <w:t>3</w:t>
      </w:r>
      <w:r>
        <w:rPr>
          <w:rFonts w:hint="default"/>
        </w:rPr>
        <w:t>。</w:t>
      </w:r>
    </w:p>
    <w:p w14:paraId="4D2D9007">
      <w:pPr>
        <w:ind w:left="0" w:leftChars="0" w:firstLine="0" w:firstLineChars="0"/>
        <w:jc w:val="center"/>
        <w:rPr>
          <w:rFonts w:hint="eastAsia"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1.5-6 </w:t>
      </w:r>
      <w:r>
        <w:rPr>
          <w:rFonts w:hint="default" w:ascii="Times New Roman" w:hAnsi="Times New Roman" w:cs="Times New Roman"/>
          <w:b/>
          <w:bCs/>
          <w:color w:val="000000" w:themeColor="text1"/>
          <w:highlight w:val="none"/>
          <w14:textFill>
            <w14:solidFill>
              <w14:schemeClr w14:val="tx1"/>
            </w14:solidFill>
          </w14:textFill>
        </w:rPr>
        <w:t xml:space="preserve"> 大气污染物排放标准单位：mg/</w:t>
      </w:r>
      <w:r>
        <w:rPr>
          <w:rFonts w:hint="eastAsia" w:cs="Times New Roman"/>
          <w:b/>
          <w:bCs/>
          <w:color w:val="000000" w:themeColor="text1"/>
          <w:highlight w:val="none"/>
          <w:lang w:eastAsia="zh-CN"/>
          <w14:textFill>
            <w14:solidFill>
              <w14:schemeClr w14:val="tx1"/>
            </w14:solidFill>
          </w14:textFill>
        </w:rPr>
        <w:t>m</w:t>
      </w:r>
      <w:r>
        <w:rPr>
          <w:rFonts w:hint="eastAsia" w:cs="Times New Roman"/>
          <w:b/>
          <w:bCs/>
          <w:color w:val="000000" w:themeColor="text1"/>
          <w:highlight w:val="none"/>
          <w:vertAlign w:val="superscript"/>
          <w:lang w:eastAsia="zh-CN"/>
          <w14:textFill>
            <w14:solidFill>
              <w14:schemeClr w14:val="tx1"/>
            </w14:solidFill>
          </w14:textFill>
        </w:rPr>
        <w:t>3</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3537"/>
        <w:gridCol w:w="3074"/>
      </w:tblGrid>
      <w:tr w14:paraId="04D2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95" w:type="dxa"/>
            <w:vMerge w:val="restart"/>
            <w:vAlign w:val="center"/>
          </w:tcPr>
          <w:p w14:paraId="633BFB85">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污染物</w:t>
            </w:r>
          </w:p>
        </w:tc>
        <w:tc>
          <w:tcPr>
            <w:tcW w:w="6232" w:type="dxa"/>
            <w:gridSpan w:val="2"/>
            <w:vAlign w:val="center"/>
          </w:tcPr>
          <w:p w14:paraId="321CE6A5">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无组织排放监控浓度限值</w:t>
            </w:r>
          </w:p>
        </w:tc>
      </w:tr>
      <w:tr w14:paraId="61F1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95" w:type="dxa"/>
            <w:vMerge w:val="continue"/>
            <w:vAlign w:val="center"/>
          </w:tcPr>
          <w:p w14:paraId="2BA56D85">
            <w:pPr>
              <w:pStyle w:val="43"/>
              <w:bidi w:val="0"/>
              <w:rPr>
                <w:rFonts w:hint="default" w:ascii="Times New Roman" w:hAnsi="Times New Roman" w:cs="Times New Roman"/>
                <w:b/>
                <w:bCs/>
                <w:color w:val="000000" w:themeColor="text1"/>
                <w:highlight w:val="none"/>
                <w14:textFill>
                  <w14:solidFill>
                    <w14:schemeClr w14:val="tx1"/>
                  </w14:solidFill>
                </w14:textFill>
              </w:rPr>
            </w:pPr>
          </w:p>
        </w:tc>
        <w:tc>
          <w:tcPr>
            <w:tcW w:w="3335" w:type="dxa"/>
            <w:vAlign w:val="center"/>
          </w:tcPr>
          <w:p w14:paraId="7D539BB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监控点</w:t>
            </w:r>
          </w:p>
        </w:tc>
        <w:tc>
          <w:tcPr>
            <w:tcW w:w="2897" w:type="dxa"/>
            <w:vAlign w:val="center"/>
          </w:tcPr>
          <w:p w14:paraId="7D1EB39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浓度（mg/</w:t>
            </w:r>
            <w:r>
              <w:rPr>
                <w:rFonts w:hint="eastAsia" w:cs="Times New Roman"/>
                <w:b/>
                <w:bCs/>
                <w:color w:val="000000" w:themeColor="text1"/>
                <w:highlight w:val="none"/>
                <w:lang w:eastAsia="zh-CN"/>
                <w14:textFill>
                  <w14:solidFill>
                    <w14:schemeClr w14:val="tx1"/>
                  </w14:solidFill>
                </w14:textFill>
              </w:rPr>
              <w:t>m</w:t>
            </w:r>
            <w:r>
              <w:rPr>
                <w:rFonts w:hint="eastAsia" w:cs="Times New Roman"/>
                <w:b/>
                <w:bCs/>
                <w:color w:val="000000" w:themeColor="text1"/>
                <w:highlight w:val="none"/>
                <w:vertAlign w:val="superscript"/>
                <w:lang w:eastAsia="zh-CN"/>
                <w14:textFill>
                  <w14:solidFill>
                    <w14:schemeClr w14:val="tx1"/>
                  </w14:solidFill>
                </w14:textFill>
              </w:rPr>
              <w:t>3</w:t>
            </w:r>
            <w:r>
              <w:rPr>
                <w:rFonts w:hint="default" w:ascii="Times New Roman" w:hAnsi="Times New Roman" w:cs="Times New Roman"/>
                <w:b/>
                <w:bCs/>
                <w:color w:val="000000" w:themeColor="text1"/>
                <w:highlight w:val="none"/>
                <w14:textFill>
                  <w14:solidFill>
                    <w14:schemeClr w14:val="tx1"/>
                  </w14:solidFill>
                </w14:textFill>
              </w:rPr>
              <w:t>）</w:t>
            </w:r>
          </w:p>
        </w:tc>
      </w:tr>
      <w:tr w14:paraId="1A3A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95" w:type="dxa"/>
            <w:vAlign w:val="center"/>
          </w:tcPr>
          <w:p w14:paraId="3CD8426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颗粒物</w:t>
            </w:r>
          </w:p>
        </w:tc>
        <w:tc>
          <w:tcPr>
            <w:tcW w:w="3335" w:type="dxa"/>
            <w:vAlign w:val="center"/>
          </w:tcPr>
          <w:p w14:paraId="3BFA6C6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周界外浓度最高点</w:t>
            </w:r>
          </w:p>
        </w:tc>
        <w:tc>
          <w:tcPr>
            <w:tcW w:w="2897" w:type="dxa"/>
            <w:vAlign w:val="center"/>
          </w:tcPr>
          <w:p w14:paraId="224DDDA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w:t>
            </w:r>
          </w:p>
        </w:tc>
      </w:tr>
    </w:tbl>
    <w:p w14:paraId="7A2564CA">
      <w:pPr>
        <w:pStyle w:val="41"/>
        <w:bidi w:val="0"/>
        <w:rPr>
          <w:rFonts w:hint="default"/>
          <w:lang w:val="en-US" w:eastAsia="zh-CN"/>
        </w:rPr>
      </w:pPr>
      <w:r>
        <w:rPr>
          <w:rFonts w:hint="eastAsia"/>
          <w:lang w:val="en-US" w:eastAsia="zh-CN"/>
        </w:rPr>
        <w:t>2）</w:t>
      </w:r>
      <w:r>
        <w:rPr>
          <w:rFonts w:hint="default"/>
          <w:lang w:val="en-US" w:eastAsia="zh-CN"/>
        </w:rPr>
        <w:t>运营期：运营期大气污染物主要为采场扬尘及爆破废气，</w:t>
      </w:r>
      <w:r>
        <w:rPr>
          <w:rFonts w:hint="eastAsia"/>
          <w:lang w:val="en-US" w:eastAsia="zh-CN"/>
        </w:rPr>
        <w:t>加工区</w:t>
      </w:r>
      <w:r>
        <w:rPr>
          <w:rFonts w:hint="default"/>
          <w:lang w:val="en-US" w:eastAsia="zh-CN"/>
        </w:rPr>
        <w:t>原矿加工、产品装卸产生的粉尘，道路运输、弃渣场及</w:t>
      </w:r>
      <w:r>
        <w:rPr>
          <w:rFonts w:hint="eastAsia"/>
          <w:lang w:val="en-US" w:eastAsia="zh-CN"/>
        </w:rPr>
        <w:t>表土堆场</w:t>
      </w:r>
      <w:r>
        <w:rPr>
          <w:rFonts w:hint="default"/>
          <w:lang w:val="en-US" w:eastAsia="zh-CN"/>
        </w:rPr>
        <w:t>扬尘，机械燃油废气</w:t>
      </w:r>
      <w:r>
        <w:rPr>
          <w:rFonts w:hint="eastAsia"/>
          <w:lang w:val="en-US" w:eastAsia="zh-CN"/>
        </w:rPr>
        <w:t>，粪污收集池恶臭</w:t>
      </w:r>
      <w:r>
        <w:rPr>
          <w:rFonts w:hint="default"/>
          <w:lang w:val="en-US" w:eastAsia="zh-CN"/>
        </w:rPr>
        <w:t>等。</w:t>
      </w:r>
    </w:p>
    <w:p w14:paraId="0BB7D4E0">
      <w:pPr>
        <w:pStyle w:val="41"/>
        <w:bidi w:val="0"/>
        <w:rPr>
          <w:rFonts w:hint="default"/>
          <w:lang w:val="en-US" w:eastAsia="zh-CN"/>
        </w:rPr>
      </w:pPr>
      <w:r>
        <w:rPr>
          <w:rFonts w:hint="eastAsia"/>
          <w:lang w:val="en-US" w:eastAsia="zh-CN"/>
        </w:rPr>
        <w:t>①颗粒物排放标准</w:t>
      </w:r>
    </w:p>
    <w:p w14:paraId="1326ACFF">
      <w:pPr>
        <w:pStyle w:val="41"/>
        <w:bidi w:val="0"/>
        <w:rPr>
          <w:rFonts w:hint="default"/>
          <w:lang w:eastAsia="zh-CN"/>
        </w:rPr>
      </w:pPr>
      <w:r>
        <w:rPr>
          <w:rFonts w:hint="default"/>
          <w:lang w:val="en-US" w:eastAsia="zh-CN"/>
        </w:rPr>
        <w:t>项目</w:t>
      </w:r>
      <w:r>
        <w:rPr>
          <w:rFonts w:hint="eastAsia"/>
          <w:lang w:val="en-US" w:eastAsia="zh-CN"/>
        </w:rPr>
        <w:t>加工区及产品堆场区</w:t>
      </w:r>
      <w:r>
        <w:rPr>
          <w:rFonts w:hint="default"/>
          <w:lang w:val="en-US" w:eastAsia="zh-CN"/>
        </w:rPr>
        <w:t>建设封闭钢制厂房</w:t>
      </w:r>
      <w:r>
        <w:rPr>
          <w:rFonts w:hint="eastAsia"/>
          <w:lang w:val="en-US" w:eastAsia="zh-CN"/>
        </w:rPr>
        <w:t>，</w:t>
      </w:r>
      <w:r>
        <w:rPr>
          <w:rFonts w:hint="default"/>
          <w:lang w:val="en-US" w:eastAsia="zh-CN"/>
        </w:rPr>
        <w:t>地面硬化处理</w:t>
      </w:r>
      <w:r>
        <w:rPr>
          <w:rFonts w:hint="eastAsia"/>
          <w:lang w:val="en-US" w:eastAsia="zh-CN"/>
        </w:rPr>
        <w:t>，</w:t>
      </w:r>
      <w:r>
        <w:rPr>
          <w:rFonts w:hint="default"/>
          <w:lang w:val="en-US" w:eastAsia="zh-CN"/>
        </w:rPr>
        <w:t>顶部建设洒水喷雾系统</w:t>
      </w:r>
      <w:r>
        <w:rPr>
          <w:rFonts w:hint="eastAsia"/>
          <w:lang w:val="en-US" w:eastAsia="zh-CN"/>
        </w:rPr>
        <w:t>，</w:t>
      </w:r>
      <w:r>
        <w:rPr>
          <w:rFonts w:hint="default"/>
          <w:lang w:val="en-US" w:eastAsia="zh-CN"/>
        </w:rPr>
        <w:t>内部物料传输皮带加装防尘罩；项目在</w:t>
      </w:r>
      <w:r>
        <w:rPr>
          <w:rFonts w:hint="eastAsia"/>
          <w:lang w:val="en-US" w:eastAsia="zh-CN"/>
        </w:rPr>
        <w:t>矿石</w:t>
      </w:r>
      <w:r>
        <w:rPr>
          <w:rFonts w:hint="default"/>
          <w:lang w:val="en-US" w:eastAsia="zh-CN"/>
        </w:rPr>
        <w:t>加工工序（破碎工序、筛分和打砂工序）设置集气罩收集粉尘并经布袋除尘器进行处理</w:t>
      </w:r>
      <w:r>
        <w:rPr>
          <w:rFonts w:hint="eastAsia"/>
          <w:lang w:val="en-US" w:eastAsia="zh-CN"/>
        </w:rPr>
        <w:t>后经过一根15m高排气筒排放；项目</w:t>
      </w:r>
      <w:r>
        <w:rPr>
          <w:rFonts w:hint="default"/>
          <w:lang w:val="en-US" w:eastAsia="zh-CN"/>
        </w:rPr>
        <w:t>配备洒水车、雾炮</w:t>
      </w:r>
      <w:r>
        <w:rPr>
          <w:rFonts w:hint="eastAsia"/>
          <w:lang w:val="en-US" w:eastAsia="zh-CN"/>
        </w:rPr>
        <w:t>机，</w:t>
      </w:r>
      <w:r>
        <w:rPr>
          <w:rFonts w:hint="default"/>
          <w:lang w:val="en-US" w:eastAsia="zh-CN"/>
        </w:rPr>
        <w:t>定期对</w:t>
      </w:r>
      <w:r>
        <w:rPr>
          <w:rFonts w:hint="eastAsia"/>
          <w:lang w:val="en-US" w:eastAsia="zh-CN"/>
        </w:rPr>
        <w:t>露天采场</w:t>
      </w:r>
      <w:r>
        <w:rPr>
          <w:rFonts w:hint="default"/>
          <w:lang w:val="en-US" w:eastAsia="zh-CN"/>
        </w:rPr>
        <w:t>、原料堆场、</w:t>
      </w:r>
      <w:r>
        <w:rPr>
          <w:rFonts w:hint="eastAsia"/>
          <w:lang w:val="en-US" w:eastAsia="zh-CN"/>
        </w:rPr>
        <w:t>弃渣</w:t>
      </w:r>
      <w:r>
        <w:rPr>
          <w:rFonts w:hint="default"/>
          <w:lang w:val="en-US" w:eastAsia="zh-CN"/>
        </w:rPr>
        <w:t>场、</w:t>
      </w:r>
      <w:r>
        <w:rPr>
          <w:rFonts w:hint="eastAsia"/>
          <w:lang w:val="en-US" w:eastAsia="zh-CN"/>
        </w:rPr>
        <w:t>表土堆场、</w:t>
      </w:r>
      <w:r>
        <w:rPr>
          <w:rFonts w:hint="default"/>
          <w:lang w:val="en-US" w:eastAsia="zh-CN"/>
        </w:rPr>
        <w:t>运输道路区进行洒水降尘。</w:t>
      </w:r>
      <w:r>
        <w:rPr>
          <w:rFonts w:hint="eastAsia"/>
          <w:lang w:val="en-US" w:eastAsia="zh-CN"/>
        </w:rPr>
        <w:t>扬尘及粉尘等颗粒物排放执行</w:t>
      </w:r>
      <w:r>
        <w:rPr>
          <w:rFonts w:hint="default"/>
          <w:lang w:eastAsia="zh-CN"/>
        </w:rPr>
        <w:t>《大气污染物综合排放标准》（GB16297-1996）二级标准</w:t>
      </w:r>
      <w:r>
        <w:rPr>
          <w:rFonts w:hint="eastAsia"/>
          <w:lang w:eastAsia="zh-CN"/>
        </w:rPr>
        <w:t>，</w:t>
      </w:r>
      <w:r>
        <w:rPr>
          <w:rFonts w:hint="default"/>
          <w:lang w:val="zh-CN" w:eastAsia="zh-CN"/>
        </w:rPr>
        <w:t>标准限值见表</w:t>
      </w:r>
      <w:r>
        <w:rPr>
          <w:rFonts w:hint="default"/>
          <w:lang w:val="en-US" w:eastAsia="zh-CN"/>
        </w:rPr>
        <w:t>1.5-7</w:t>
      </w:r>
      <w:r>
        <w:rPr>
          <w:rFonts w:hint="default"/>
          <w:lang w:eastAsia="zh-CN"/>
        </w:rPr>
        <w:t>。</w:t>
      </w:r>
    </w:p>
    <w:p w14:paraId="72CBED30">
      <w:pPr>
        <w:ind w:left="0" w:leftChars="0" w:firstLine="0" w:firstLineChars="0"/>
        <w:jc w:val="center"/>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表1.5-7  大气污染物综合排放标准</w:t>
      </w:r>
    </w:p>
    <w:tbl>
      <w:tblPr>
        <w:tblStyle w:val="3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4621"/>
        <w:gridCol w:w="1925"/>
      </w:tblGrid>
      <w:tr w14:paraId="7EFC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9" w:type="pct"/>
            <w:gridSpan w:val="2"/>
            <w:tcBorders>
              <w:top w:val="single" w:color="auto" w:sz="4" w:space="0"/>
              <w:bottom w:val="single" w:color="auto" w:sz="4" w:space="0"/>
              <w:right w:val="single" w:color="auto" w:sz="4" w:space="0"/>
            </w:tcBorders>
            <w:noWrap w:val="0"/>
            <w:vAlign w:val="center"/>
          </w:tcPr>
          <w:p w14:paraId="14C92183">
            <w:pPr>
              <w:pStyle w:val="43"/>
              <w:bidi w:val="0"/>
              <w:rPr>
                <w:rFonts w:hint="default"/>
                <w:b/>
                <w:bCs/>
                <w:color w:val="000000" w:themeColor="text1"/>
                <w:highlight w:val="none"/>
                <w:lang w:eastAsia="zh-CN"/>
                <w14:textFill>
                  <w14:solidFill>
                    <w14:schemeClr w14:val="tx1"/>
                  </w14:solidFill>
                </w14:textFill>
              </w:rPr>
            </w:pPr>
            <w:r>
              <w:rPr>
                <w:rFonts w:hint="default"/>
                <w:b/>
                <w:bCs/>
                <w:color w:val="000000" w:themeColor="text1"/>
                <w:highlight w:val="none"/>
                <w:lang w:eastAsia="zh-CN"/>
                <w14:textFill>
                  <w14:solidFill>
                    <w14:schemeClr w14:val="tx1"/>
                  </w14:solidFill>
                </w14:textFill>
              </w:rPr>
              <w:t>项目</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1109B520">
            <w:pPr>
              <w:pStyle w:val="43"/>
              <w:bidi w:val="0"/>
              <w:rPr>
                <w:rFonts w:hint="default"/>
                <w:b/>
                <w:bCs/>
                <w:color w:val="000000" w:themeColor="text1"/>
                <w:highlight w:val="none"/>
                <w:lang w:eastAsia="zh-CN"/>
                <w14:textFill>
                  <w14:solidFill>
                    <w14:schemeClr w14:val="tx1"/>
                  </w14:solidFill>
                </w14:textFill>
              </w:rPr>
            </w:pPr>
            <w:r>
              <w:rPr>
                <w:rFonts w:hint="default"/>
                <w:b/>
                <w:bCs/>
                <w:color w:val="000000" w:themeColor="text1"/>
                <w:highlight w:val="none"/>
                <w:lang w:eastAsia="zh-CN"/>
                <w14:textFill>
                  <w14:solidFill>
                    <w14:schemeClr w14:val="tx1"/>
                  </w14:solidFill>
                </w14:textFill>
              </w:rPr>
              <w:t>颗粒物</w:t>
            </w:r>
          </w:p>
        </w:tc>
      </w:tr>
      <w:tr w14:paraId="3A9C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8" w:type="pct"/>
            <w:vMerge w:val="restart"/>
            <w:tcBorders>
              <w:top w:val="single" w:color="auto" w:sz="4" w:space="0"/>
              <w:left w:val="single" w:color="auto" w:sz="4" w:space="0"/>
              <w:bottom w:val="single" w:color="auto" w:sz="4" w:space="0"/>
              <w:right w:val="single" w:color="auto" w:sz="4" w:space="0"/>
            </w:tcBorders>
            <w:noWrap w:val="0"/>
            <w:vAlign w:val="center"/>
          </w:tcPr>
          <w:p w14:paraId="7C1DC6E2">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有组织排放</w:t>
            </w:r>
          </w:p>
        </w:tc>
        <w:tc>
          <w:tcPr>
            <w:tcW w:w="2710" w:type="pct"/>
            <w:tcBorders>
              <w:top w:val="single" w:color="auto" w:sz="4" w:space="0"/>
              <w:left w:val="single" w:color="auto" w:sz="4" w:space="0"/>
              <w:bottom w:val="single" w:color="auto" w:sz="4" w:space="0"/>
              <w:right w:val="single" w:color="auto" w:sz="4" w:space="0"/>
            </w:tcBorders>
            <w:noWrap w:val="0"/>
            <w:vAlign w:val="center"/>
          </w:tcPr>
          <w:p w14:paraId="0A30FFB5">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最高允许排放浓度</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lang w:eastAsia="zh-CN"/>
                <w14:textFill>
                  <w14:solidFill>
                    <w14:schemeClr w14:val="tx1"/>
                  </w14:solidFill>
                </w14:textFill>
              </w:rPr>
              <w:t>mg/</w:t>
            </w:r>
            <w:r>
              <w:rPr>
                <w:rFonts w:hint="eastAsia"/>
                <w:color w:val="000000" w:themeColor="text1"/>
                <w:highlight w:val="none"/>
                <w:lang w:eastAsia="zh-CN"/>
                <w14:textFill>
                  <w14:solidFill>
                    <w14:schemeClr w14:val="tx1"/>
                  </w14:solidFill>
                </w14:textFill>
              </w:rPr>
              <w:t>m</w:t>
            </w:r>
            <w:r>
              <w:rPr>
                <w:rFonts w:hint="eastAsia"/>
                <w:color w:val="000000" w:themeColor="text1"/>
                <w:highlight w:val="none"/>
                <w:vertAlign w:val="superscript"/>
                <w:lang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718AC420">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120</w:t>
            </w:r>
          </w:p>
        </w:tc>
      </w:tr>
      <w:tr w14:paraId="7C41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8" w:type="pct"/>
            <w:vMerge w:val="continue"/>
            <w:tcBorders>
              <w:top w:val="single" w:color="auto" w:sz="4" w:space="0"/>
              <w:left w:val="single" w:color="auto" w:sz="4" w:space="0"/>
              <w:bottom w:val="single" w:color="auto" w:sz="4" w:space="0"/>
              <w:right w:val="single" w:color="auto" w:sz="4" w:space="0"/>
            </w:tcBorders>
            <w:noWrap w:val="0"/>
            <w:vAlign w:val="center"/>
          </w:tcPr>
          <w:p w14:paraId="5235FD35">
            <w:pPr>
              <w:pStyle w:val="43"/>
              <w:bidi w:val="0"/>
              <w:rPr>
                <w:rFonts w:hint="default"/>
                <w:color w:val="000000" w:themeColor="text1"/>
                <w:highlight w:val="none"/>
                <w:lang w:eastAsia="zh-CN"/>
                <w14:textFill>
                  <w14:solidFill>
                    <w14:schemeClr w14:val="tx1"/>
                  </w14:solidFill>
                </w14:textFill>
              </w:rPr>
            </w:pPr>
          </w:p>
        </w:tc>
        <w:tc>
          <w:tcPr>
            <w:tcW w:w="2710" w:type="pct"/>
            <w:tcBorders>
              <w:top w:val="single" w:color="auto" w:sz="4" w:space="0"/>
              <w:left w:val="single" w:color="auto" w:sz="4" w:space="0"/>
              <w:bottom w:val="single" w:color="auto" w:sz="4" w:space="0"/>
              <w:right w:val="single" w:color="auto" w:sz="4" w:space="0"/>
            </w:tcBorders>
            <w:noWrap w:val="0"/>
            <w:vAlign w:val="center"/>
          </w:tcPr>
          <w:p w14:paraId="3518A905">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排气筒高度</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lang w:eastAsia="zh-CN"/>
                <w14:textFill>
                  <w14:solidFill>
                    <w14:schemeClr w14:val="tx1"/>
                  </w14:solidFill>
                </w14:textFill>
              </w:rPr>
              <w:t>m</w:t>
            </w:r>
            <w:r>
              <w:rPr>
                <w:rFonts w:hint="eastAsia"/>
                <w:color w:val="000000" w:themeColor="text1"/>
                <w:highlight w:val="none"/>
                <w:lang w:eastAsia="zh-CN"/>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0300CDAB">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15</w:t>
            </w:r>
          </w:p>
        </w:tc>
      </w:tr>
      <w:tr w14:paraId="4ADE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8" w:type="pct"/>
            <w:vMerge w:val="continue"/>
            <w:tcBorders>
              <w:top w:val="single" w:color="auto" w:sz="4" w:space="0"/>
              <w:left w:val="single" w:color="auto" w:sz="4" w:space="0"/>
              <w:bottom w:val="single" w:color="auto" w:sz="4" w:space="0"/>
              <w:right w:val="single" w:color="auto" w:sz="4" w:space="0"/>
            </w:tcBorders>
            <w:noWrap w:val="0"/>
            <w:vAlign w:val="center"/>
          </w:tcPr>
          <w:p w14:paraId="5728DEEC">
            <w:pPr>
              <w:pStyle w:val="43"/>
              <w:bidi w:val="0"/>
              <w:rPr>
                <w:rFonts w:hint="default"/>
                <w:color w:val="000000" w:themeColor="text1"/>
                <w:highlight w:val="none"/>
                <w:lang w:eastAsia="zh-CN"/>
                <w14:textFill>
                  <w14:solidFill>
                    <w14:schemeClr w14:val="tx1"/>
                  </w14:solidFill>
                </w14:textFill>
              </w:rPr>
            </w:pPr>
          </w:p>
        </w:tc>
        <w:tc>
          <w:tcPr>
            <w:tcW w:w="2710" w:type="pct"/>
            <w:tcBorders>
              <w:top w:val="single" w:color="auto" w:sz="4" w:space="0"/>
              <w:left w:val="single" w:color="auto" w:sz="4" w:space="0"/>
              <w:bottom w:val="single" w:color="auto" w:sz="4" w:space="0"/>
              <w:right w:val="single" w:color="auto" w:sz="4" w:space="0"/>
            </w:tcBorders>
            <w:noWrap w:val="0"/>
            <w:vAlign w:val="center"/>
          </w:tcPr>
          <w:p w14:paraId="0B9F8199">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最高允许排放速率</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lang w:eastAsia="zh-CN"/>
                <w14:textFill>
                  <w14:solidFill>
                    <w14:schemeClr w14:val="tx1"/>
                  </w14:solidFill>
                </w14:textFill>
              </w:rPr>
              <w:t>kg/h</w:t>
            </w:r>
            <w:r>
              <w:rPr>
                <w:rFonts w:hint="eastAsia"/>
                <w:color w:val="000000" w:themeColor="text1"/>
                <w:highlight w:val="none"/>
                <w:lang w:eastAsia="zh-CN"/>
                <w14:textFill>
                  <w14:solidFill>
                    <w14:schemeClr w14:val="tx1"/>
                  </w14:solidFill>
                </w14:textFill>
              </w:rPr>
              <w:t>）</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32242BA4">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3.5</w:t>
            </w:r>
          </w:p>
        </w:tc>
      </w:tr>
      <w:tr w14:paraId="7710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9" w:type="pct"/>
            <w:gridSpan w:val="2"/>
            <w:tcBorders>
              <w:top w:val="single" w:color="auto" w:sz="4" w:space="0"/>
              <w:left w:val="single" w:color="auto" w:sz="4" w:space="0"/>
              <w:bottom w:val="single" w:color="auto" w:sz="4" w:space="0"/>
              <w:right w:val="single" w:color="auto" w:sz="4" w:space="0"/>
            </w:tcBorders>
            <w:noWrap w:val="0"/>
            <w:vAlign w:val="center"/>
          </w:tcPr>
          <w:p w14:paraId="0B8FBE31">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无组织排放监控浓度限值</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lang w:eastAsia="zh-CN"/>
                <w14:textFill>
                  <w14:solidFill>
                    <w14:schemeClr w14:val="tx1"/>
                  </w14:solidFill>
                </w14:textFill>
              </w:rPr>
              <w:t>mg/</w:t>
            </w:r>
            <w:r>
              <w:rPr>
                <w:rFonts w:hint="eastAsia"/>
                <w:color w:val="000000" w:themeColor="text1"/>
                <w:highlight w:val="none"/>
                <w:lang w:eastAsia="zh-CN"/>
                <w14:textFill>
                  <w14:solidFill>
                    <w14:schemeClr w14:val="tx1"/>
                  </w14:solidFill>
                </w14:textFill>
              </w:rPr>
              <w:t>m</w:t>
            </w:r>
            <w:r>
              <w:rPr>
                <w:rFonts w:hint="eastAsia"/>
                <w:color w:val="000000" w:themeColor="text1"/>
                <w:highlight w:val="none"/>
                <w:vertAlign w:val="superscript"/>
                <w:lang w:eastAsia="zh-CN"/>
                <w14:textFill>
                  <w14:solidFill>
                    <w14:schemeClr w14:val="tx1"/>
                  </w14:solidFill>
                </w14:textFill>
              </w:rPr>
              <w:t>3</w:t>
            </w:r>
            <w:r>
              <w:rPr>
                <w:rFonts w:hint="eastAsia"/>
                <w:color w:val="000000" w:themeColor="text1"/>
                <w:highlight w:val="none"/>
                <w:lang w:eastAsia="zh-CN"/>
                <w14:textFill>
                  <w14:solidFill>
                    <w14:schemeClr w14:val="tx1"/>
                  </w14:solidFill>
                </w14:textFill>
              </w:rPr>
              <w:t>）</w:t>
            </w:r>
            <w:r>
              <w:rPr>
                <w:rFonts w:hint="default"/>
                <w:color w:val="000000" w:themeColor="text1"/>
                <w:highlight w:val="none"/>
                <w:lang w:eastAsia="zh-CN"/>
                <w14:textFill>
                  <w14:solidFill>
                    <w14:schemeClr w14:val="tx1"/>
                  </w14:solidFill>
                </w14:textFill>
              </w:rPr>
              <w:t>（周界外浓度最高点）</w:t>
            </w:r>
          </w:p>
        </w:tc>
        <w:tc>
          <w:tcPr>
            <w:tcW w:w="1130" w:type="pct"/>
            <w:tcBorders>
              <w:top w:val="single" w:color="auto" w:sz="4" w:space="0"/>
              <w:left w:val="single" w:color="auto" w:sz="4" w:space="0"/>
              <w:bottom w:val="single" w:color="auto" w:sz="4" w:space="0"/>
              <w:right w:val="single" w:color="auto" w:sz="4" w:space="0"/>
            </w:tcBorders>
            <w:noWrap w:val="0"/>
            <w:vAlign w:val="center"/>
          </w:tcPr>
          <w:p w14:paraId="748A9F67">
            <w:pPr>
              <w:pStyle w:val="43"/>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eastAsia="zh-CN"/>
                <w14:textFill>
                  <w14:solidFill>
                    <w14:schemeClr w14:val="tx1"/>
                  </w14:solidFill>
                </w14:textFill>
              </w:rPr>
              <w:t>1.0</w:t>
            </w:r>
          </w:p>
        </w:tc>
      </w:tr>
    </w:tbl>
    <w:p w14:paraId="6DCB63EB">
      <w:pPr>
        <w:pStyle w:val="41"/>
        <w:bidi w:val="0"/>
        <w:rPr>
          <w:rFonts w:hint="default"/>
          <w:b/>
          <w:bCs/>
        </w:rPr>
      </w:pPr>
      <w:r>
        <w:rPr>
          <w:rFonts w:hint="default"/>
          <w:b/>
          <w:bCs/>
          <w:lang w:eastAsia="zh-CN"/>
        </w:rPr>
        <w:t>（</w:t>
      </w:r>
      <w:r>
        <w:rPr>
          <w:rFonts w:hint="default"/>
          <w:b/>
          <w:bCs/>
          <w:lang w:val="en-US" w:eastAsia="zh-CN"/>
        </w:rPr>
        <w:t>2）</w:t>
      </w:r>
      <w:r>
        <w:rPr>
          <w:rFonts w:hint="default"/>
          <w:b/>
          <w:bCs/>
        </w:rPr>
        <w:t>水污染物</w:t>
      </w:r>
    </w:p>
    <w:p w14:paraId="61D70EAB">
      <w:pPr>
        <w:pStyle w:val="41"/>
        <w:bidi w:val="0"/>
        <w:rPr>
          <w:rFonts w:hint="default"/>
        </w:rPr>
      </w:pPr>
      <w:r>
        <w:rPr>
          <w:rFonts w:hint="default"/>
          <w:lang w:val="en-US" w:eastAsia="zh-CN"/>
        </w:rPr>
        <w:t>①施工期：</w:t>
      </w:r>
      <w:r>
        <w:rPr>
          <w:rFonts w:hint="eastAsia"/>
          <w:lang w:val="en-US" w:eastAsia="zh-CN"/>
        </w:rPr>
        <w:t>生活污水</w:t>
      </w:r>
      <w:r>
        <w:rPr>
          <w:rFonts w:hint="default"/>
          <w:lang w:val="en-US" w:eastAsia="zh-CN"/>
        </w:rPr>
        <w:t>经</w:t>
      </w:r>
      <w:r>
        <w:rPr>
          <w:rFonts w:hint="eastAsia"/>
          <w:lang w:val="en-US" w:eastAsia="zh-CN"/>
        </w:rPr>
        <w:t>粪污收集池收集后周边农户定期清掏做农肥，项目无废水外排，不设废水排放标准</w:t>
      </w:r>
      <w:r>
        <w:rPr>
          <w:rFonts w:hint="default"/>
        </w:rPr>
        <w:t>。</w:t>
      </w:r>
    </w:p>
    <w:p w14:paraId="5E7CF2B3">
      <w:pPr>
        <w:pStyle w:val="41"/>
        <w:bidi w:val="0"/>
        <w:rPr>
          <w:rFonts w:hint="default"/>
          <w:lang w:val="en-US" w:eastAsia="zh-CN"/>
        </w:rPr>
      </w:pPr>
      <w:r>
        <w:rPr>
          <w:rFonts w:hint="default"/>
          <w:lang w:val="en-US" w:eastAsia="zh-CN"/>
        </w:rPr>
        <w:t>②运营期：</w:t>
      </w:r>
      <w:r>
        <w:rPr>
          <w:rFonts w:hint="eastAsia"/>
          <w:lang w:val="en-US" w:eastAsia="zh-CN"/>
        </w:rPr>
        <w:t>项目采用雨污分流制，外围区域设置截排水沟，各场地外的雨水通过截水沟排至项目区周边雨水沟渠</w:t>
      </w:r>
      <w:r>
        <w:rPr>
          <w:rFonts w:hint="default"/>
          <w:lang w:val="en-US" w:eastAsia="zh-CN"/>
        </w:rPr>
        <w:t>。</w:t>
      </w:r>
      <w:r>
        <w:rPr>
          <w:rFonts w:hint="eastAsia"/>
          <w:lang w:val="en-US" w:eastAsia="zh-CN"/>
        </w:rPr>
        <w:t>项目区内部各场地另设雨水收集系统，初期雨水经收集沉淀后回用于项目场地洒水降尘，生活污水</w:t>
      </w:r>
      <w:r>
        <w:rPr>
          <w:rFonts w:hint="default"/>
          <w:lang w:val="en-US" w:eastAsia="zh-CN"/>
        </w:rPr>
        <w:t>经</w:t>
      </w:r>
      <w:r>
        <w:rPr>
          <w:rFonts w:hint="eastAsia"/>
          <w:lang w:val="en-US" w:eastAsia="zh-CN"/>
        </w:rPr>
        <w:t>粪污收集池收集后周边农户定期清掏做农肥，项目无废水外排，不设废水排放标准。</w:t>
      </w:r>
    </w:p>
    <w:p w14:paraId="06ABAF30">
      <w:pPr>
        <w:pStyle w:val="41"/>
        <w:bidi w:val="0"/>
        <w:rPr>
          <w:rFonts w:hint="default"/>
          <w:b/>
          <w:bCs/>
        </w:rPr>
      </w:pPr>
      <w:r>
        <w:rPr>
          <w:rFonts w:hint="default"/>
          <w:b/>
          <w:bCs/>
          <w:lang w:eastAsia="zh-CN"/>
        </w:rPr>
        <w:t>（</w:t>
      </w:r>
      <w:r>
        <w:rPr>
          <w:rFonts w:hint="default"/>
          <w:b/>
          <w:bCs/>
          <w:lang w:val="en-US" w:eastAsia="zh-CN"/>
        </w:rPr>
        <w:t>3）</w:t>
      </w:r>
      <w:r>
        <w:rPr>
          <w:rFonts w:hint="default"/>
          <w:b/>
          <w:bCs/>
        </w:rPr>
        <w:t>噪声</w:t>
      </w:r>
    </w:p>
    <w:p w14:paraId="0AD35D6B">
      <w:pPr>
        <w:pStyle w:val="41"/>
        <w:bidi w:val="0"/>
        <w:rPr>
          <w:rFonts w:hint="default"/>
          <w:b/>
          <w:bCs/>
          <w:lang w:val="en-US" w:eastAsia="zh-CN"/>
        </w:rPr>
      </w:pPr>
      <w:r>
        <w:rPr>
          <w:rFonts w:hint="default"/>
          <w:b/>
          <w:bCs/>
          <w:lang w:val="en-US" w:eastAsia="zh-CN"/>
        </w:rPr>
        <w:t>①施工期</w:t>
      </w:r>
    </w:p>
    <w:p w14:paraId="0B3CD3A0">
      <w:pPr>
        <w:pStyle w:val="41"/>
        <w:bidi w:val="0"/>
        <w:rPr>
          <w:rFonts w:hint="default"/>
        </w:rPr>
      </w:pPr>
      <w:r>
        <w:rPr>
          <w:rFonts w:hint="default"/>
        </w:rPr>
        <w:t>项目施工期噪声执行</w:t>
      </w:r>
      <w:r>
        <w:rPr>
          <w:rFonts w:hint="eastAsia"/>
          <w:lang w:eastAsia="zh-CN"/>
        </w:rPr>
        <w:t>《</w:t>
      </w:r>
      <w:r>
        <w:rPr>
          <w:rFonts w:hint="default"/>
        </w:rPr>
        <w:t>建筑施工噪声排放标准》（GB 12523-2025）</w:t>
      </w:r>
      <w:r>
        <w:rPr>
          <w:rFonts w:hint="default"/>
          <w:lang w:eastAsia="zh-CN"/>
        </w:rPr>
        <w:t>，</w:t>
      </w:r>
      <w:r>
        <w:rPr>
          <w:rFonts w:hint="default"/>
        </w:rPr>
        <w:t>具体限值详见表</w:t>
      </w:r>
      <w:r>
        <w:rPr>
          <w:rFonts w:hint="default"/>
          <w:lang w:val="en-US" w:eastAsia="zh-CN"/>
        </w:rPr>
        <w:t>1.5-</w:t>
      </w:r>
      <w:r>
        <w:rPr>
          <w:rFonts w:hint="eastAsia"/>
          <w:lang w:val="en-US" w:eastAsia="zh-CN"/>
        </w:rPr>
        <w:t>8</w:t>
      </w:r>
      <w:r>
        <w:rPr>
          <w:rFonts w:hint="default"/>
        </w:rPr>
        <w:t>。</w:t>
      </w:r>
    </w:p>
    <w:p w14:paraId="4BD288C2">
      <w:pPr>
        <w:ind w:left="0" w:leftChars="0" w:firstLine="0" w:firstLineChars="0"/>
        <w:jc w:val="center"/>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1.5-</w:t>
      </w:r>
      <w:r>
        <w:rPr>
          <w:rFonts w:hint="eastAsia" w:cs="Times New Roman"/>
          <w:b/>
          <w:bCs/>
          <w:color w:val="000000" w:themeColor="text1"/>
          <w:highlight w:val="none"/>
          <w:lang w:val="en-US" w:eastAsia="zh-CN"/>
          <w14:textFill>
            <w14:solidFill>
              <w14:schemeClr w14:val="tx1"/>
            </w14:solidFill>
          </w14:textFill>
        </w:rPr>
        <w:t>8</w:t>
      </w:r>
      <w:r>
        <w:rPr>
          <w:rFonts w:hint="default" w:ascii="Times New Roman" w:hAnsi="Times New Roman" w:cs="Times New Roman"/>
          <w:b/>
          <w:bCs/>
          <w:color w:val="000000" w:themeColor="text1"/>
          <w:highlight w:val="none"/>
          <w14:textFill>
            <w14:solidFill>
              <w14:schemeClr w14:val="tx1"/>
            </w14:solidFill>
          </w14:textFill>
        </w:rPr>
        <w:t xml:space="preserve">  建筑施工场界噪声排放限值   单位：dB</w:t>
      </w:r>
      <w:r>
        <w:rPr>
          <w:rFonts w:hint="default" w:ascii="Times New Roman" w:hAnsi="Times New Roman" w:cs="Times New Roman"/>
          <w:b/>
          <w:bCs/>
          <w:color w:val="000000" w:themeColor="text1"/>
          <w:highlight w:val="none"/>
          <w:lang w:eastAsia="zh-CN"/>
          <w14:textFill>
            <w14:solidFill>
              <w14:schemeClr w14:val="tx1"/>
            </w14:solidFill>
          </w14:textFill>
        </w:rPr>
        <w:t>（</w:t>
      </w:r>
      <w:r>
        <w:rPr>
          <w:rFonts w:hint="default" w:ascii="Times New Roman" w:hAnsi="Times New Roman" w:cs="Times New Roman"/>
          <w:b/>
          <w:bCs/>
          <w:color w:val="000000" w:themeColor="text1"/>
          <w:highlight w:val="none"/>
          <w14:textFill>
            <w14:solidFill>
              <w14:schemeClr w14:val="tx1"/>
            </w14:solidFill>
          </w14:textFill>
        </w:rPr>
        <w:t>A</w:t>
      </w:r>
      <w:r>
        <w:rPr>
          <w:rFonts w:hint="default" w:ascii="Times New Roman" w:hAnsi="Times New Roman" w:cs="Times New Roman"/>
          <w:b/>
          <w:bCs/>
          <w:color w:val="000000" w:themeColor="text1"/>
          <w:highlight w:val="none"/>
          <w:lang w:eastAsia="zh-CN"/>
          <w14:textFill>
            <w14:solidFill>
              <w14:schemeClr w14:val="tx1"/>
            </w14:solidFill>
          </w14:textFill>
        </w:rPr>
        <w:t>）</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0"/>
        <w:gridCol w:w="4262"/>
      </w:tblGrid>
      <w:tr w14:paraId="081FD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013" w:type="dxa"/>
            <w:tcBorders>
              <w:tl2br w:val="nil"/>
              <w:tr2bl w:val="nil"/>
            </w:tcBorders>
            <w:vAlign w:val="center"/>
          </w:tcPr>
          <w:p w14:paraId="3C7A169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昼间</w:t>
            </w:r>
          </w:p>
        </w:tc>
        <w:tc>
          <w:tcPr>
            <w:tcW w:w="4014" w:type="dxa"/>
            <w:tcBorders>
              <w:tl2br w:val="nil"/>
              <w:tr2bl w:val="nil"/>
            </w:tcBorders>
            <w:vAlign w:val="center"/>
          </w:tcPr>
          <w:p w14:paraId="78F5F16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夜间</w:t>
            </w:r>
          </w:p>
        </w:tc>
      </w:tr>
      <w:tr w14:paraId="420B71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013" w:type="dxa"/>
            <w:tcBorders>
              <w:tl2br w:val="nil"/>
              <w:tr2bl w:val="nil"/>
            </w:tcBorders>
            <w:vAlign w:val="center"/>
          </w:tcPr>
          <w:p w14:paraId="767D73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c>
          <w:tcPr>
            <w:tcW w:w="4014" w:type="dxa"/>
            <w:tcBorders>
              <w:tl2br w:val="nil"/>
              <w:tr2bl w:val="nil"/>
            </w:tcBorders>
            <w:vAlign w:val="center"/>
          </w:tcPr>
          <w:p w14:paraId="1974E35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55</w:t>
            </w:r>
          </w:p>
        </w:tc>
      </w:tr>
    </w:tbl>
    <w:p w14:paraId="0A5AEB1E">
      <w:pPr>
        <w:pStyle w:val="41"/>
        <w:bidi w:val="0"/>
        <w:rPr>
          <w:rFonts w:hint="default"/>
          <w:b/>
          <w:bCs/>
        </w:rPr>
      </w:pPr>
      <w:r>
        <w:rPr>
          <w:rFonts w:hint="default"/>
          <w:b/>
          <w:bCs/>
          <w:lang w:val="en-US" w:eastAsia="zh-CN"/>
        </w:rPr>
        <w:t>②</w:t>
      </w:r>
      <w:r>
        <w:rPr>
          <w:rFonts w:hint="default"/>
          <w:b/>
          <w:bCs/>
        </w:rPr>
        <w:t>运营期</w:t>
      </w:r>
    </w:p>
    <w:p w14:paraId="0D64F3E6">
      <w:pPr>
        <w:pStyle w:val="41"/>
        <w:bidi w:val="0"/>
        <w:rPr>
          <w:rFonts w:hint="default"/>
        </w:rPr>
      </w:pPr>
      <w:r>
        <w:rPr>
          <w:rFonts w:hint="default"/>
        </w:rPr>
        <w:t>项目运营期厂界噪声排放执行</w:t>
      </w:r>
      <w:r>
        <w:rPr>
          <w:rFonts w:hint="eastAsia"/>
          <w:lang w:eastAsia="zh-CN"/>
        </w:rPr>
        <w:t>《</w:t>
      </w:r>
      <w:r>
        <w:rPr>
          <w:rFonts w:hint="default"/>
        </w:rPr>
        <w:t>工业企业厂界环境噪声排放标准》（GB12348-2008）</w:t>
      </w:r>
      <w:r>
        <w:rPr>
          <w:rFonts w:hint="default"/>
          <w:lang w:val="en-US" w:eastAsia="zh-CN"/>
        </w:rPr>
        <w:t>2</w:t>
      </w:r>
      <w:r>
        <w:rPr>
          <w:rFonts w:hint="default"/>
        </w:rPr>
        <w:t>类标准</w:t>
      </w:r>
      <w:r>
        <w:rPr>
          <w:rFonts w:hint="default"/>
          <w:lang w:eastAsia="zh-CN"/>
        </w:rPr>
        <w:t>，</w:t>
      </w:r>
      <w:r>
        <w:rPr>
          <w:rFonts w:hint="default"/>
        </w:rPr>
        <w:t>标准限值见下表。</w:t>
      </w:r>
    </w:p>
    <w:p w14:paraId="4197B65B">
      <w:pPr>
        <w:ind w:left="0" w:leftChars="0" w:firstLine="0" w:firstLineChars="0"/>
        <w:jc w:val="center"/>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1.5-</w:t>
      </w:r>
      <w:r>
        <w:rPr>
          <w:rFonts w:hint="eastAsia" w:cs="Times New Roman"/>
          <w:b/>
          <w:bCs/>
          <w:color w:val="000000" w:themeColor="text1"/>
          <w:highlight w:val="none"/>
          <w:lang w:val="en-US" w:eastAsia="zh-CN"/>
          <w14:textFill>
            <w14:solidFill>
              <w14:schemeClr w14:val="tx1"/>
            </w14:solidFill>
          </w14:textFill>
        </w:rPr>
        <w:t>9</w:t>
      </w:r>
      <w:r>
        <w:rPr>
          <w:rFonts w:hint="default" w:ascii="Times New Roman" w:hAnsi="Times New Roman" w:cs="Times New Roman"/>
          <w:b/>
          <w:bCs/>
          <w:color w:val="000000" w:themeColor="text1"/>
          <w:highlight w:val="none"/>
          <w14:textFill>
            <w14:solidFill>
              <w14:schemeClr w14:val="tx1"/>
            </w14:solidFill>
          </w14:textFill>
        </w:rPr>
        <w:t xml:space="preserve">  工业企业厂界环境噪声排放标准  单位：dB</w:t>
      </w:r>
      <w:r>
        <w:rPr>
          <w:rFonts w:hint="default" w:ascii="Times New Roman" w:hAnsi="Times New Roman" w:cs="Times New Roman"/>
          <w:b/>
          <w:bCs/>
          <w:color w:val="000000" w:themeColor="text1"/>
          <w:highlight w:val="none"/>
          <w:lang w:eastAsia="zh-CN"/>
          <w14:textFill>
            <w14:solidFill>
              <w14:schemeClr w14:val="tx1"/>
            </w14:solidFill>
          </w14:textFill>
        </w:rPr>
        <w:t>（</w:t>
      </w:r>
      <w:r>
        <w:rPr>
          <w:rFonts w:hint="default" w:ascii="Times New Roman" w:hAnsi="Times New Roman" w:cs="Times New Roman"/>
          <w:b/>
          <w:bCs/>
          <w:color w:val="000000" w:themeColor="text1"/>
          <w:highlight w:val="none"/>
          <w14:textFill>
            <w14:solidFill>
              <w14:schemeClr w14:val="tx1"/>
            </w14:solidFill>
          </w14:textFill>
        </w:rPr>
        <w:t>A</w:t>
      </w:r>
      <w:r>
        <w:rPr>
          <w:rFonts w:hint="default" w:ascii="Times New Roman" w:hAnsi="Times New Roman" w:cs="Times New Roman"/>
          <w:b/>
          <w:bCs/>
          <w:color w:val="000000" w:themeColor="text1"/>
          <w:highlight w:val="none"/>
          <w:lang w:eastAsia="zh-CN"/>
          <w14:textFill>
            <w14:solidFill>
              <w14:schemeClr w14:val="tx1"/>
            </w14:solidFill>
          </w14:textFill>
        </w:rPr>
        <w:t>）</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197"/>
        <w:gridCol w:w="3857"/>
      </w:tblGrid>
      <w:tr w14:paraId="302A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4" w:type="dxa"/>
            <w:tcBorders>
              <w:tl2br w:val="nil"/>
              <w:tr2bl w:val="nil"/>
            </w:tcBorders>
            <w:noWrap w:val="0"/>
            <w:vAlign w:val="center"/>
          </w:tcPr>
          <w:p w14:paraId="33C2E03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类别</w:t>
            </w:r>
          </w:p>
        </w:tc>
        <w:tc>
          <w:tcPr>
            <w:tcW w:w="3013" w:type="dxa"/>
            <w:tcBorders>
              <w:tl2br w:val="nil"/>
              <w:tr2bl w:val="nil"/>
            </w:tcBorders>
            <w:noWrap w:val="0"/>
            <w:vAlign w:val="center"/>
          </w:tcPr>
          <w:p w14:paraId="433D48C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昼间</w:t>
            </w:r>
          </w:p>
        </w:tc>
        <w:tc>
          <w:tcPr>
            <w:tcW w:w="3637" w:type="dxa"/>
            <w:tcBorders>
              <w:tl2br w:val="nil"/>
              <w:tr2bl w:val="nil"/>
            </w:tcBorders>
            <w:noWrap w:val="0"/>
            <w:vAlign w:val="center"/>
          </w:tcPr>
          <w:p w14:paraId="6558013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夜间</w:t>
            </w:r>
          </w:p>
        </w:tc>
      </w:tr>
      <w:tr w14:paraId="0F34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74" w:type="dxa"/>
            <w:tcBorders>
              <w:tl2br w:val="nil"/>
              <w:tr2bl w:val="nil"/>
            </w:tcBorders>
            <w:noWrap w:val="0"/>
            <w:vAlign w:val="center"/>
          </w:tcPr>
          <w:p w14:paraId="54EE2A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类</w:t>
            </w:r>
          </w:p>
        </w:tc>
        <w:tc>
          <w:tcPr>
            <w:tcW w:w="3013" w:type="dxa"/>
            <w:tcBorders>
              <w:tl2br w:val="nil"/>
              <w:tr2bl w:val="nil"/>
            </w:tcBorders>
            <w:noWrap w:val="0"/>
            <w:vAlign w:val="center"/>
          </w:tcPr>
          <w:p w14:paraId="3084DFAE">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3637" w:type="dxa"/>
            <w:tcBorders>
              <w:tl2br w:val="nil"/>
              <w:tr2bl w:val="nil"/>
            </w:tcBorders>
            <w:noWrap w:val="0"/>
            <w:vAlign w:val="center"/>
          </w:tcPr>
          <w:p w14:paraId="2687E09B">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55</w:t>
            </w:r>
          </w:p>
        </w:tc>
      </w:tr>
    </w:tbl>
    <w:p w14:paraId="3C17854C">
      <w:pPr>
        <w:pStyle w:val="41"/>
        <w:bidi w:val="0"/>
        <w:rPr>
          <w:rFonts w:hint="default"/>
          <w:b/>
          <w:bCs/>
        </w:rPr>
      </w:pPr>
      <w:r>
        <w:rPr>
          <w:rFonts w:hint="default"/>
          <w:b/>
          <w:bCs/>
          <w:lang w:eastAsia="zh-CN"/>
        </w:rPr>
        <w:t>（</w:t>
      </w:r>
      <w:r>
        <w:rPr>
          <w:rFonts w:hint="default"/>
          <w:b/>
          <w:bCs/>
          <w:lang w:val="en-US" w:eastAsia="zh-CN"/>
        </w:rPr>
        <w:t>4）</w:t>
      </w:r>
      <w:r>
        <w:rPr>
          <w:rFonts w:hint="default"/>
          <w:b/>
          <w:bCs/>
        </w:rPr>
        <w:t>固体废物</w:t>
      </w:r>
    </w:p>
    <w:p w14:paraId="44B8A4BE">
      <w:pPr>
        <w:pStyle w:val="41"/>
        <w:bidi w:val="0"/>
        <w:rPr>
          <w:rFonts w:hint="default"/>
        </w:rPr>
      </w:pPr>
      <w:r>
        <w:rPr>
          <w:rFonts w:hint="default"/>
        </w:rPr>
        <w:t>①一般固废：执行</w:t>
      </w:r>
      <w:r>
        <w:rPr>
          <w:rFonts w:hint="eastAsia"/>
          <w:lang w:eastAsia="zh-CN"/>
        </w:rPr>
        <w:t>《</w:t>
      </w:r>
      <w:r>
        <w:rPr>
          <w:rFonts w:hint="default"/>
        </w:rPr>
        <w:t>一般工业固体废物贮存和填埋污染控制标准》（GB18599-</w:t>
      </w:r>
      <w:r>
        <w:rPr>
          <w:rFonts w:hint="default"/>
          <w:lang w:val="en-US" w:eastAsia="zh-CN"/>
        </w:rPr>
        <w:t>2020</w:t>
      </w:r>
      <w:r>
        <w:rPr>
          <w:rFonts w:hint="default"/>
        </w:rPr>
        <w:t>）。</w:t>
      </w:r>
    </w:p>
    <w:p w14:paraId="49DA5822">
      <w:pPr>
        <w:pStyle w:val="41"/>
        <w:bidi w:val="0"/>
        <w:rPr>
          <w:rFonts w:hint="default"/>
        </w:rPr>
      </w:pPr>
      <w:r>
        <w:rPr>
          <w:rFonts w:hint="default"/>
        </w:rPr>
        <w:t>②危险废物</w:t>
      </w:r>
      <w:r>
        <w:rPr>
          <w:rFonts w:hint="default"/>
          <w:lang w:eastAsia="zh-CN"/>
        </w:rPr>
        <w:t>：</w:t>
      </w:r>
      <w:r>
        <w:rPr>
          <w:rFonts w:hint="default"/>
        </w:rPr>
        <w:t>执行</w:t>
      </w:r>
      <w:r>
        <w:rPr>
          <w:rFonts w:hint="eastAsia"/>
          <w:lang w:eastAsia="zh-CN"/>
        </w:rPr>
        <w:t>《</w:t>
      </w:r>
      <w:r>
        <w:rPr>
          <w:rFonts w:hint="default"/>
        </w:rPr>
        <w:t>危险废物贮存污染控制标准》（GB18597-2023）</w:t>
      </w:r>
      <w:r>
        <w:rPr>
          <w:rFonts w:hint="default"/>
          <w:lang w:eastAsia="zh-CN"/>
        </w:rPr>
        <w:t>，</w:t>
      </w:r>
      <w:r>
        <w:rPr>
          <w:rFonts w:hint="default"/>
        </w:rPr>
        <w:t>妥善处理</w:t>
      </w:r>
      <w:r>
        <w:rPr>
          <w:rFonts w:hint="default"/>
          <w:lang w:eastAsia="zh-CN"/>
        </w:rPr>
        <w:t>，</w:t>
      </w:r>
      <w:r>
        <w:rPr>
          <w:rFonts w:hint="default"/>
        </w:rPr>
        <w:t>不得形成二次污染。</w:t>
      </w:r>
    </w:p>
    <w:p w14:paraId="40506405">
      <w:pPr>
        <w:pStyle w:val="3"/>
        <w:numPr>
          <w:ilvl w:val="1"/>
          <w:numId w:val="0"/>
        </w:numPr>
        <w:bidi w:val="0"/>
        <w:ind w:leftChars="0"/>
        <w:rPr>
          <w:rFonts w:hint="default" w:ascii="Times New Roman" w:hAnsi="Times New Roman" w:eastAsia="宋体" w:cs="Times New Roman"/>
          <w:color w:val="000000" w:themeColor="text1"/>
          <w:highlight w:val="none"/>
          <w:lang w:eastAsia="zh-CN"/>
          <w14:textFill>
            <w14:solidFill>
              <w14:schemeClr w14:val="tx1"/>
            </w14:solidFill>
          </w14:textFill>
        </w:rPr>
      </w:pPr>
      <w:bookmarkStart w:id="63" w:name="_Toc11904"/>
      <w:bookmarkStart w:id="64" w:name="_Toc4149"/>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评价等级和评价</w:t>
      </w:r>
      <w:r>
        <w:rPr>
          <w:rFonts w:hint="default" w:ascii="Times New Roman" w:hAnsi="Times New Roman" w:cs="Times New Roman"/>
          <w:color w:val="000000" w:themeColor="text1"/>
          <w:highlight w:val="none"/>
          <w:lang w:val="en-US" w:eastAsia="zh-CN"/>
          <w14:textFill>
            <w14:solidFill>
              <w14:schemeClr w14:val="tx1"/>
            </w14:solidFill>
          </w14:textFill>
        </w:rPr>
        <w:t>范围</w:t>
      </w:r>
      <w:bookmarkEnd w:id="63"/>
      <w:bookmarkEnd w:id="64"/>
    </w:p>
    <w:p w14:paraId="3A330B7C">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65" w:name="_Toc299348870"/>
      <w:bookmarkStart w:id="66" w:name="_Toc295681851"/>
      <w:bookmarkStart w:id="67" w:name="_Toc268077614"/>
      <w:bookmarkStart w:id="68" w:name="_Toc297286334"/>
      <w:bookmarkStart w:id="69" w:name="_Toc291195998"/>
      <w:bookmarkStart w:id="70" w:name="_Toc307819475"/>
      <w:bookmarkStart w:id="71" w:name="_Toc269196235"/>
      <w:bookmarkStart w:id="72" w:name="_Toc143085314"/>
      <w:bookmarkStart w:id="73" w:name="_Toc32039"/>
      <w:bookmarkStart w:id="74" w:name="_Toc286596850"/>
      <w:bookmarkStart w:id="75" w:name="_Toc10534"/>
      <w:bookmarkStart w:id="76" w:name="_Toc51158140"/>
      <w:bookmarkStart w:id="77" w:name="_Toc2959"/>
      <w:bookmarkStart w:id="78" w:name="_Toc269196236"/>
      <w:bookmarkStart w:id="79" w:name="_Toc268077615"/>
      <w:bookmarkStart w:id="80" w:name="_Toc286596854"/>
      <w:bookmarkStart w:id="81" w:name="_Toc291195999"/>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.1生态环境评价等级</w:t>
      </w:r>
      <w:bookmarkEnd w:id="65"/>
      <w:bookmarkEnd w:id="66"/>
      <w:bookmarkEnd w:id="67"/>
      <w:bookmarkEnd w:id="68"/>
      <w:bookmarkEnd w:id="69"/>
      <w:bookmarkEnd w:id="70"/>
      <w:bookmarkEnd w:id="71"/>
      <w:bookmarkEnd w:id="72"/>
      <w:bookmarkEnd w:id="73"/>
      <w:bookmarkEnd w:id="74"/>
      <w:r>
        <w:rPr>
          <w:rFonts w:hint="default" w:ascii="Times New Roman" w:hAnsi="Times New Roman" w:cs="Times New Roman"/>
          <w:color w:val="000000" w:themeColor="text1"/>
          <w:highlight w:val="none"/>
          <w14:textFill>
            <w14:solidFill>
              <w14:schemeClr w14:val="tx1"/>
            </w14:solidFill>
          </w14:textFill>
        </w:rPr>
        <w:t>及评价范围</w:t>
      </w:r>
      <w:bookmarkEnd w:id="75"/>
      <w:bookmarkEnd w:id="76"/>
      <w:bookmarkEnd w:id="77"/>
    </w:p>
    <w:p w14:paraId="181AD5BE">
      <w:pPr>
        <w:pStyle w:val="41"/>
        <w:bidi w:val="0"/>
        <w:rPr>
          <w:rFonts w:hint="default"/>
          <w:b/>
          <w:bCs/>
        </w:rPr>
      </w:pPr>
      <w:bookmarkStart w:id="82" w:name="_Toc286596851"/>
      <w:bookmarkStart w:id="83" w:name="_Toc289866104"/>
      <w:bookmarkStart w:id="84" w:name="_Toc286596852"/>
      <w:r>
        <w:rPr>
          <w:rFonts w:hint="default"/>
          <w:b/>
          <w:bCs/>
        </w:rPr>
        <w:t>（1）评价等级</w:t>
      </w:r>
    </w:p>
    <w:p w14:paraId="47F4C77D">
      <w:pPr>
        <w:pStyle w:val="41"/>
        <w:bidi w:val="0"/>
        <w:rPr>
          <w:rFonts w:hint="default"/>
          <w:lang w:val="en-US" w:eastAsia="zh-CN"/>
        </w:rPr>
      </w:pPr>
      <w:r>
        <w:rPr>
          <w:rFonts w:hint="default"/>
          <w:lang w:val="en-US" w:eastAsia="zh-CN"/>
        </w:rPr>
        <w:t>根据</w:t>
      </w:r>
      <w:r>
        <w:rPr>
          <w:rFonts w:hint="eastAsia"/>
          <w:lang w:val="en-US" w:eastAsia="zh-CN"/>
        </w:rPr>
        <w:t>《</w:t>
      </w:r>
      <w:r>
        <w:rPr>
          <w:rFonts w:hint="default"/>
          <w:lang w:val="en-US" w:eastAsia="zh-CN"/>
        </w:rPr>
        <w:t>环境影响评价技术导则 生态影响》（HJ19-2022），结合本项目实际情况，对本项目生态影响评价工作等级判定情况详见下表。</w:t>
      </w:r>
    </w:p>
    <w:p w14:paraId="043BA77A">
      <w:pPr>
        <w:bidi w:val="0"/>
        <w:ind w:left="0" w:leftChars="0" w:firstLine="0" w:firstLineChars="0"/>
        <w:jc w:val="center"/>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表1.6-1  本项目生态影响评价工作等级判定表</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006"/>
        <w:gridCol w:w="3398"/>
        <w:gridCol w:w="1115"/>
      </w:tblGrid>
      <w:tr w14:paraId="527D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351" w:type="pct"/>
            <w:shd w:val="clear" w:color="auto" w:fill="auto"/>
            <w:vAlign w:val="center"/>
          </w:tcPr>
          <w:p w14:paraId="5F029143">
            <w:pPr>
              <w:pStyle w:val="43"/>
              <w:bidi w:val="0"/>
              <w:rPr>
                <w:rFonts w:hint="eastAsia"/>
                <w:b/>
                <w:bCs/>
              </w:rPr>
            </w:pPr>
            <w:r>
              <w:rPr>
                <w:rFonts w:hint="eastAsia"/>
                <w:b/>
                <w:bCs/>
                <w:lang w:val="en-US" w:eastAsia="zh-CN"/>
              </w:rPr>
              <w:t>评价等级判定</w:t>
            </w:r>
          </w:p>
        </w:tc>
        <w:tc>
          <w:tcPr>
            <w:tcW w:w="1994" w:type="pct"/>
            <w:shd w:val="clear" w:color="auto" w:fill="auto"/>
            <w:vAlign w:val="center"/>
          </w:tcPr>
          <w:p w14:paraId="1D6B0B53">
            <w:pPr>
              <w:pStyle w:val="43"/>
              <w:bidi w:val="0"/>
              <w:rPr>
                <w:rFonts w:hint="eastAsia"/>
                <w:b/>
                <w:bCs/>
              </w:rPr>
            </w:pPr>
            <w:r>
              <w:rPr>
                <w:rFonts w:hint="eastAsia"/>
                <w:b/>
                <w:bCs/>
                <w:lang w:val="en-US" w:eastAsia="zh-CN"/>
              </w:rPr>
              <w:t>本项目情况</w:t>
            </w:r>
          </w:p>
        </w:tc>
        <w:tc>
          <w:tcPr>
            <w:tcW w:w="654" w:type="pct"/>
            <w:shd w:val="clear" w:color="auto" w:fill="auto"/>
            <w:vAlign w:val="center"/>
          </w:tcPr>
          <w:p w14:paraId="4E3D3E7A">
            <w:pPr>
              <w:pStyle w:val="43"/>
              <w:bidi w:val="0"/>
              <w:rPr>
                <w:rFonts w:hint="eastAsia"/>
                <w:b/>
                <w:bCs/>
              </w:rPr>
            </w:pPr>
            <w:r>
              <w:rPr>
                <w:rFonts w:hint="eastAsia"/>
                <w:b/>
                <w:bCs/>
                <w:lang w:val="en-US" w:eastAsia="zh-CN"/>
              </w:rPr>
              <w:t>本项目评价等级</w:t>
            </w:r>
          </w:p>
        </w:tc>
      </w:tr>
      <w:tr w14:paraId="23E7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351" w:type="pct"/>
            <w:shd w:val="clear" w:color="auto" w:fill="auto"/>
            <w:vAlign w:val="center"/>
          </w:tcPr>
          <w:p w14:paraId="640234CE">
            <w:pPr>
              <w:pStyle w:val="43"/>
              <w:bidi w:val="0"/>
              <w:rPr>
                <w:rFonts w:hint="default"/>
              </w:rPr>
            </w:pPr>
            <w:r>
              <w:rPr>
                <w:rFonts w:hint="default"/>
                <w:lang w:val="en-US" w:eastAsia="zh-CN"/>
              </w:rPr>
              <w:t>6.1.2</w:t>
            </w:r>
            <w:r>
              <w:rPr>
                <w:rFonts w:hint="eastAsia"/>
                <w:lang w:val="en-US" w:eastAsia="zh-CN"/>
              </w:rPr>
              <w:t>按以下原则确定评价等级</w:t>
            </w:r>
          </w:p>
        </w:tc>
        <w:tc>
          <w:tcPr>
            <w:tcW w:w="1994" w:type="pct"/>
            <w:shd w:val="clear" w:color="auto" w:fill="auto"/>
            <w:vAlign w:val="center"/>
          </w:tcPr>
          <w:p w14:paraId="36D0789A">
            <w:pPr>
              <w:pStyle w:val="43"/>
              <w:bidi w:val="0"/>
              <w:rPr>
                <w:rFonts w:hint="default"/>
              </w:rPr>
            </w:pPr>
          </w:p>
        </w:tc>
        <w:tc>
          <w:tcPr>
            <w:tcW w:w="654" w:type="pct"/>
            <w:shd w:val="clear" w:color="auto" w:fill="auto"/>
            <w:vAlign w:val="center"/>
          </w:tcPr>
          <w:p w14:paraId="3DA40517">
            <w:pPr>
              <w:pStyle w:val="43"/>
              <w:bidi w:val="0"/>
              <w:rPr>
                <w:rFonts w:hint="default"/>
              </w:rPr>
            </w:pPr>
          </w:p>
        </w:tc>
      </w:tr>
      <w:tr w14:paraId="1DCF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351" w:type="pct"/>
            <w:shd w:val="clear" w:color="auto" w:fill="auto"/>
            <w:vAlign w:val="center"/>
          </w:tcPr>
          <w:p w14:paraId="32555817">
            <w:pPr>
              <w:pStyle w:val="43"/>
              <w:bidi w:val="0"/>
              <w:rPr>
                <w:rFonts w:hint="default"/>
              </w:rPr>
            </w:pPr>
            <w:r>
              <w:rPr>
                <w:rFonts w:hint="default"/>
                <w:lang w:val="en-US" w:eastAsia="zh-CN"/>
              </w:rPr>
              <w:t>a</w:t>
            </w:r>
            <w:r>
              <w:rPr>
                <w:rFonts w:hint="eastAsia"/>
                <w:lang w:val="en-US" w:eastAsia="zh-CN"/>
              </w:rPr>
              <w:t>）涉及国家公园、自然保护区、世界自然遗产、重要生境时，评价等级为一级；</w:t>
            </w:r>
          </w:p>
        </w:tc>
        <w:tc>
          <w:tcPr>
            <w:tcW w:w="1994" w:type="pct"/>
            <w:shd w:val="clear" w:color="auto" w:fill="auto"/>
            <w:vAlign w:val="center"/>
          </w:tcPr>
          <w:p w14:paraId="502BB094">
            <w:pPr>
              <w:pStyle w:val="43"/>
              <w:bidi w:val="0"/>
              <w:rPr>
                <w:rFonts w:hint="eastAsia"/>
              </w:rPr>
            </w:pPr>
            <w:r>
              <w:rPr>
                <w:rFonts w:hint="eastAsia"/>
                <w:lang w:val="en-US" w:eastAsia="zh-CN"/>
              </w:rPr>
              <w:t>不涉及</w:t>
            </w:r>
          </w:p>
        </w:tc>
        <w:tc>
          <w:tcPr>
            <w:tcW w:w="654" w:type="pct"/>
            <w:shd w:val="clear" w:color="auto" w:fill="auto"/>
            <w:vAlign w:val="center"/>
          </w:tcPr>
          <w:p w14:paraId="23087EFB">
            <w:pPr>
              <w:pStyle w:val="43"/>
              <w:bidi w:val="0"/>
              <w:rPr>
                <w:rFonts w:hint="default"/>
              </w:rPr>
            </w:pPr>
            <w:r>
              <w:rPr>
                <w:rFonts w:hint="default"/>
                <w:lang w:val="en-US" w:eastAsia="zh-CN"/>
              </w:rPr>
              <w:t>/</w:t>
            </w:r>
          </w:p>
        </w:tc>
      </w:tr>
      <w:tr w14:paraId="383B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504A0E4C">
            <w:pPr>
              <w:pStyle w:val="43"/>
              <w:bidi w:val="0"/>
              <w:rPr>
                <w:rFonts w:hint="default"/>
              </w:rPr>
            </w:pPr>
            <w:r>
              <w:rPr>
                <w:rFonts w:hint="default"/>
                <w:lang w:val="en-US" w:eastAsia="zh-CN"/>
              </w:rPr>
              <w:t>b</w:t>
            </w:r>
            <w:r>
              <w:rPr>
                <w:rFonts w:hint="eastAsia"/>
                <w:lang w:val="en-US" w:eastAsia="zh-CN"/>
              </w:rPr>
              <w:t>）涉及自然公园时，评价等级为二级；</w:t>
            </w:r>
          </w:p>
        </w:tc>
        <w:tc>
          <w:tcPr>
            <w:tcW w:w="1994" w:type="pct"/>
            <w:shd w:val="clear" w:color="auto" w:fill="auto"/>
            <w:vAlign w:val="center"/>
          </w:tcPr>
          <w:p w14:paraId="60B9AA0A">
            <w:pPr>
              <w:pStyle w:val="43"/>
              <w:bidi w:val="0"/>
              <w:rPr>
                <w:rFonts w:hint="eastAsia"/>
              </w:rPr>
            </w:pPr>
            <w:r>
              <w:rPr>
                <w:rFonts w:hint="eastAsia"/>
                <w:lang w:val="en-US" w:eastAsia="zh-CN"/>
              </w:rPr>
              <w:t>不涉及</w:t>
            </w:r>
          </w:p>
        </w:tc>
        <w:tc>
          <w:tcPr>
            <w:tcW w:w="654" w:type="pct"/>
            <w:shd w:val="clear" w:color="auto" w:fill="auto"/>
            <w:vAlign w:val="center"/>
          </w:tcPr>
          <w:p w14:paraId="50CA8398">
            <w:pPr>
              <w:pStyle w:val="43"/>
              <w:bidi w:val="0"/>
              <w:rPr>
                <w:rFonts w:hint="default"/>
              </w:rPr>
            </w:pPr>
            <w:r>
              <w:rPr>
                <w:rFonts w:hint="default"/>
                <w:lang w:val="en-US" w:eastAsia="zh-CN"/>
              </w:rPr>
              <w:t>/</w:t>
            </w:r>
          </w:p>
        </w:tc>
      </w:tr>
      <w:tr w14:paraId="13F2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351" w:type="pct"/>
            <w:shd w:val="clear" w:color="auto" w:fill="auto"/>
            <w:vAlign w:val="center"/>
          </w:tcPr>
          <w:p w14:paraId="22F536FD">
            <w:pPr>
              <w:pStyle w:val="43"/>
              <w:bidi w:val="0"/>
              <w:rPr>
                <w:rFonts w:hint="default"/>
              </w:rPr>
            </w:pPr>
            <w:r>
              <w:rPr>
                <w:rFonts w:hint="default"/>
                <w:lang w:val="en-US" w:eastAsia="zh-CN"/>
              </w:rPr>
              <w:t>c</w:t>
            </w:r>
            <w:r>
              <w:rPr>
                <w:rFonts w:hint="eastAsia"/>
                <w:lang w:val="en-US" w:eastAsia="zh-CN"/>
              </w:rPr>
              <w:t>）涉及生态保护红线时，评价等级不低于二级；</w:t>
            </w:r>
          </w:p>
        </w:tc>
        <w:tc>
          <w:tcPr>
            <w:tcW w:w="1994" w:type="pct"/>
            <w:shd w:val="clear" w:color="auto" w:fill="auto"/>
            <w:vAlign w:val="center"/>
          </w:tcPr>
          <w:p w14:paraId="179B27BA">
            <w:pPr>
              <w:pStyle w:val="43"/>
              <w:bidi w:val="0"/>
              <w:rPr>
                <w:rFonts w:hint="eastAsia"/>
              </w:rPr>
            </w:pPr>
            <w:r>
              <w:rPr>
                <w:rFonts w:hint="eastAsia"/>
                <w:lang w:val="en-US" w:eastAsia="zh-CN"/>
              </w:rPr>
              <w:t>不涉及</w:t>
            </w:r>
          </w:p>
        </w:tc>
        <w:tc>
          <w:tcPr>
            <w:tcW w:w="654" w:type="pct"/>
            <w:shd w:val="clear" w:color="auto" w:fill="auto"/>
            <w:vAlign w:val="center"/>
          </w:tcPr>
          <w:p w14:paraId="0C801387">
            <w:pPr>
              <w:pStyle w:val="43"/>
              <w:bidi w:val="0"/>
              <w:rPr>
                <w:rFonts w:hint="default"/>
              </w:rPr>
            </w:pPr>
            <w:r>
              <w:rPr>
                <w:rFonts w:hint="default"/>
                <w:lang w:val="en-US" w:eastAsia="zh-CN"/>
              </w:rPr>
              <w:t>/</w:t>
            </w:r>
          </w:p>
        </w:tc>
      </w:tr>
      <w:tr w14:paraId="49BA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7ABC7949">
            <w:pPr>
              <w:pStyle w:val="43"/>
              <w:bidi w:val="0"/>
              <w:rPr>
                <w:rFonts w:hint="default"/>
              </w:rPr>
            </w:pPr>
            <w:r>
              <w:rPr>
                <w:rFonts w:hint="default"/>
                <w:lang w:val="en-US" w:eastAsia="zh-CN"/>
              </w:rPr>
              <w:t>d</w:t>
            </w:r>
            <w:r>
              <w:rPr>
                <w:rFonts w:hint="eastAsia"/>
                <w:lang w:val="en-US" w:eastAsia="zh-CN"/>
              </w:rPr>
              <w:t>）根据</w:t>
            </w:r>
            <w:r>
              <w:rPr>
                <w:rFonts w:hint="default"/>
                <w:lang w:val="en-US" w:eastAsia="zh-CN"/>
              </w:rPr>
              <w:t>HJ 2.3</w:t>
            </w:r>
            <w:r>
              <w:rPr>
                <w:rFonts w:hint="eastAsia"/>
                <w:lang w:val="en-US" w:eastAsia="zh-CN"/>
              </w:rPr>
              <w:t>判断属于水文要素影响型且地表水评价等级不低于二级的建设项目，生态影响评价等级不低于二级；</w:t>
            </w:r>
          </w:p>
        </w:tc>
        <w:tc>
          <w:tcPr>
            <w:tcW w:w="1994" w:type="pct"/>
            <w:shd w:val="clear" w:color="auto" w:fill="auto"/>
            <w:vAlign w:val="center"/>
          </w:tcPr>
          <w:p w14:paraId="298C39F7">
            <w:pPr>
              <w:pStyle w:val="43"/>
              <w:bidi w:val="0"/>
              <w:rPr>
                <w:rFonts w:hint="eastAsia"/>
              </w:rPr>
            </w:pPr>
            <w:r>
              <w:rPr>
                <w:rFonts w:hint="eastAsia"/>
                <w:lang w:val="en-US" w:eastAsia="zh-CN"/>
              </w:rPr>
              <w:t>本项目不属于水文要素影响型项目</w:t>
            </w:r>
          </w:p>
        </w:tc>
        <w:tc>
          <w:tcPr>
            <w:tcW w:w="654" w:type="pct"/>
            <w:shd w:val="clear" w:color="auto" w:fill="auto"/>
            <w:vAlign w:val="center"/>
          </w:tcPr>
          <w:p w14:paraId="2B1489B2">
            <w:pPr>
              <w:pStyle w:val="43"/>
              <w:bidi w:val="0"/>
              <w:rPr>
                <w:rFonts w:hint="default"/>
              </w:rPr>
            </w:pPr>
            <w:r>
              <w:rPr>
                <w:rFonts w:hint="default"/>
                <w:lang w:val="en-US" w:eastAsia="zh-CN"/>
              </w:rPr>
              <w:t>/</w:t>
            </w:r>
          </w:p>
        </w:tc>
      </w:tr>
      <w:tr w14:paraId="6BD2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6941B91D">
            <w:pPr>
              <w:pStyle w:val="43"/>
              <w:bidi w:val="0"/>
              <w:rPr>
                <w:rFonts w:hint="default"/>
              </w:rPr>
            </w:pPr>
            <w:r>
              <w:rPr>
                <w:rFonts w:hint="default"/>
                <w:lang w:val="en-US" w:eastAsia="zh-CN"/>
              </w:rPr>
              <w:t>e</w:t>
            </w:r>
            <w:r>
              <w:rPr>
                <w:rFonts w:hint="eastAsia"/>
                <w:lang w:val="en-US" w:eastAsia="zh-CN"/>
              </w:rPr>
              <w:t xml:space="preserve">）根据 </w:t>
            </w:r>
            <w:r>
              <w:rPr>
                <w:rFonts w:hint="default"/>
                <w:lang w:val="en-US" w:eastAsia="zh-CN"/>
              </w:rPr>
              <w:t>HJ610</w:t>
            </w:r>
            <w:r>
              <w:rPr>
                <w:rFonts w:hint="eastAsia"/>
                <w:lang w:val="en-US" w:eastAsia="zh-CN"/>
              </w:rPr>
              <w:t>、</w:t>
            </w:r>
            <w:r>
              <w:rPr>
                <w:rFonts w:hint="default"/>
                <w:lang w:val="en-US" w:eastAsia="zh-CN"/>
              </w:rPr>
              <w:t>HJ 964</w:t>
            </w:r>
            <w:r>
              <w:rPr>
                <w:rFonts w:hint="eastAsia"/>
                <w:lang w:val="en-US" w:eastAsia="zh-CN"/>
              </w:rPr>
              <w:t>判断地下水位或土壤影响范围内分布有天然林、公益林、湿地等生态保护目标的建设项目，生态影响评价等级不低于二级；</w:t>
            </w:r>
          </w:p>
        </w:tc>
        <w:tc>
          <w:tcPr>
            <w:tcW w:w="1994" w:type="pct"/>
            <w:shd w:val="clear" w:color="auto" w:fill="auto"/>
            <w:vAlign w:val="center"/>
          </w:tcPr>
          <w:p w14:paraId="30F2323C">
            <w:pPr>
              <w:pStyle w:val="43"/>
              <w:bidi w:val="0"/>
              <w:rPr>
                <w:rFonts w:hint="eastAsia"/>
              </w:rPr>
            </w:pPr>
            <w:r>
              <w:rPr>
                <w:rFonts w:hint="eastAsia"/>
                <w:lang w:val="en-US" w:eastAsia="zh-CN"/>
              </w:rPr>
              <w:t>不涉及</w:t>
            </w:r>
          </w:p>
        </w:tc>
        <w:tc>
          <w:tcPr>
            <w:tcW w:w="654" w:type="pct"/>
            <w:shd w:val="clear" w:color="auto" w:fill="auto"/>
            <w:vAlign w:val="center"/>
          </w:tcPr>
          <w:p w14:paraId="2F21DE3F">
            <w:pPr>
              <w:pStyle w:val="43"/>
              <w:bidi w:val="0"/>
              <w:rPr>
                <w:rFonts w:hint="default"/>
              </w:rPr>
            </w:pPr>
            <w:r>
              <w:rPr>
                <w:rFonts w:hint="default"/>
                <w:lang w:val="en-US" w:eastAsia="zh-CN"/>
              </w:rPr>
              <w:t>/</w:t>
            </w:r>
          </w:p>
        </w:tc>
      </w:tr>
      <w:tr w14:paraId="7CE5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0A40B4A4">
            <w:pPr>
              <w:pStyle w:val="43"/>
              <w:bidi w:val="0"/>
              <w:rPr>
                <w:rFonts w:hint="default"/>
              </w:rPr>
            </w:pPr>
            <w:r>
              <w:rPr>
                <w:rFonts w:hint="default"/>
                <w:lang w:val="en-US" w:eastAsia="zh-CN"/>
              </w:rPr>
              <w:t>f</w:t>
            </w:r>
            <w:r>
              <w:rPr>
                <w:rFonts w:hint="eastAsia"/>
                <w:lang w:val="en-US" w:eastAsia="zh-CN"/>
              </w:rPr>
              <w:t>）当工程占地规模大于</w:t>
            </w:r>
            <w:r>
              <w:rPr>
                <w:rFonts w:hint="default"/>
                <w:lang w:val="en-US" w:eastAsia="zh-CN"/>
              </w:rPr>
              <w:t>20 km2</w:t>
            </w:r>
            <w:r>
              <w:rPr>
                <w:rFonts w:hint="eastAsia"/>
                <w:lang w:val="en-US" w:eastAsia="zh-CN"/>
              </w:rPr>
              <w:t>时（包括永久和临时占用陆域和水域），评价等级不低于二级；改扩建项目的占地范围以新增占地（包括陆域和水域）确定；</w:t>
            </w:r>
          </w:p>
        </w:tc>
        <w:tc>
          <w:tcPr>
            <w:tcW w:w="1994" w:type="pct"/>
            <w:shd w:val="clear" w:color="auto" w:fill="auto"/>
            <w:vAlign w:val="center"/>
          </w:tcPr>
          <w:p w14:paraId="2E43FE2D">
            <w:pPr>
              <w:pStyle w:val="43"/>
              <w:bidi w:val="0"/>
              <w:rPr>
                <w:rFonts w:hint="eastAsia"/>
              </w:rPr>
            </w:pPr>
            <w:r>
              <w:rPr>
                <w:rFonts w:hint="eastAsia"/>
                <w:lang w:val="en-US" w:eastAsia="zh-CN"/>
              </w:rPr>
              <w:t>项目属于改扩建项目，矿区范围进行缩减，无新增占地。</w:t>
            </w:r>
          </w:p>
        </w:tc>
        <w:tc>
          <w:tcPr>
            <w:tcW w:w="654" w:type="pct"/>
            <w:shd w:val="clear" w:color="auto" w:fill="auto"/>
            <w:vAlign w:val="center"/>
          </w:tcPr>
          <w:p w14:paraId="615F4450">
            <w:pPr>
              <w:pStyle w:val="43"/>
              <w:bidi w:val="0"/>
              <w:rPr>
                <w:rFonts w:hint="default"/>
              </w:rPr>
            </w:pPr>
            <w:r>
              <w:rPr>
                <w:rFonts w:hint="default"/>
                <w:lang w:val="en-US" w:eastAsia="zh-CN"/>
              </w:rPr>
              <w:t>/</w:t>
            </w:r>
          </w:p>
        </w:tc>
      </w:tr>
      <w:tr w14:paraId="29B4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4314BE1E">
            <w:pPr>
              <w:pStyle w:val="43"/>
              <w:bidi w:val="0"/>
              <w:rPr>
                <w:rFonts w:hint="default"/>
                <w:lang w:val="en-US" w:eastAsia="zh-CN"/>
              </w:rPr>
            </w:pPr>
            <w:r>
              <w:rPr>
                <w:rFonts w:ascii="Times New Roman" w:hAnsi="Times New Roman" w:eastAsia="Times New Roman" w:cs="Times New Roman"/>
                <w:spacing w:val="-1"/>
              </w:rPr>
              <w:t>g</w:t>
            </w:r>
            <w:r>
              <w:rPr>
                <w:spacing w:val="-1"/>
              </w:rPr>
              <w:t>）除本条</w:t>
            </w:r>
            <w:r>
              <w:rPr>
                <w:spacing w:val="-37"/>
              </w:rPr>
              <w:t xml:space="preserve"> </w:t>
            </w:r>
            <w:r>
              <w:rPr>
                <w:rFonts w:ascii="Times New Roman" w:hAnsi="Times New Roman" w:eastAsia="Times New Roman" w:cs="Times New Roman"/>
                <w:spacing w:val="-1"/>
              </w:rPr>
              <w:t>a</w:t>
            </w:r>
            <w:r>
              <w:rPr>
                <w:spacing w:val="-1"/>
              </w:rPr>
              <w:t>）</w:t>
            </w:r>
            <w:r>
              <w:rPr>
                <w:rFonts w:ascii="Times New Roman" w:hAnsi="Times New Roman" w:eastAsia="Times New Roman" w:cs="Times New Roman"/>
                <w:spacing w:val="-1"/>
              </w:rPr>
              <w:t>b</w:t>
            </w:r>
            <w:r>
              <w:rPr>
                <w:spacing w:val="-1"/>
              </w:rPr>
              <w:t>）</w:t>
            </w:r>
            <w:r>
              <w:rPr>
                <w:rFonts w:ascii="Times New Roman" w:hAnsi="Times New Roman" w:eastAsia="Times New Roman" w:cs="Times New Roman"/>
                <w:spacing w:val="-1"/>
              </w:rPr>
              <w:t>c</w:t>
            </w:r>
            <w:r>
              <w:rPr>
                <w:spacing w:val="-1"/>
              </w:rPr>
              <w:t>）</w:t>
            </w:r>
            <w:r>
              <w:rPr>
                <w:rFonts w:ascii="Times New Roman" w:hAnsi="Times New Roman" w:eastAsia="Times New Roman" w:cs="Times New Roman"/>
                <w:spacing w:val="-1"/>
              </w:rPr>
              <w:t>d</w:t>
            </w:r>
            <w:r>
              <w:rPr>
                <w:spacing w:val="-1"/>
              </w:rPr>
              <w:t>）</w:t>
            </w:r>
            <w:r>
              <w:rPr>
                <w:rFonts w:ascii="Times New Roman" w:hAnsi="Times New Roman" w:eastAsia="Times New Roman" w:cs="Times New Roman"/>
                <w:spacing w:val="-1"/>
              </w:rPr>
              <w:t>e</w:t>
            </w:r>
            <w:r>
              <w:rPr>
                <w:spacing w:val="-1"/>
              </w:rPr>
              <w:t>）</w:t>
            </w:r>
            <w:r>
              <w:rPr>
                <w:rFonts w:ascii="Times New Roman" w:hAnsi="Times New Roman" w:eastAsia="Times New Roman" w:cs="Times New Roman"/>
                <w:spacing w:val="-1"/>
              </w:rPr>
              <w:t>f</w:t>
            </w:r>
            <w:r>
              <w:rPr>
                <w:spacing w:val="-1"/>
              </w:rPr>
              <w:t>）以外的情况三级</w:t>
            </w:r>
          </w:p>
        </w:tc>
        <w:tc>
          <w:tcPr>
            <w:tcW w:w="1994" w:type="pct"/>
            <w:shd w:val="clear" w:color="auto" w:fill="auto"/>
            <w:vAlign w:val="center"/>
          </w:tcPr>
          <w:p w14:paraId="009F8917">
            <w:pPr>
              <w:pStyle w:val="43"/>
              <w:bidi w:val="0"/>
              <w:rPr>
                <w:rFonts w:hint="default"/>
                <w:lang w:val="en-US" w:eastAsia="zh-CN"/>
              </w:rPr>
            </w:pPr>
            <w:r>
              <w:rPr>
                <w:rFonts w:hint="eastAsia"/>
                <w:lang w:val="en-US" w:eastAsia="zh-CN"/>
              </w:rPr>
              <w:t>项目不涉及以上情况</w:t>
            </w:r>
          </w:p>
        </w:tc>
        <w:tc>
          <w:tcPr>
            <w:tcW w:w="654" w:type="pct"/>
            <w:shd w:val="clear" w:color="auto" w:fill="auto"/>
            <w:vAlign w:val="center"/>
          </w:tcPr>
          <w:p w14:paraId="70C96820">
            <w:pPr>
              <w:pStyle w:val="43"/>
              <w:bidi w:val="0"/>
              <w:rPr>
                <w:rFonts w:hint="default"/>
                <w:lang w:val="en-US" w:eastAsia="zh-CN"/>
              </w:rPr>
            </w:pPr>
            <w:r>
              <w:rPr>
                <w:rFonts w:hint="eastAsia"/>
                <w:lang w:val="en-US" w:eastAsia="zh-CN"/>
              </w:rPr>
              <w:t>三级</w:t>
            </w:r>
          </w:p>
        </w:tc>
      </w:tr>
      <w:tr w14:paraId="7D2B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33D01A2F">
            <w:pPr>
              <w:pStyle w:val="43"/>
              <w:bidi w:val="0"/>
              <w:rPr>
                <w:rFonts w:hint="default"/>
              </w:rPr>
            </w:pPr>
            <w:r>
              <w:rPr>
                <w:rFonts w:hint="default"/>
                <w:lang w:val="en-US" w:eastAsia="zh-CN"/>
              </w:rPr>
              <w:t>h</w:t>
            </w:r>
            <w:r>
              <w:rPr>
                <w:rFonts w:hint="eastAsia"/>
                <w:lang w:val="en-US" w:eastAsia="zh-CN"/>
              </w:rPr>
              <w:t>）当评价等级判定同时符合上述多种情况时，应采用其中最高的评价等级。</w:t>
            </w:r>
          </w:p>
        </w:tc>
        <w:tc>
          <w:tcPr>
            <w:tcW w:w="1994" w:type="pct"/>
            <w:shd w:val="clear" w:color="auto" w:fill="auto"/>
            <w:vAlign w:val="center"/>
          </w:tcPr>
          <w:p w14:paraId="14D7C2CB">
            <w:pPr>
              <w:pStyle w:val="43"/>
              <w:bidi w:val="0"/>
              <w:rPr>
                <w:rFonts w:hint="default"/>
              </w:rPr>
            </w:pPr>
            <w:r>
              <w:rPr>
                <w:rFonts w:hint="default"/>
                <w:lang w:val="en-US" w:eastAsia="zh-CN"/>
              </w:rPr>
              <w:t>/</w:t>
            </w:r>
          </w:p>
        </w:tc>
        <w:tc>
          <w:tcPr>
            <w:tcW w:w="654" w:type="pct"/>
            <w:shd w:val="clear" w:color="auto" w:fill="auto"/>
            <w:vAlign w:val="center"/>
          </w:tcPr>
          <w:p w14:paraId="55C652CF">
            <w:pPr>
              <w:pStyle w:val="43"/>
              <w:bidi w:val="0"/>
              <w:rPr>
                <w:rFonts w:hint="default"/>
              </w:rPr>
            </w:pPr>
            <w:r>
              <w:rPr>
                <w:rFonts w:hint="default"/>
                <w:lang w:val="en-US" w:eastAsia="zh-CN"/>
              </w:rPr>
              <w:t>/</w:t>
            </w:r>
          </w:p>
        </w:tc>
      </w:tr>
      <w:tr w14:paraId="39A3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75A25EE4">
            <w:pPr>
              <w:pStyle w:val="43"/>
              <w:bidi w:val="0"/>
              <w:rPr>
                <w:rFonts w:hint="default"/>
              </w:rPr>
            </w:pPr>
            <w:r>
              <w:rPr>
                <w:rFonts w:hint="default"/>
                <w:lang w:val="en-US" w:eastAsia="zh-CN"/>
              </w:rPr>
              <w:t>6.1.3</w:t>
            </w:r>
            <w:r>
              <w:rPr>
                <w:rFonts w:hint="eastAsia"/>
                <w:lang w:val="en-US" w:eastAsia="zh-CN"/>
              </w:rPr>
              <w:t>建设项目涉及经论证对保护生物多样性具有重要意义的区域，可适当上调评价等级</w:t>
            </w:r>
          </w:p>
        </w:tc>
        <w:tc>
          <w:tcPr>
            <w:tcW w:w="1994" w:type="pct"/>
            <w:shd w:val="clear" w:color="auto" w:fill="auto"/>
            <w:vAlign w:val="center"/>
          </w:tcPr>
          <w:p w14:paraId="796EC834">
            <w:pPr>
              <w:pStyle w:val="43"/>
              <w:bidi w:val="0"/>
              <w:rPr>
                <w:rFonts w:hint="default"/>
              </w:rPr>
            </w:pPr>
            <w:r>
              <w:rPr>
                <w:rFonts w:hint="eastAsia"/>
                <w:lang w:val="en-US" w:eastAsia="zh-CN"/>
              </w:rPr>
              <w:t>不涉及</w:t>
            </w:r>
          </w:p>
        </w:tc>
        <w:tc>
          <w:tcPr>
            <w:tcW w:w="654" w:type="pct"/>
            <w:shd w:val="clear" w:color="auto" w:fill="auto"/>
            <w:vAlign w:val="center"/>
          </w:tcPr>
          <w:p w14:paraId="6D587D3C">
            <w:pPr>
              <w:pStyle w:val="43"/>
              <w:bidi w:val="0"/>
              <w:rPr>
                <w:rFonts w:hint="default"/>
              </w:rPr>
            </w:pPr>
            <w:r>
              <w:rPr>
                <w:rFonts w:hint="default"/>
                <w:lang w:val="en-US" w:eastAsia="zh-CN"/>
              </w:rPr>
              <w:t>/</w:t>
            </w:r>
          </w:p>
        </w:tc>
      </w:tr>
      <w:tr w14:paraId="1309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51" w:type="pct"/>
            <w:shd w:val="clear" w:color="auto" w:fill="auto"/>
            <w:vAlign w:val="center"/>
          </w:tcPr>
          <w:p w14:paraId="2E449509">
            <w:pPr>
              <w:pStyle w:val="43"/>
              <w:bidi w:val="0"/>
              <w:rPr>
                <w:rFonts w:hint="default"/>
              </w:rPr>
            </w:pPr>
            <w:r>
              <w:rPr>
                <w:rFonts w:hint="default"/>
                <w:lang w:val="en-US" w:eastAsia="zh-CN"/>
              </w:rPr>
              <w:t>6.1.5</w:t>
            </w:r>
            <w:r>
              <w:rPr>
                <w:rFonts w:hint="eastAsia"/>
                <w:lang w:val="en-US" w:eastAsia="zh-CN"/>
              </w:rPr>
              <w:t>在矿山开采可能导致矿区土地利用类型明显改变，或拦河闸坝建设可能明显改变水文情势等情况下，评价等级应上调一级。</w:t>
            </w:r>
          </w:p>
        </w:tc>
        <w:tc>
          <w:tcPr>
            <w:tcW w:w="1994" w:type="pct"/>
            <w:shd w:val="clear" w:color="auto" w:fill="auto"/>
            <w:vAlign w:val="center"/>
          </w:tcPr>
          <w:p w14:paraId="1712CD73">
            <w:pPr>
              <w:pStyle w:val="43"/>
              <w:bidi w:val="0"/>
              <w:rPr>
                <w:rFonts w:hint="eastAsia"/>
              </w:rPr>
            </w:pPr>
            <w:r>
              <w:rPr>
                <w:rFonts w:hint="eastAsia"/>
                <w:lang w:val="en-US" w:eastAsia="zh-CN"/>
              </w:rPr>
              <w:t>本项目为露天开采的矿山项目，项目属于改扩建项目，项目从2010年一直开采至今，土地均为采矿用地，本次扩建后，矿区范围进行缩减，占地减少，对土地利用的影响减小，不属于导致矿区土地利用类型明显改变。</w:t>
            </w:r>
          </w:p>
        </w:tc>
        <w:tc>
          <w:tcPr>
            <w:tcW w:w="654" w:type="pct"/>
            <w:shd w:val="clear" w:color="auto" w:fill="auto"/>
            <w:vAlign w:val="center"/>
          </w:tcPr>
          <w:p w14:paraId="170561BC">
            <w:pPr>
              <w:pStyle w:val="43"/>
              <w:bidi w:val="0"/>
              <w:rPr>
                <w:rFonts w:hint="default"/>
              </w:rPr>
            </w:pPr>
            <w:r>
              <w:rPr>
                <w:rFonts w:hint="default"/>
                <w:lang w:val="en-US" w:eastAsia="zh-CN"/>
              </w:rPr>
              <w:t>/</w:t>
            </w:r>
          </w:p>
        </w:tc>
      </w:tr>
      <w:tr w14:paraId="517D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351" w:type="pct"/>
            <w:shd w:val="clear" w:color="auto" w:fill="auto"/>
            <w:vAlign w:val="center"/>
          </w:tcPr>
          <w:p w14:paraId="7E4DB15B">
            <w:pPr>
              <w:pStyle w:val="43"/>
              <w:bidi w:val="0"/>
              <w:rPr>
                <w:rFonts w:hint="eastAsia"/>
                <w:b/>
                <w:bCs/>
              </w:rPr>
            </w:pPr>
            <w:r>
              <w:rPr>
                <w:rFonts w:hint="eastAsia"/>
                <w:b/>
                <w:bCs/>
                <w:lang w:val="en-US" w:eastAsia="zh-CN"/>
              </w:rPr>
              <w:t>评价等级</w:t>
            </w:r>
          </w:p>
        </w:tc>
        <w:tc>
          <w:tcPr>
            <w:tcW w:w="1994" w:type="pct"/>
            <w:shd w:val="clear" w:color="auto" w:fill="auto"/>
            <w:vAlign w:val="center"/>
          </w:tcPr>
          <w:p w14:paraId="1CB2E78C">
            <w:pPr>
              <w:pStyle w:val="43"/>
              <w:bidi w:val="0"/>
              <w:rPr>
                <w:rFonts w:hint="default"/>
                <w:b/>
                <w:bCs/>
              </w:rPr>
            </w:pPr>
          </w:p>
        </w:tc>
        <w:tc>
          <w:tcPr>
            <w:tcW w:w="654" w:type="pct"/>
            <w:shd w:val="clear" w:color="auto" w:fill="auto"/>
            <w:vAlign w:val="center"/>
          </w:tcPr>
          <w:p w14:paraId="41B4F095">
            <w:pPr>
              <w:pStyle w:val="43"/>
              <w:bidi w:val="0"/>
              <w:rPr>
                <w:rFonts w:hint="eastAsia"/>
                <w:b/>
                <w:bCs/>
              </w:rPr>
            </w:pPr>
            <w:r>
              <w:rPr>
                <w:rFonts w:hint="eastAsia"/>
                <w:b/>
                <w:bCs/>
                <w:lang w:val="en-US" w:eastAsia="zh-CN"/>
              </w:rPr>
              <w:t>三级</w:t>
            </w:r>
          </w:p>
        </w:tc>
      </w:tr>
    </w:tbl>
    <w:p w14:paraId="629A0B24">
      <w:pPr>
        <w:pStyle w:val="41"/>
        <w:bidi w:val="0"/>
        <w:rPr>
          <w:rFonts w:hint="default"/>
          <w:lang w:val="en-US" w:eastAsia="zh-CN"/>
        </w:rPr>
      </w:pPr>
      <w:r>
        <w:rPr>
          <w:rFonts w:hint="default"/>
          <w:lang w:val="en-US" w:eastAsia="zh-CN"/>
        </w:rPr>
        <w:t>依据</w:t>
      </w:r>
      <w:r>
        <w:rPr>
          <w:rFonts w:hint="eastAsia"/>
          <w:lang w:val="en-US" w:eastAsia="zh-CN"/>
        </w:rPr>
        <w:t>《</w:t>
      </w:r>
      <w:r>
        <w:rPr>
          <w:rFonts w:hint="default"/>
          <w:lang w:val="en-US" w:eastAsia="zh-CN"/>
        </w:rPr>
        <w:t>环境影响评价技术导则 生态影响》（HJ19-2022）评价等级判定，最终确定本项目生态影响评价等级为</w:t>
      </w:r>
      <w:r>
        <w:rPr>
          <w:rFonts w:hint="eastAsia"/>
          <w:lang w:val="en-US" w:eastAsia="zh-CN"/>
        </w:rPr>
        <w:t>三</w:t>
      </w:r>
      <w:r>
        <w:rPr>
          <w:rFonts w:hint="default"/>
          <w:lang w:val="en-US" w:eastAsia="zh-CN"/>
        </w:rPr>
        <w:t>级。</w:t>
      </w:r>
    </w:p>
    <w:p w14:paraId="72818E7C">
      <w:pPr>
        <w:pStyle w:val="41"/>
        <w:bidi w:val="0"/>
        <w:rPr>
          <w:rFonts w:hint="default"/>
          <w:b/>
          <w:bCs/>
        </w:rPr>
      </w:pPr>
      <w:r>
        <w:rPr>
          <w:rFonts w:hint="default"/>
          <w:b/>
          <w:bCs/>
        </w:rPr>
        <w:t>（2）评价范围</w:t>
      </w:r>
    </w:p>
    <w:p w14:paraId="1A6BB2DA">
      <w:pPr>
        <w:pStyle w:val="41"/>
        <w:bidi w:val="0"/>
        <w:rPr>
          <w:rFonts w:hint="default"/>
        </w:rPr>
      </w:pPr>
      <w:r>
        <w:rPr>
          <w:rFonts w:hint="default"/>
        </w:rPr>
        <w:t>根据</w:t>
      </w:r>
      <w:r>
        <w:rPr>
          <w:rFonts w:hint="eastAsia"/>
          <w:lang w:eastAsia="zh-CN"/>
        </w:rPr>
        <w:t>《</w:t>
      </w:r>
      <w:r>
        <w:rPr>
          <w:rFonts w:hint="default"/>
        </w:rPr>
        <w:t>环境影响评价技术导则 生态影响》（HJ19-2022）6.2.1生态影响评价应能够充分体现生态完整性和生物多样性保护要求，涵盖评价项目全部活动的直接影响区域和间接影响区域。评价范围应依据评价项目对生态因子的影响方式、影响程度和生态因子之间的相互影响和相互依存关系确定；6.2.3矿山开采项目评价范围应涵盖开采区及其影响范围、各类场地及运输系统占地以及施工临时占地范围等。为了使评价能够充分体现生态完整性，并涵盖项目全部活动的直接影响区域和间接影响区域，结合项目规模及实际情况，本次生态现状调查范围及生态评价范围确定为：露天采场、</w:t>
      </w:r>
      <w:r>
        <w:rPr>
          <w:rFonts w:hint="eastAsia"/>
          <w:lang w:val="en-US" w:eastAsia="zh-CN"/>
        </w:rPr>
        <w:t>加工区</w:t>
      </w:r>
      <w:r>
        <w:rPr>
          <w:rFonts w:hint="default"/>
        </w:rPr>
        <w:t>及堆料场地占地范围以及其外扩500m的范围，本项目生态评价区总面积</w:t>
      </w:r>
      <w:r>
        <w:rPr>
          <w:rFonts w:hint="eastAsia"/>
        </w:rPr>
        <w:t>共</w:t>
      </w:r>
      <w:r>
        <w:rPr>
          <w:rFonts w:hint="eastAsia"/>
          <w:lang w:val="en-US" w:eastAsia="zh-CN"/>
        </w:rPr>
        <w:t>231.98</w:t>
      </w:r>
      <w:r>
        <w:rPr>
          <w:rFonts w:hint="eastAsia"/>
        </w:rPr>
        <w:t>hm</w:t>
      </w:r>
      <w:r>
        <w:rPr>
          <w:rFonts w:hint="eastAsia"/>
          <w:vertAlign w:val="superscript"/>
        </w:rPr>
        <w:t>2</w:t>
      </w:r>
      <w:r>
        <w:rPr>
          <w:rFonts w:hint="default"/>
        </w:rPr>
        <w:t>。</w:t>
      </w:r>
    </w:p>
    <w:p w14:paraId="64DB900B">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85" w:name="_Toc51158141"/>
      <w:bookmarkStart w:id="86" w:name="_Toc30213"/>
      <w:bookmarkStart w:id="87" w:name="_Toc30637"/>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.2环境空气评价等级及评价范围</w:t>
      </w:r>
      <w:bookmarkEnd w:id="85"/>
      <w:bookmarkEnd w:id="86"/>
      <w:bookmarkEnd w:id="87"/>
    </w:p>
    <w:p w14:paraId="75A60E4A">
      <w:pPr>
        <w:pStyle w:val="41"/>
        <w:bidi w:val="0"/>
        <w:rPr>
          <w:rFonts w:hint="default"/>
        </w:rPr>
      </w:pPr>
      <w:r>
        <w:rPr>
          <w:rFonts w:hint="default"/>
        </w:rPr>
        <w:t>（1）评价等级</w:t>
      </w:r>
    </w:p>
    <w:p w14:paraId="50EA10C2">
      <w:pPr>
        <w:pStyle w:val="41"/>
        <w:bidi w:val="0"/>
        <w:rPr>
          <w:rFonts w:hint="default"/>
          <w:lang w:eastAsia="zh-CN"/>
        </w:rPr>
      </w:pPr>
      <w:bookmarkStart w:id="88" w:name="_Toc289866106"/>
      <w:r>
        <w:rPr>
          <w:rFonts w:hint="default"/>
        </w:rPr>
        <w:t>根据</w:t>
      </w:r>
      <w:r>
        <w:rPr>
          <w:rFonts w:hint="eastAsia"/>
          <w:lang w:eastAsia="zh-CN"/>
        </w:rPr>
        <w:t>《</w:t>
      </w:r>
      <w:r>
        <w:rPr>
          <w:rFonts w:hint="default"/>
        </w:rPr>
        <w:t>环境影响评价技术导则 大气环境》（HJ2.2-2018），采用SCREEN3模型筛选计算各种污染物的最大地面浓度占标率Pi及其地面浓度达标准限值10%时所对应的最远距离D10%</w:t>
      </w:r>
      <w:r>
        <w:rPr>
          <w:rFonts w:hint="default"/>
          <w:lang w:eastAsia="zh-CN"/>
        </w:rPr>
        <w:t>。</w:t>
      </w:r>
    </w:p>
    <w:p w14:paraId="6A381963">
      <w:pPr>
        <w:pStyle w:val="41"/>
        <w:bidi w:val="0"/>
        <w:rPr>
          <w:rFonts w:hint="default"/>
          <w:lang w:val="it-IT"/>
        </w:rPr>
      </w:pPr>
      <w:r>
        <w:rPr>
          <w:rFonts w:hint="default"/>
        </w:rPr>
        <w:t>其中</w:t>
      </w:r>
      <w:r>
        <w:rPr>
          <w:rFonts w:hint="default"/>
          <w:lang w:val="it-IT"/>
        </w:rPr>
        <w:t>：Pi＝</w:t>
      </w:r>
      <w:r>
        <w:rPr>
          <w:rFonts w:hint="default"/>
          <w:lang w:val="it-IT" w:eastAsia="zh-CN"/>
        </w:rPr>
        <w:t>（</w:t>
      </w:r>
      <w:r>
        <w:rPr>
          <w:rFonts w:hint="default"/>
          <w:lang w:val="it-IT"/>
        </w:rPr>
        <w:t>Ci/C0i</w:t>
      </w:r>
      <w:r>
        <w:rPr>
          <w:rFonts w:hint="default"/>
          <w:lang w:val="it-IT" w:eastAsia="zh-CN"/>
        </w:rPr>
        <w:t>）</w:t>
      </w:r>
      <w:r>
        <w:rPr>
          <w:rFonts w:hint="default"/>
          <w:lang w:val="it-IT"/>
        </w:rPr>
        <w:t>×100%</w:t>
      </w:r>
    </w:p>
    <w:p w14:paraId="6261A9B9">
      <w:pPr>
        <w:pStyle w:val="41"/>
        <w:bidi w:val="0"/>
        <w:rPr>
          <w:rFonts w:hint="default"/>
        </w:rPr>
      </w:pPr>
      <w:r>
        <w:rPr>
          <w:rFonts w:hint="default"/>
        </w:rPr>
        <w:t>式中：Pi—第i个污染物的最大地面空气质量浓度占标率，%；</w:t>
      </w:r>
    </w:p>
    <w:p w14:paraId="008D0A18">
      <w:pPr>
        <w:pStyle w:val="41"/>
        <w:bidi w:val="0"/>
        <w:rPr>
          <w:rFonts w:hint="default"/>
        </w:rPr>
      </w:pPr>
      <w:r>
        <w:rPr>
          <w:rFonts w:hint="default"/>
        </w:rPr>
        <w:t>Ci—采用估算模型计算出的第i个污染物的最大1h地面浓度，μg/</w:t>
      </w:r>
      <w:r>
        <w:rPr>
          <w:rFonts w:hint="eastAsia"/>
          <w:lang w:eastAsia="zh-CN"/>
        </w:rPr>
        <w:t>m</w:t>
      </w:r>
      <w:r>
        <w:rPr>
          <w:rFonts w:hint="eastAsia"/>
          <w:vertAlign w:val="superscript"/>
          <w:lang w:eastAsia="zh-CN"/>
        </w:rPr>
        <w:t>3</w:t>
      </w:r>
      <w:r>
        <w:rPr>
          <w:rFonts w:hint="default"/>
        </w:rPr>
        <w:t>；</w:t>
      </w:r>
    </w:p>
    <w:p w14:paraId="7EA29C08">
      <w:pPr>
        <w:pStyle w:val="41"/>
        <w:bidi w:val="0"/>
        <w:rPr>
          <w:rFonts w:hint="default"/>
        </w:rPr>
      </w:pPr>
      <w:r>
        <w:rPr>
          <w:rFonts w:hint="default"/>
        </w:rPr>
        <w:t>C0i—第i个污染物的环境空气质量浓度标准，μg/</w:t>
      </w:r>
      <w:r>
        <w:rPr>
          <w:rFonts w:hint="eastAsia"/>
          <w:lang w:eastAsia="zh-CN"/>
        </w:rPr>
        <w:t>m</w:t>
      </w:r>
      <w:r>
        <w:rPr>
          <w:rFonts w:hint="eastAsia"/>
          <w:vertAlign w:val="superscript"/>
          <w:lang w:eastAsia="zh-CN"/>
        </w:rPr>
        <w:t>3</w:t>
      </w:r>
      <w:r>
        <w:rPr>
          <w:rFonts w:hint="default"/>
        </w:rPr>
        <w:t>。</w:t>
      </w:r>
    </w:p>
    <w:p w14:paraId="79F6F70F">
      <w:pPr>
        <w:pStyle w:val="41"/>
        <w:bidi w:val="0"/>
        <w:rPr>
          <w:rFonts w:hint="default"/>
        </w:rPr>
      </w:pPr>
      <w:r>
        <w:rPr>
          <w:rFonts w:hint="default"/>
        </w:rPr>
        <w:t>C0i选用GB3095中1h平均质量浓度的二级浓度限值；对该标准中未包含的污染物，使用依据HJ2.2-2018中5.2确定的各评价因子1h平均质量浓度限值；对仅有8h平均质量浓度限值、日平均质量浓度限值或年平均质量浓度限值的，可分别按2倍、3倍、6倍折算为1h平均质量浓度限值。详细等级划分依据见表</w:t>
      </w:r>
      <w:r>
        <w:rPr>
          <w:rFonts w:hint="default"/>
          <w:lang w:val="en-US" w:eastAsia="zh-CN"/>
        </w:rPr>
        <w:t>1</w:t>
      </w:r>
      <w:r>
        <w:rPr>
          <w:rFonts w:hint="default"/>
        </w:rPr>
        <w:t>.6-</w:t>
      </w:r>
      <w:r>
        <w:rPr>
          <w:rFonts w:hint="default"/>
          <w:lang w:val="en-US" w:eastAsia="zh-CN"/>
        </w:rPr>
        <w:t>1</w:t>
      </w:r>
      <w:r>
        <w:rPr>
          <w:rFonts w:hint="default"/>
        </w:rPr>
        <w:t>。</w:t>
      </w:r>
    </w:p>
    <w:p w14:paraId="74B7C8C0">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w:t>
      </w:r>
      <w:r>
        <w:rPr>
          <w:rFonts w:hint="default" w:ascii="Times New Roman" w:hAnsi="Times New Roman" w:cs="Times New Roman"/>
          <w:b/>
          <w:bCs/>
          <w:color w:val="000000" w:themeColor="text1"/>
          <w:highlight w:val="none"/>
          <w:lang w:val="en-US" w:eastAsia="zh-CN"/>
          <w14:textFill>
            <w14:solidFill>
              <w14:schemeClr w14:val="tx1"/>
            </w14:solidFill>
          </w14:textFill>
        </w:rPr>
        <w:t>6</w:t>
      </w:r>
      <w:r>
        <w:rPr>
          <w:rFonts w:hint="default" w:ascii="Times New Roman" w:hAnsi="Times New Roman" w:cs="Times New Roman"/>
          <w:b/>
          <w:bCs/>
          <w:color w:val="000000" w:themeColor="text1"/>
          <w:highlight w:val="none"/>
          <w14:textFill>
            <w14:solidFill>
              <w14:schemeClr w14:val="tx1"/>
            </w14:solidFill>
          </w14:textFill>
        </w:rPr>
        <w:t>-</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 xml:space="preserve">  环境空气评价等级判别表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118"/>
      </w:tblGrid>
      <w:tr w14:paraId="31F6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19" w:type="dxa"/>
            <w:noWrap w:val="0"/>
            <w:vAlign w:val="center"/>
          </w:tcPr>
          <w:p w14:paraId="0EA12175">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评价工作等级</w:t>
            </w:r>
          </w:p>
        </w:tc>
        <w:tc>
          <w:tcPr>
            <w:tcW w:w="5901" w:type="dxa"/>
            <w:noWrap w:val="0"/>
            <w:vAlign w:val="center"/>
          </w:tcPr>
          <w:p w14:paraId="03CE3D0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评价工作分级判据</w:t>
            </w:r>
          </w:p>
        </w:tc>
      </w:tr>
      <w:tr w14:paraId="4337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19" w:type="dxa"/>
            <w:noWrap w:val="0"/>
            <w:vAlign w:val="center"/>
          </w:tcPr>
          <w:p w14:paraId="0BB9196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一级评价</w:t>
            </w:r>
          </w:p>
        </w:tc>
        <w:tc>
          <w:tcPr>
            <w:tcW w:w="5901" w:type="dxa"/>
            <w:noWrap w:val="0"/>
            <w:vAlign w:val="center"/>
          </w:tcPr>
          <w:p w14:paraId="67CBDB4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Pmax≥10%</w:t>
            </w:r>
          </w:p>
        </w:tc>
      </w:tr>
      <w:tr w14:paraId="78DB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19" w:type="dxa"/>
            <w:noWrap w:val="0"/>
            <w:vAlign w:val="center"/>
          </w:tcPr>
          <w:p w14:paraId="3C9EDE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二级评价</w:t>
            </w:r>
          </w:p>
        </w:tc>
        <w:tc>
          <w:tcPr>
            <w:tcW w:w="5901" w:type="dxa"/>
            <w:noWrap w:val="0"/>
            <w:vAlign w:val="center"/>
          </w:tcPr>
          <w:p w14:paraId="6B3C38F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1%≤Pmax&lt;10%</w:t>
            </w:r>
          </w:p>
        </w:tc>
      </w:tr>
      <w:tr w14:paraId="3A57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19" w:type="dxa"/>
            <w:noWrap w:val="0"/>
            <w:vAlign w:val="center"/>
          </w:tcPr>
          <w:p w14:paraId="653A35A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三级评价</w:t>
            </w:r>
          </w:p>
        </w:tc>
        <w:tc>
          <w:tcPr>
            <w:tcW w:w="5901" w:type="dxa"/>
            <w:noWrap w:val="0"/>
            <w:vAlign w:val="center"/>
          </w:tcPr>
          <w:p w14:paraId="30B7EA9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Pmax&lt;1%</w:t>
            </w:r>
          </w:p>
        </w:tc>
      </w:tr>
    </w:tbl>
    <w:p w14:paraId="5CAB159D">
      <w:pPr>
        <w:pStyle w:val="41"/>
        <w:bidi w:val="0"/>
        <w:rPr>
          <w:rFonts w:hint="default"/>
        </w:rPr>
      </w:pPr>
      <w:r>
        <w:rPr>
          <w:rFonts w:hint="default"/>
        </w:rPr>
        <w:t>根据工程分析结果，按照</w:t>
      </w:r>
      <w:r>
        <w:rPr>
          <w:rFonts w:hint="eastAsia"/>
          <w:lang w:eastAsia="zh-CN"/>
        </w:rPr>
        <w:t>《</w:t>
      </w:r>
      <w:r>
        <w:rPr>
          <w:rFonts w:hint="default"/>
        </w:rPr>
        <w:t>环境影响评价技术导则 大气环境》（HJ2.2-2018）的评价工作级别的划分原则和方法，选择AERSCREEN估算模型对项目的大气环境评价工作等级进行划分，</w:t>
      </w:r>
      <w:r>
        <w:rPr>
          <w:rFonts w:hint="default"/>
          <w:lang w:val="en-US" w:eastAsia="zh-CN"/>
        </w:rPr>
        <w:t>各场地</w:t>
      </w:r>
      <w:r>
        <w:rPr>
          <w:rFonts w:hint="default"/>
        </w:rPr>
        <w:t>排放的污染物Pmax、D10%结果见表</w:t>
      </w:r>
      <w:r>
        <w:rPr>
          <w:rFonts w:hint="default"/>
          <w:lang w:val="en-US" w:eastAsia="zh-CN"/>
        </w:rPr>
        <w:t>1</w:t>
      </w:r>
      <w:r>
        <w:rPr>
          <w:rFonts w:hint="default"/>
        </w:rPr>
        <w:t>.6-</w:t>
      </w:r>
      <w:r>
        <w:rPr>
          <w:rFonts w:hint="default"/>
          <w:lang w:val="en-US" w:eastAsia="zh-CN"/>
        </w:rPr>
        <w:t>2</w:t>
      </w:r>
      <w:r>
        <w:rPr>
          <w:rFonts w:hint="default"/>
        </w:rPr>
        <w:t>所示。</w:t>
      </w:r>
    </w:p>
    <w:p w14:paraId="62AA77AD">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.6-</w:t>
      </w:r>
      <w:r>
        <w:rPr>
          <w:rFonts w:hint="default" w:ascii="Times New Roman" w:hAnsi="Times New Roman" w:cs="Times New Roman"/>
          <w:b/>
          <w:bCs/>
          <w:color w:val="000000" w:themeColor="text1"/>
          <w:highlight w:val="none"/>
          <w:lang w:val="en-US" w:eastAsia="zh-CN"/>
          <w14:textFill>
            <w14:solidFill>
              <w14:schemeClr w14:val="tx1"/>
            </w14:solidFill>
          </w14:textFill>
        </w:rPr>
        <w:t>2</w:t>
      </w:r>
      <w:r>
        <w:rPr>
          <w:rFonts w:hint="default" w:ascii="Times New Roman" w:hAnsi="Times New Roman" w:cs="Times New Roman"/>
          <w:b/>
          <w:bCs/>
          <w:color w:val="000000" w:themeColor="text1"/>
          <w:highlight w:val="none"/>
          <w14:textFill>
            <w14:solidFill>
              <w14:schemeClr w14:val="tx1"/>
            </w14:solidFill>
          </w14:textFill>
        </w:rPr>
        <w:t xml:space="preserve">  各污染物排放估算Pmax、D</w:t>
      </w:r>
      <w:r>
        <w:rPr>
          <w:rFonts w:hint="default" w:ascii="Times New Roman" w:hAnsi="Times New Roman" w:cs="Times New Roman"/>
          <w:b/>
          <w:bCs/>
          <w:color w:val="000000" w:themeColor="text1"/>
          <w:highlight w:val="none"/>
          <w:vertAlign w:val="subscript"/>
          <w14:textFill>
            <w14:solidFill>
              <w14:schemeClr w14:val="tx1"/>
            </w14:solidFill>
          </w14:textFill>
        </w:rPr>
        <w:t>10%</w:t>
      </w:r>
      <w:r>
        <w:rPr>
          <w:rFonts w:hint="default" w:ascii="Times New Roman" w:hAnsi="Times New Roman" w:cs="Times New Roman"/>
          <w:b/>
          <w:bCs/>
          <w:color w:val="000000" w:themeColor="text1"/>
          <w:highlight w:val="none"/>
          <w14:textFill>
            <w14:solidFill>
              <w14:schemeClr w14:val="tx1"/>
            </w14:solidFill>
          </w14:textFill>
        </w:rPr>
        <w:t>计算结果一览表</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973"/>
        <w:gridCol w:w="1495"/>
        <w:gridCol w:w="1283"/>
        <w:gridCol w:w="1270"/>
        <w:gridCol w:w="1137"/>
        <w:gridCol w:w="1088"/>
      </w:tblGrid>
      <w:tr w14:paraId="5473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dxa"/>
            <w:vAlign w:val="center"/>
          </w:tcPr>
          <w:p w14:paraId="7E7B5A48">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排放源</w:t>
            </w:r>
          </w:p>
        </w:tc>
        <w:tc>
          <w:tcPr>
            <w:tcW w:w="973" w:type="dxa"/>
            <w:vAlign w:val="center"/>
          </w:tcPr>
          <w:p w14:paraId="1A81802F">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污染物</w:t>
            </w:r>
          </w:p>
        </w:tc>
        <w:tc>
          <w:tcPr>
            <w:tcW w:w="1494" w:type="dxa"/>
            <w:vAlign w:val="center"/>
          </w:tcPr>
          <w:p w14:paraId="23205827">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最大落地浓</w:t>
            </w:r>
          </w:p>
          <w:p w14:paraId="24D5FCAA">
            <w:pPr>
              <w:pStyle w:val="43"/>
              <w:bidi w:val="0"/>
              <w:rPr>
                <w:rFonts w:hint="eastAsia" w:eastAsia="宋体"/>
                <w:b/>
                <w:bCs/>
                <w:color w:val="000000" w:themeColor="text1"/>
                <w:highlight w:val="none"/>
                <w:lang w:eastAsia="zh-CN"/>
                <w14:textFill>
                  <w14:solidFill>
                    <w14:schemeClr w14:val="tx1"/>
                  </w14:solidFill>
                </w14:textFill>
              </w:rPr>
            </w:pPr>
            <w:r>
              <w:rPr>
                <w:rFonts w:hint="default"/>
                <w:b/>
                <w:bCs/>
                <w:color w:val="000000" w:themeColor="text1"/>
                <w:highlight w:val="none"/>
                <w14:textFill>
                  <w14:solidFill>
                    <w14:schemeClr w14:val="tx1"/>
                  </w14:solidFill>
                </w14:textFill>
              </w:rPr>
              <w:t>度</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μ</w:t>
            </w:r>
            <w:r>
              <w:rPr>
                <w:rFonts w:hint="default"/>
                <w:b/>
                <w:bCs/>
                <w:color w:val="000000" w:themeColor="text1"/>
                <w:highlight w:val="none"/>
                <w14:textFill>
                  <w14:solidFill>
                    <w14:schemeClr w14:val="tx1"/>
                  </w14:solidFill>
                </w14:textFill>
              </w:rPr>
              <w:t>g/</w:t>
            </w:r>
            <w:r>
              <w:rPr>
                <w:rFonts w:hint="eastAsia"/>
                <w:b/>
                <w:bCs/>
                <w:color w:val="000000" w:themeColor="text1"/>
                <w:highlight w:val="none"/>
                <w:lang w:eastAsia="zh-CN"/>
                <w14:textFill>
                  <w14:solidFill>
                    <w14:schemeClr w14:val="tx1"/>
                  </w14:solidFill>
                </w14:textFill>
              </w:rPr>
              <w:t>m</w:t>
            </w:r>
            <w:r>
              <w:rPr>
                <w:rFonts w:hint="eastAsia"/>
                <w:b/>
                <w:bCs/>
                <w:color w:val="000000" w:themeColor="text1"/>
                <w:highlight w:val="none"/>
                <w:vertAlign w:val="superscript"/>
                <w:lang w:eastAsia="zh-CN"/>
                <w14:textFill>
                  <w14:solidFill>
                    <w14:schemeClr w14:val="tx1"/>
                  </w14:solidFill>
                </w14:textFill>
              </w:rPr>
              <w:t>3</w:t>
            </w:r>
            <w:r>
              <w:rPr>
                <w:rFonts w:hint="eastAsia"/>
                <w:b/>
                <w:bCs/>
                <w:color w:val="000000" w:themeColor="text1"/>
                <w:highlight w:val="none"/>
                <w:lang w:eastAsia="zh-CN"/>
                <w14:textFill>
                  <w14:solidFill>
                    <w14:schemeClr w14:val="tx1"/>
                  </w14:solidFill>
                </w14:textFill>
              </w:rPr>
              <w:t>）</w:t>
            </w:r>
          </w:p>
        </w:tc>
        <w:tc>
          <w:tcPr>
            <w:tcW w:w="1282" w:type="dxa"/>
            <w:vAlign w:val="center"/>
          </w:tcPr>
          <w:p w14:paraId="6965B97E">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出现距离</w:t>
            </w:r>
          </w:p>
          <w:p w14:paraId="243DD05F">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（m</w:t>
            </w:r>
            <w:r>
              <w:rPr>
                <w:rFonts w:hint="eastAsia"/>
                <w:b/>
                <w:bCs/>
                <w:color w:val="000000" w:themeColor="text1"/>
                <w:highlight w:val="none"/>
                <w:lang w:eastAsia="zh-CN"/>
                <w14:textFill>
                  <w14:solidFill>
                    <w14:schemeClr w14:val="tx1"/>
                  </w14:solidFill>
                </w14:textFill>
              </w:rPr>
              <w:t>)</w:t>
            </w:r>
          </w:p>
        </w:tc>
        <w:tc>
          <w:tcPr>
            <w:tcW w:w="1269" w:type="dxa"/>
            <w:vAlign w:val="center"/>
          </w:tcPr>
          <w:p w14:paraId="2272CF49">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占标率</w:t>
            </w:r>
          </w:p>
          <w:p w14:paraId="7136BBCB">
            <w:pPr>
              <w:pStyle w:val="43"/>
              <w:bidi w:val="0"/>
              <w:rPr>
                <w:rFonts w:hint="eastAsia" w:eastAsia="宋体"/>
                <w:b/>
                <w:bCs/>
                <w:color w:val="000000" w:themeColor="text1"/>
                <w:highlight w:val="none"/>
                <w:lang w:eastAsia="zh-CN"/>
                <w14:textFill>
                  <w14:solidFill>
                    <w14:schemeClr w14:val="tx1"/>
                  </w14:solidFill>
                </w14:textFill>
              </w:rPr>
            </w:pPr>
            <w:r>
              <w:rPr>
                <w:rFonts w:hint="default"/>
                <w:b/>
                <w:bCs/>
                <w:color w:val="000000" w:themeColor="text1"/>
                <w:highlight w:val="none"/>
                <w14:textFill>
                  <w14:solidFill>
                    <w14:schemeClr w14:val="tx1"/>
                  </w14:solidFill>
                </w14:textFill>
              </w:rPr>
              <w:t>Pmax</w:t>
            </w:r>
            <w:r>
              <w:rPr>
                <w:rFonts w:hint="eastAsia"/>
                <w:b/>
                <w:bCs/>
                <w:color w:val="000000" w:themeColor="text1"/>
                <w:highlight w:val="none"/>
                <w:lang w:eastAsia="zh-CN"/>
                <w14:textFill>
                  <w14:solidFill>
                    <w14:schemeClr w14:val="tx1"/>
                  </w14:solidFill>
                </w14:textFill>
              </w:rPr>
              <w:t>（</w:t>
            </w:r>
            <w:r>
              <w:rPr>
                <w:rFonts w:hint="default"/>
                <w:b/>
                <w:bCs/>
                <w:color w:val="000000" w:themeColor="text1"/>
                <w:highlight w:val="none"/>
                <w14:textFill>
                  <w14:solidFill>
                    <w14:schemeClr w14:val="tx1"/>
                  </w14:solidFill>
                </w14:textFill>
              </w:rPr>
              <w:t>%</w:t>
            </w:r>
            <w:r>
              <w:rPr>
                <w:rFonts w:hint="eastAsia"/>
                <w:b/>
                <w:bCs/>
                <w:color w:val="000000" w:themeColor="text1"/>
                <w:highlight w:val="none"/>
                <w:lang w:eastAsia="zh-CN"/>
                <w14:textFill>
                  <w14:solidFill>
                    <w14:schemeClr w14:val="tx1"/>
                  </w14:solidFill>
                </w14:textFill>
              </w:rPr>
              <w:t>)</w:t>
            </w:r>
          </w:p>
        </w:tc>
        <w:tc>
          <w:tcPr>
            <w:tcW w:w="1137" w:type="dxa"/>
            <w:vAlign w:val="center"/>
          </w:tcPr>
          <w:p w14:paraId="5FC03683">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D</w:t>
            </w:r>
            <w:r>
              <w:rPr>
                <w:rFonts w:hint="default"/>
                <w:b/>
                <w:bCs/>
                <w:color w:val="000000" w:themeColor="text1"/>
                <w:highlight w:val="none"/>
                <w:vertAlign w:val="subscript"/>
                <w14:textFill>
                  <w14:solidFill>
                    <w14:schemeClr w14:val="tx1"/>
                  </w14:solidFill>
                </w14:textFill>
              </w:rPr>
              <w:t>10</w:t>
            </w:r>
            <w:r>
              <w:rPr>
                <w:rFonts w:hint="eastAsia"/>
                <w:b/>
                <w:bCs/>
                <w:color w:val="000000" w:themeColor="text1"/>
                <w:highlight w:val="none"/>
                <w:vertAlign w:val="subscript"/>
                <w:lang w:val="en-US" w:eastAsia="zh-CN"/>
                <w14:textFill>
                  <w14:solidFill>
                    <w14:schemeClr w14:val="tx1"/>
                  </w14:solidFill>
                </w14:textFill>
              </w:rPr>
              <w:t>%</w:t>
            </w:r>
            <w:r>
              <w:rPr>
                <w:rFonts w:hint="default"/>
                <w:b/>
                <w:bCs/>
                <w:color w:val="000000" w:themeColor="text1"/>
                <w:highlight w:val="none"/>
                <w14:textFill>
                  <w14:solidFill>
                    <w14:schemeClr w14:val="tx1"/>
                  </w14:solidFill>
                </w14:textFill>
              </w:rPr>
              <w:t>（m</w:t>
            </w:r>
            <w:r>
              <w:rPr>
                <w:rFonts w:hint="eastAsia"/>
                <w:b/>
                <w:bCs/>
                <w:color w:val="000000" w:themeColor="text1"/>
                <w:highlight w:val="none"/>
                <w:lang w:eastAsia="zh-CN"/>
                <w14:textFill>
                  <w14:solidFill>
                    <w14:schemeClr w14:val="tx1"/>
                  </w14:solidFill>
                </w14:textFill>
              </w:rPr>
              <w:t>)</w:t>
            </w:r>
          </w:p>
        </w:tc>
        <w:tc>
          <w:tcPr>
            <w:tcW w:w="1088" w:type="dxa"/>
            <w:vAlign w:val="center"/>
          </w:tcPr>
          <w:p w14:paraId="24B29196">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评价等级</w:t>
            </w:r>
          </w:p>
        </w:tc>
      </w:tr>
      <w:tr w14:paraId="5D219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dxa"/>
            <w:shd w:val="clear" w:color="auto" w:fill="auto"/>
            <w:vAlign w:val="center"/>
          </w:tcPr>
          <w:p w14:paraId="03744A18">
            <w:pPr>
              <w:pStyle w:val="43"/>
              <w:bidi w:val="0"/>
              <w:ind w:firstLine="0" w:firstLineChars="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DA001排气筒</w:t>
            </w:r>
          </w:p>
        </w:tc>
        <w:tc>
          <w:tcPr>
            <w:tcW w:w="973" w:type="dxa"/>
            <w:vAlign w:val="center"/>
          </w:tcPr>
          <w:p w14:paraId="276D8A85">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TSP</w:t>
            </w:r>
          </w:p>
        </w:tc>
        <w:tc>
          <w:tcPr>
            <w:tcW w:w="1494" w:type="dxa"/>
            <w:shd w:val="clear" w:color="auto" w:fill="auto"/>
            <w:vAlign w:val="center"/>
          </w:tcPr>
          <w:p w14:paraId="17183BCD">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8.23</w:t>
            </w:r>
          </w:p>
        </w:tc>
        <w:tc>
          <w:tcPr>
            <w:tcW w:w="1282" w:type="dxa"/>
            <w:shd w:val="clear" w:color="auto" w:fill="auto"/>
            <w:vAlign w:val="center"/>
          </w:tcPr>
          <w:p w14:paraId="072D6412">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23</w:t>
            </w:r>
          </w:p>
        </w:tc>
        <w:tc>
          <w:tcPr>
            <w:tcW w:w="1269" w:type="dxa"/>
            <w:vAlign w:val="center"/>
          </w:tcPr>
          <w:p w14:paraId="6600C93C">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0.91</w:t>
            </w:r>
          </w:p>
        </w:tc>
        <w:tc>
          <w:tcPr>
            <w:tcW w:w="1137" w:type="dxa"/>
            <w:vAlign w:val="center"/>
          </w:tcPr>
          <w:p w14:paraId="28637194">
            <w:pPr>
              <w:pStyle w:val="43"/>
              <w:bidi w:val="0"/>
              <w:rPr>
                <w:rFonts w:hint="default"/>
                <w:color w:val="000000" w:themeColor="text1"/>
                <w:highlight w:val="none"/>
                <w14:textFill>
                  <w14:solidFill>
                    <w14:schemeClr w14:val="tx1"/>
                  </w14:solidFill>
                </w14:textFill>
              </w:rPr>
            </w:pPr>
            <w:r>
              <w:rPr>
                <w:rFonts w:hint="default"/>
                <w:color w:val="000000" w:themeColor="text1"/>
                <w:highlight w:val="none"/>
                <w:lang w:val="en-US" w:eastAsia="zh-CN"/>
                <w14:textFill>
                  <w14:solidFill>
                    <w14:schemeClr w14:val="tx1"/>
                  </w14:solidFill>
                </w14:textFill>
              </w:rPr>
              <w:t>0</w:t>
            </w:r>
          </w:p>
        </w:tc>
        <w:tc>
          <w:tcPr>
            <w:tcW w:w="1088" w:type="dxa"/>
            <w:vAlign w:val="center"/>
          </w:tcPr>
          <w:p w14:paraId="7C3B72FD">
            <w:pPr>
              <w:pStyle w:val="43"/>
              <w:bidi w:val="0"/>
              <w:rPr>
                <w:rFonts w:hint="default"/>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二级</w:t>
            </w:r>
          </w:p>
        </w:tc>
      </w:tr>
      <w:tr w14:paraId="4998F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080" w:type="dxa"/>
            <w:shd w:val="clear" w:color="auto" w:fill="auto"/>
            <w:vAlign w:val="center"/>
          </w:tcPr>
          <w:p w14:paraId="4036F071">
            <w:pPr>
              <w:pStyle w:val="43"/>
              <w:bidi w:val="0"/>
              <w:ind w:firstLine="0" w:firstLineChars="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厂界无组织</w:t>
            </w:r>
          </w:p>
        </w:tc>
        <w:tc>
          <w:tcPr>
            <w:tcW w:w="973" w:type="dxa"/>
            <w:vAlign w:val="center"/>
          </w:tcPr>
          <w:p w14:paraId="202D7796">
            <w:pPr>
              <w:pStyle w:val="43"/>
              <w:bidi w:val="0"/>
              <w:rPr>
                <w:rFonts w:hint="default"/>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TSP</w:t>
            </w:r>
          </w:p>
        </w:tc>
        <w:tc>
          <w:tcPr>
            <w:tcW w:w="1494" w:type="dxa"/>
            <w:shd w:val="clear" w:color="auto" w:fill="auto"/>
            <w:vAlign w:val="center"/>
          </w:tcPr>
          <w:p w14:paraId="40FA650E">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38.65</w:t>
            </w:r>
          </w:p>
        </w:tc>
        <w:tc>
          <w:tcPr>
            <w:tcW w:w="1282" w:type="dxa"/>
            <w:shd w:val="clear" w:color="auto" w:fill="auto"/>
            <w:vAlign w:val="center"/>
          </w:tcPr>
          <w:p w14:paraId="3CEFC7E3">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108</w:t>
            </w:r>
          </w:p>
        </w:tc>
        <w:tc>
          <w:tcPr>
            <w:tcW w:w="1269" w:type="dxa"/>
            <w:vAlign w:val="center"/>
          </w:tcPr>
          <w:p w14:paraId="22311837">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4.29</w:t>
            </w:r>
          </w:p>
        </w:tc>
        <w:tc>
          <w:tcPr>
            <w:tcW w:w="1137" w:type="dxa"/>
            <w:shd w:val="clear" w:color="auto" w:fill="auto"/>
            <w:vAlign w:val="center"/>
          </w:tcPr>
          <w:p w14:paraId="15B525E3">
            <w:pPr>
              <w:pStyle w:val="43"/>
              <w:bidi w:val="0"/>
              <w:ind w:firstLine="0" w:firstLineChars="0"/>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w:t>
            </w:r>
          </w:p>
        </w:tc>
        <w:tc>
          <w:tcPr>
            <w:tcW w:w="1088" w:type="dxa"/>
            <w:shd w:val="clear" w:color="auto" w:fill="auto"/>
            <w:vAlign w:val="center"/>
          </w:tcPr>
          <w:p w14:paraId="4127C939">
            <w:pPr>
              <w:pStyle w:val="43"/>
              <w:bidi w:val="0"/>
              <w:ind w:firstLine="0" w:firstLineChars="0"/>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二级</w:t>
            </w:r>
          </w:p>
        </w:tc>
      </w:tr>
    </w:tbl>
    <w:p w14:paraId="46B2369B">
      <w:pPr>
        <w:pStyle w:val="41"/>
        <w:bidi w:val="0"/>
        <w:rPr>
          <w:rFonts w:hint="default"/>
        </w:rPr>
      </w:pPr>
      <w:r>
        <w:rPr>
          <w:rFonts w:hint="default"/>
        </w:rPr>
        <w:t>根据估算结果可知，项目污染物最大占标率为</w:t>
      </w:r>
      <w:r>
        <w:rPr>
          <w:rFonts w:hint="eastAsia"/>
          <w:lang w:val="en-US" w:eastAsia="zh-CN"/>
        </w:rPr>
        <w:t>8.50</w:t>
      </w:r>
      <w:r>
        <w:rPr>
          <w:rFonts w:hint="default"/>
        </w:rPr>
        <w:t>%，Pmax&lt;10%，结合</w:t>
      </w:r>
      <w:r>
        <w:rPr>
          <w:rFonts w:hint="eastAsia"/>
          <w:lang w:eastAsia="zh-CN"/>
        </w:rPr>
        <w:t>《</w:t>
      </w:r>
      <w:r>
        <w:rPr>
          <w:rFonts w:hint="default"/>
        </w:rPr>
        <w:t>环境影响评价技术导则 大气环境》（HJ2.2-2018）分级判据，确定本项目大气环境影响评价工作等级为二级。</w:t>
      </w:r>
    </w:p>
    <w:p w14:paraId="07A41E23">
      <w:pPr>
        <w:pStyle w:val="41"/>
        <w:bidi w:val="0"/>
        <w:rPr>
          <w:rFonts w:hint="default"/>
          <w:b/>
          <w:bCs/>
        </w:rPr>
      </w:pPr>
      <w:r>
        <w:rPr>
          <w:rFonts w:hint="default"/>
          <w:b/>
          <w:bCs/>
        </w:rPr>
        <w:t>（2）评价范围</w:t>
      </w:r>
    </w:p>
    <w:p w14:paraId="0CEC570A">
      <w:pPr>
        <w:pStyle w:val="41"/>
        <w:bidi w:val="0"/>
        <w:rPr>
          <w:rFonts w:hint="default"/>
        </w:rPr>
      </w:pPr>
      <w:r>
        <w:rPr>
          <w:rFonts w:hint="default"/>
        </w:rPr>
        <w:t>以</w:t>
      </w:r>
      <w:r>
        <w:rPr>
          <w:rFonts w:hint="default"/>
          <w:lang w:val="en-US" w:eastAsia="zh-CN"/>
        </w:rPr>
        <w:t>矿界</w:t>
      </w:r>
      <w:r>
        <w:rPr>
          <w:rFonts w:hint="default"/>
        </w:rPr>
        <w:t>为中心，边长为5km的矩形区域。</w:t>
      </w:r>
    </w:p>
    <w:bookmarkEnd w:id="88"/>
    <w:p w14:paraId="3AB3E869">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89" w:name="_Toc416"/>
      <w:bookmarkStart w:id="90" w:name="_Toc17284"/>
      <w:bookmarkStart w:id="91" w:name="_Toc51158142"/>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.3地表水环境评价等级及评价范围</w:t>
      </w:r>
      <w:bookmarkEnd w:id="89"/>
      <w:bookmarkEnd w:id="90"/>
      <w:bookmarkEnd w:id="91"/>
    </w:p>
    <w:p w14:paraId="3F131B44">
      <w:pPr>
        <w:pStyle w:val="41"/>
        <w:bidi w:val="0"/>
        <w:rPr>
          <w:rFonts w:hint="default"/>
          <w:b/>
          <w:bCs/>
        </w:rPr>
      </w:pPr>
      <w:r>
        <w:rPr>
          <w:rFonts w:hint="default"/>
          <w:b/>
          <w:bCs/>
        </w:rPr>
        <w:t>（1）评价等级</w:t>
      </w:r>
    </w:p>
    <w:p w14:paraId="731641DE">
      <w:pPr>
        <w:pStyle w:val="41"/>
        <w:bidi w:val="0"/>
        <w:rPr>
          <w:rFonts w:hint="default"/>
        </w:rPr>
      </w:pPr>
      <w:r>
        <w:rPr>
          <w:rFonts w:hint="eastAsia"/>
          <w:lang w:val="en-US" w:eastAsia="zh-CN"/>
        </w:rPr>
        <w:t>项目采用雨污分流制，外围区域设置截排水沟，各场地外的雨水通过截水沟排至项目区周边雨水沟渠</w:t>
      </w:r>
      <w:r>
        <w:rPr>
          <w:rFonts w:hint="default"/>
          <w:lang w:val="en-US" w:eastAsia="zh-CN"/>
        </w:rPr>
        <w:t>。</w:t>
      </w:r>
      <w:r>
        <w:rPr>
          <w:rFonts w:hint="eastAsia"/>
          <w:lang w:val="en-US" w:eastAsia="zh-CN"/>
        </w:rPr>
        <w:t>项目区内部各场地另设雨水收集系统，初期雨水经收集沉淀后回用于项目场地洒水降尘，生活污水</w:t>
      </w:r>
      <w:r>
        <w:rPr>
          <w:rFonts w:hint="default"/>
          <w:lang w:val="en-US" w:eastAsia="zh-CN"/>
        </w:rPr>
        <w:t>经</w:t>
      </w:r>
      <w:r>
        <w:rPr>
          <w:rFonts w:hint="eastAsia"/>
          <w:lang w:val="en-US" w:eastAsia="zh-CN"/>
        </w:rPr>
        <w:t>粪污收集池收集后周边农户定期清掏做农肥，项目无废水外排</w:t>
      </w:r>
      <w:r>
        <w:rPr>
          <w:rFonts w:hint="default"/>
          <w:lang w:val="en-US" w:eastAsia="zh-CN"/>
        </w:rPr>
        <w:t>，本项目地表水评价等级确定为三级B。</w:t>
      </w:r>
    </w:p>
    <w:p w14:paraId="67967200">
      <w:pPr>
        <w:pStyle w:val="41"/>
        <w:bidi w:val="0"/>
        <w:rPr>
          <w:rFonts w:hint="default"/>
          <w:b/>
          <w:bCs/>
        </w:rPr>
      </w:pPr>
      <w:r>
        <w:rPr>
          <w:rFonts w:hint="default"/>
          <w:b/>
          <w:bCs/>
        </w:rPr>
        <w:t>（2）评价范围</w:t>
      </w:r>
    </w:p>
    <w:p w14:paraId="636303B2">
      <w:pPr>
        <w:pStyle w:val="41"/>
        <w:bidi w:val="0"/>
        <w:rPr>
          <w:rFonts w:hint="default"/>
        </w:rPr>
      </w:pPr>
      <w:r>
        <w:rPr>
          <w:rFonts w:hint="default"/>
          <w:lang w:val="en-US" w:eastAsia="zh-CN"/>
        </w:rPr>
        <w:t>本项目地表水评价等级确定为三级B，不设置地表水评价范围，主要分析项目各类废水回用可行性</w:t>
      </w:r>
      <w:r>
        <w:rPr>
          <w:rFonts w:hint="default"/>
        </w:rPr>
        <w:t>。</w:t>
      </w:r>
    </w:p>
    <w:p w14:paraId="79671A58">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92" w:name="_Toc19990"/>
      <w:bookmarkStart w:id="93" w:name="_Toc51158143"/>
      <w:bookmarkStart w:id="94" w:name="_Toc28513"/>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.4地下水环境评价等级及评价范围</w:t>
      </w:r>
      <w:bookmarkEnd w:id="92"/>
      <w:bookmarkEnd w:id="93"/>
      <w:bookmarkEnd w:id="94"/>
    </w:p>
    <w:p w14:paraId="313B6ECC">
      <w:pPr>
        <w:pStyle w:val="41"/>
        <w:bidi w:val="0"/>
        <w:rPr>
          <w:rFonts w:hint="default"/>
          <w:b/>
          <w:bCs/>
        </w:rPr>
      </w:pPr>
      <w:r>
        <w:rPr>
          <w:rFonts w:hint="default"/>
          <w:b/>
          <w:bCs/>
        </w:rPr>
        <w:t>（1）评价等级</w:t>
      </w:r>
    </w:p>
    <w:p w14:paraId="18A1893D">
      <w:pPr>
        <w:pStyle w:val="41"/>
        <w:bidi w:val="0"/>
        <w:rPr>
          <w:rFonts w:hint="default"/>
        </w:rPr>
      </w:pPr>
      <w:r>
        <w:rPr>
          <w:rFonts w:hint="default"/>
        </w:rPr>
        <w:t>根据</w:t>
      </w:r>
      <w:r>
        <w:rPr>
          <w:rFonts w:hint="eastAsia"/>
          <w:lang w:eastAsia="zh-CN"/>
        </w:rPr>
        <w:t>《</w:t>
      </w:r>
      <w:r>
        <w:rPr>
          <w:rFonts w:hint="default"/>
        </w:rPr>
        <w:t>环境影响评价技术导则 地下水环境》（HJ610-2016），地下水环境评价工作等级的划分是由项目类别及地下水环境敏感程度确定，具体见下表。</w:t>
      </w:r>
    </w:p>
    <w:p w14:paraId="270C8E36">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.6-</w:t>
      </w:r>
      <w:r>
        <w:rPr>
          <w:rFonts w:hint="eastAsia" w:cs="Times New Roman"/>
          <w:b/>
          <w:bCs/>
          <w:color w:val="000000" w:themeColor="text1"/>
          <w:highlight w:val="none"/>
          <w:lang w:val="en-US" w:eastAsia="zh-CN"/>
          <w14:textFill>
            <w14:solidFill>
              <w14:schemeClr w14:val="tx1"/>
            </w14:solidFill>
          </w14:textFill>
        </w:rPr>
        <w:t>3</w:t>
      </w:r>
      <w:r>
        <w:rPr>
          <w:rFonts w:hint="default" w:ascii="Times New Roman" w:hAnsi="Times New Roman" w:cs="Times New Roman"/>
          <w:b/>
          <w:bCs/>
          <w:color w:val="000000" w:themeColor="text1"/>
          <w:highlight w:val="none"/>
          <w14:textFill>
            <w14:solidFill>
              <w14:schemeClr w14:val="tx1"/>
            </w14:solidFill>
          </w14:textFill>
        </w:rPr>
        <w:t xml:space="preserve">  地下水环境评价工作等级分级表</w:t>
      </w:r>
    </w:p>
    <w:tbl>
      <w:tblPr>
        <w:tblStyle w:val="3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953"/>
        <w:gridCol w:w="1845"/>
        <w:gridCol w:w="1763"/>
        <w:gridCol w:w="1961"/>
      </w:tblGrid>
      <w:tr w14:paraId="445F3A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953" w:type="dxa"/>
            <w:tcBorders>
              <w:tl2br w:val="single" w:color="auto" w:sz="4" w:space="0"/>
            </w:tcBorders>
            <w:noWrap w:val="0"/>
            <w:vAlign w:val="center"/>
          </w:tcPr>
          <w:p w14:paraId="7E08A4CC">
            <w:pPr>
              <w:pStyle w:val="43"/>
              <w:keepNext/>
              <w:keepLines w:val="0"/>
              <w:pageBreakBefore w:val="0"/>
              <w:widowControl/>
              <w:kinsoku/>
              <w:wordWrap/>
              <w:overflowPunct/>
              <w:topLinePunct w:val="0"/>
              <w:autoSpaceDE/>
              <w:autoSpaceDN/>
              <w:bidi w:val="0"/>
              <w:adjustRightInd/>
              <w:snapToGrid/>
              <w:jc w:val="right"/>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项目类别</w:t>
            </w:r>
          </w:p>
          <w:p w14:paraId="34F7C804">
            <w:pPr>
              <w:pStyle w:val="43"/>
              <w:keepNext/>
              <w:keepLines w:val="0"/>
              <w:pageBreakBefore w:val="0"/>
              <w:widowControl/>
              <w:kinsoku/>
              <w:wordWrap/>
              <w:overflowPunct/>
              <w:topLinePunct w:val="0"/>
              <w:autoSpaceDE/>
              <w:autoSpaceDN/>
              <w:bidi w:val="0"/>
              <w:adjustRightInd/>
              <w:snapToGrid/>
              <w:jc w:val="left"/>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环境敏感程度</w:t>
            </w:r>
          </w:p>
        </w:tc>
        <w:tc>
          <w:tcPr>
            <w:tcW w:w="1845" w:type="dxa"/>
            <w:tcBorders>
              <w:right w:val="single" w:color="auto" w:sz="4" w:space="0"/>
            </w:tcBorders>
            <w:noWrap w:val="0"/>
            <w:vAlign w:val="center"/>
          </w:tcPr>
          <w:p w14:paraId="6B8F4129">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I类</w:t>
            </w:r>
          </w:p>
        </w:tc>
        <w:tc>
          <w:tcPr>
            <w:tcW w:w="1763" w:type="dxa"/>
            <w:tcBorders>
              <w:left w:val="single" w:color="auto" w:sz="4" w:space="0"/>
              <w:right w:val="single" w:color="auto" w:sz="4" w:space="0"/>
            </w:tcBorders>
            <w:noWrap w:val="0"/>
            <w:vAlign w:val="center"/>
          </w:tcPr>
          <w:p w14:paraId="34670E1B">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Ⅱ</w:t>
            </w:r>
            <w:r>
              <w:rPr>
                <w:rFonts w:hint="default" w:ascii="Times New Roman" w:hAnsi="Times New Roman" w:cs="Times New Roman"/>
                <w:b/>
                <w:bCs/>
                <w:color w:val="000000" w:themeColor="text1"/>
                <w:highlight w:val="none"/>
                <w:lang w:val="en-US" w:eastAsia="zh-CN"/>
                <w14:textFill>
                  <w14:solidFill>
                    <w14:schemeClr w14:val="tx1"/>
                  </w14:solidFill>
                </w14:textFill>
              </w:rPr>
              <w:t>类</w:t>
            </w:r>
          </w:p>
        </w:tc>
        <w:tc>
          <w:tcPr>
            <w:tcW w:w="1961" w:type="dxa"/>
            <w:tcBorders>
              <w:left w:val="single" w:color="auto" w:sz="4" w:space="0"/>
            </w:tcBorders>
            <w:noWrap w:val="0"/>
            <w:vAlign w:val="center"/>
          </w:tcPr>
          <w:p w14:paraId="3BBBE01E">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Ⅲ</w:t>
            </w:r>
            <w:r>
              <w:rPr>
                <w:rFonts w:hint="default" w:ascii="Times New Roman" w:hAnsi="Times New Roman" w:cs="Times New Roman"/>
                <w:b/>
                <w:bCs/>
                <w:color w:val="000000" w:themeColor="text1"/>
                <w:highlight w:val="none"/>
                <w:lang w:val="en-US" w:eastAsia="zh-CN"/>
                <w14:textFill>
                  <w14:solidFill>
                    <w14:schemeClr w14:val="tx1"/>
                  </w14:solidFill>
                </w14:textFill>
              </w:rPr>
              <w:t>类</w:t>
            </w:r>
          </w:p>
        </w:tc>
      </w:tr>
      <w:tr w14:paraId="5740E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953" w:type="dxa"/>
            <w:noWrap w:val="0"/>
            <w:vAlign w:val="center"/>
          </w:tcPr>
          <w:p w14:paraId="19DA7272">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敏感</w:t>
            </w:r>
          </w:p>
        </w:tc>
        <w:tc>
          <w:tcPr>
            <w:tcW w:w="1845" w:type="dxa"/>
            <w:noWrap w:val="0"/>
            <w:vAlign w:val="center"/>
          </w:tcPr>
          <w:p w14:paraId="7EDEA6D9">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一</w:t>
            </w:r>
          </w:p>
        </w:tc>
        <w:tc>
          <w:tcPr>
            <w:tcW w:w="1763" w:type="dxa"/>
            <w:noWrap w:val="0"/>
            <w:vAlign w:val="center"/>
          </w:tcPr>
          <w:p w14:paraId="5E566651">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一</w:t>
            </w:r>
          </w:p>
        </w:tc>
        <w:tc>
          <w:tcPr>
            <w:tcW w:w="1961" w:type="dxa"/>
            <w:noWrap w:val="0"/>
            <w:vAlign w:val="center"/>
          </w:tcPr>
          <w:p w14:paraId="7C4999C4">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二</w:t>
            </w:r>
          </w:p>
        </w:tc>
      </w:tr>
      <w:tr w14:paraId="2980B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953" w:type="dxa"/>
            <w:noWrap w:val="0"/>
            <w:vAlign w:val="center"/>
          </w:tcPr>
          <w:p w14:paraId="03226A8F">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较敏感</w:t>
            </w:r>
          </w:p>
        </w:tc>
        <w:tc>
          <w:tcPr>
            <w:tcW w:w="1845" w:type="dxa"/>
            <w:noWrap w:val="0"/>
            <w:vAlign w:val="center"/>
          </w:tcPr>
          <w:p w14:paraId="76A2D6D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一</w:t>
            </w:r>
          </w:p>
        </w:tc>
        <w:tc>
          <w:tcPr>
            <w:tcW w:w="1763" w:type="dxa"/>
            <w:noWrap w:val="0"/>
            <w:vAlign w:val="center"/>
          </w:tcPr>
          <w:p w14:paraId="23DCCEEF">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二</w:t>
            </w:r>
          </w:p>
        </w:tc>
        <w:tc>
          <w:tcPr>
            <w:tcW w:w="1961" w:type="dxa"/>
            <w:noWrap w:val="0"/>
            <w:vAlign w:val="center"/>
          </w:tcPr>
          <w:p w14:paraId="1A0139EF">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三</w:t>
            </w:r>
          </w:p>
        </w:tc>
      </w:tr>
      <w:tr w14:paraId="0FE04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953" w:type="dxa"/>
            <w:noWrap w:val="0"/>
            <w:vAlign w:val="center"/>
          </w:tcPr>
          <w:p w14:paraId="695D1541">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不敏感</w:t>
            </w:r>
          </w:p>
        </w:tc>
        <w:tc>
          <w:tcPr>
            <w:tcW w:w="1845" w:type="dxa"/>
            <w:noWrap w:val="0"/>
            <w:vAlign w:val="center"/>
          </w:tcPr>
          <w:p w14:paraId="513007EE">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二</w:t>
            </w:r>
          </w:p>
        </w:tc>
        <w:tc>
          <w:tcPr>
            <w:tcW w:w="1763" w:type="dxa"/>
            <w:noWrap w:val="0"/>
            <w:vAlign w:val="center"/>
          </w:tcPr>
          <w:p w14:paraId="7EB28AE4">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三</w:t>
            </w:r>
          </w:p>
        </w:tc>
        <w:tc>
          <w:tcPr>
            <w:tcW w:w="1961" w:type="dxa"/>
            <w:shd w:val="clear" w:color="auto" w:fill="auto"/>
            <w:noWrap w:val="0"/>
            <w:vAlign w:val="center"/>
          </w:tcPr>
          <w:p w14:paraId="3786CD95">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三</w:t>
            </w:r>
          </w:p>
        </w:tc>
      </w:tr>
    </w:tbl>
    <w:p w14:paraId="7505D4D5">
      <w:pPr>
        <w:pStyle w:val="41"/>
        <w:bidi w:val="0"/>
        <w:rPr>
          <w:rFonts w:hint="default"/>
        </w:rPr>
      </w:pPr>
      <w:r>
        <w:rPr>
          <w:rFonts w:hint="default"/>
        </w:rPr>
        <w:t>注：Ⅳ类建设项目不开展地下水环境影响评价。</w:t>
      </w:r>
    </w:p>
    <w:p w14:paraId="0FB9E256">
      <w:pPr>
        <w:pStyle w:val="41"/>
        <w:bidi w:val="0"/>
        <w:rPr>
          <w:rFonts w:hint="default"/>
        </w:rPr>
      </w:pPr>
      <w:r>
        <w:rPr>
          <w:rFonts w:hint="default"/>
        </w:rPr>
        <w:t>本项目</w:t>
      </w:r>
      <w:r>
        <w:rPr>
          <w:rFonts w:hint="default"/>
          <w:lang w:val="en-US" w:eastAsia="zh-CN"/>
        </w:rPr>
        <w:t>为灰岩矿开采，行业类别属于J非金属矿采选及制品制造--54、土砂石开采</w:t>
      </w:r>
      <w:r>
        <w:rPr>
          <w:rFonts w:hint="default"/>
        </w:rPr>
        <w:t>，对照</w:t>
      </w:r>
      <w:r>
        <w:rPr>
          <w:rFonts w:hint="eastAsia"/>
          <w:lang w:eastAsia="zh-CN"/>
        </w:rPr>
        <w:t>《</w:t>
      </w:r>
      <w:r>
        <w:rPr>
          <w:rFonts w:hint="default"/>
        </w:rPr>
        <w:t>环境影响评价技术导则 地下水环境》（HJ610-2016）附录A判定，项目类别为Ⅳ类，不开展地下水环境影响评价。</w:t>
      </w:r>
    </w:p>
    <w:p w14:paraId="79684399">
      <w:pPr>
        <w:pStyle w:val="41"/>
        <w:bidi w:val="0"/>
        <w:rPr>
          <w:rFonts w:hint="default"/>
          <w:b/>
          <w:bCs/>
        </w:rPr>
      </w:pPr>
      <w:r>
        <w:rPr>
          <w:rFonts w:hint="default"/>
          <w:b/>
          <w:bCs/>
        </w:rPr>
        <w:t>（2）评价范围</w:t>
      </w:r>
    </w:p>
    <w:p w14:paraId="168A520C">
      <w:pPr>
        <w:pStyle w:val="41"/>
        <w:bidi w:val="0"/>
        <w:rPr>
          <w:rFonts w:hint="default"/>
        </w:rPr>
      </w:pPr>
      <w:r>
        <w:rPr>
          <w:rFonts w:hint="default"/>
          <w:lang w:val="en-US" w:eastAsia="zh-CN"/>
        </w:rPr>
        <w:t>不设置</w:t>
      </w:r>
      <w:r>
        <w:rPr>
          <w:rFonts w:hint="default"/>
        </w:rPr>
        <w:t>地下水评价范围。</w:t>
      </w:r>
    </w:p>
    <w:bookmarkEnd w:id="82"/>
    <w:bookmarkEnd w:id="83"/>
    <w:bookmarkEnd w:id="84"/>
    <w:p w14:paraId="47238BCA">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95" w:name="_Toc15826"/>
      <w:bookmarkStart w:id="96" w:name="_Toc51158144"/>
      <w:bookmarkStart w:id="97" w:name="_Toc2323"/>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.5声环境评价等级及评价范围</w:t>
      </w:r>
      <w:bookmarkEnd w:id="95"/>
      <w:bookmarkEnd w:id="96"/>
      <w:bookmarkEnd w:id="97"/>
    </w:p>
    <w:p w14:paraId="6F33A191">
      <w:pPr>
        <w:pStyle w:val="41"/>
        <w:bidi w:val="0"/>
        <w:rPr>
          <w:rFonts w:hint="default"/>
          <w:b/>
          <w:bCs/>
        </w:rPr>
      </w:pPr>
      <w:r>
        <w:rPr>
          <w:rFonts w:hint="default"/>
          <w:b/>
          <w:bCs/>
        </w:rPr>
        <w:t>（1）评价等级</w:t>
      </w:r>
    </w:p>
    <w:p w14:paraId="5E876D23">
      <w:pPr>
        <w:pStyle w:val="41"/>
        <w:bidi w:val="0"/>
        <w:rPr>
          <w:rFonts w:hint="default"/>
        </w:rPr>
      </w:pPr>
      <w:r>
        <w:rPr>
          <w:rFonts w:hint="default"/>
        </w:rPr>
        <w:t>项目区为</w:t>
      </w:r>
      <w:r>
        <w:rPr>
          <w:rFonts w:hint="eastAsia"/>
          <w:lang w:eastAsia="zh-CN"/>
        </w:rPr>
        <w:t>《</w:t>
      </w:r>
      <w:r>
        <w:rPr>
          <w:rFonts w:hint="default"/>
        </w:rPr>
        <w:t>声环境质量标准》（GB3096-2008）规定的2类声环境功能区，噪声主要集中在露天采场</w:t>
      </w:r>
      <w:r>
        <w:rPr>
          <w:rFonts w:hint="default"/>
          <w:lang w:eastAsia="zh-CN"/>
        </w:rPr>
        <w:t>、</w:t>
      </w:r>
      <w:r>
        <w:rPr>
          <w:rFonts w:hint="eastAsia"/>
          <w:lang w:val="en-US" w:eastAsia="zh-CN"/>
        </w:rPr>
        <w:t>加工区，</w:t>
      </w:r>
      <w:r>
        <w:rPr>
          <w:rFonts w:hint="default"/>
        </w:rPr>
        <w:t>露天采场</w:t>
      </w:r>
      <w:r>
        <w:rPr>
          <w:rFonts w:hint="default"/>
          <w:lang w:eastAsia="zh-CN"/>
        </w:rPr>
        <w:t>、</w:t>
      </w:r>
      <w:r>
        <w:rPr>
          <w:rFonts w:hint="eastAsia"/>
          <w:lang w:val="en-US" w:eastAsia="zh-CN"/>
        </w:rPr>
        <w:t>加工区等主要作业区域</w:t>
      </w:r>
      <w:r>
        <w:rPr>
          <w:rFonts w:hint="default"/>
        </w:rPr>
        <w:t>200m范围内均无村庄、学校等声环境敏感点，项目声环境</w:t>
      </w:r>
      <w:r>
        <w:rPr>
          <w:rFonts w:hint="eastAsia"/>
          <w:lang w:eastAsia="zh-CN"/>
        </w:rPr>
        <w:t>评价</w:t>
      </w:r>
      <w:r>
        <w:rPr>
          <w:rFonts w:hint="default"/>
          <w:lang w:val="en-US" w:eastAsia="zh-CN"/>
        </w:rPr>
        <w:t>等级为</w:t>
      </w:r>
      <w:r>
        <w:rPr>
          <w:rFonts w:hint="default"/>
        </w:rPr>
        <w:t>二级评价。</w:t>
      </w:r>
    </w:p>
    <w:p w14:paraId="65205E18">
      <w:pPr>
        <w:pStyle w:val="41"/>
        <w:bidi w:val="0"/>
        <w:rPr>
          <w:rFonts w:hint="default"/>
          <w:b/>
          <w:bCs/>
        </w:rPr>
      </w:pPr>
      <w:r>
        <w:rPr>
          <w:rFonts w:hint="default"/>
          <w:b/>
          <w:bCs/>
        </w:rPr>
        <w:t>（2）等价范围</w:t>
      </w:r>
    </w:p>
    <w:p w14:paraId="6A21AA2E">
      <w:pPr>
        <w:pStyle w:val="41"/>
        <w:bidi w:val="0"/>
        <w:rPr>
          <w:rFonts w:hint="default"/>
        </w:rPr>
      </w:pPr>
      <w:r>
        <w:rPr>
          <w:rFonts w:hint="default"/>
        </w:rPr>
        <w:t>项目</w:t>
      </w:r>
      <w:r>
        <w:rPr>
          <w:rFonts w:hint="default"/>
          <w:lang w:val="en-US" w:eastAsia="zh-CN"/>
        </w:rPr>
        <w:t>工程占地</w:t>
      </w:r>
      <w:r>
        <w:rPr>
          <w:rFonts w:hint="default"/>
        </w:rPr>
        <w:t>外延200m</w:t>
      </w:r>
      <w:r>
        <w:rPr>
          <w:rFonts w:hint="default"/>
          <w:lang w:val="en-US" w:eastAsia="zh-CN"/>
        </w:rPr>
        <w:t>外包线</w:t>
      </w:r>
      <w:r>
        <w:rPr>
          <w:rFonts w:hint="default"/>
        </w:rPr>
        <w:t>作为声环境</w:t>
      </w:r>
      <w:r>
        <w:rPr>
          <w:rFonts w:hint="default"/>
          <w:lang w:val="en-US" w:eastAsia="zh-CN"/>
        </w:rPr>
        <w:t>影响</w:t>
      </w:r>
      <w:r>
        <w:rPr>
          <w:rFonts w:hint="default"/>
        </w:rPr>
        <w:t>评价范围。</w:t>
      </w:r>
    </w:p>
    <w:bookmarkEnd w:id="78"/>
    <w:bookmarkEnd w:id="79"/>
    <w:bookmarkEnd w:id="80"/>
    <w:bookmarkEnd w:id="81"/>
    <w:p w14:paraId="1C0A9FD8">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98" w:name="_Toc7123"/>
      <w:bookmarkStart w:id="99" w:name="_Toc27761"/>
      <w:bookmarkStart w:id="100" w:name="_Toc51158145"/>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.6土壤</w:t>
      </w:r>
      <w:r>
        <w:rPr>
          <w:rFonts w:hint="default" w:ascii="Times New Roman" w:hAnsi="Times New Roman" w:cs="Times New Roman"/>
          <w:color w:val="000000" w:themeColor="text1"/>
          <w:highlight w:val="none"/>
          <w:lang w:val="en-US" w:eastAsia="zh-CN"/>
          <w14:textFill>
            <w14:solidFill>
              <w14:schemeClr w14:val="tx1"/>
            </w14:solidFill>
          </w14:textFill>
        </w:rPr>
        <w:t>环</w:t>
      </w:r>
      <w:r>
        <w:rPr>
          <w:rFonts w:hint="default" w:ascii="Times New Roman" w:hAnsi="Times New Roman" w:cs="Times New Roman"/>
          <w:color w:val="000000" w:themeColor="text1"/>
          <w:highlight w:val="none"/>
          <w14:textFill>
            <w14:solidFill>
              <w14:schemeClr w14:val="tx1"/>
            </w14:solidFill>
          </w14:textFill>
        </w:rPr>
        <w:t>境评价等级及评价范围</w:t>
      </w:r>
      <w:bookmarkEnd w:id="98"/>
      <w:bookmarkEnd w:id="99"/>
      <w:bookmarkEnd w:id="100"/>
    </w:p>
    <w:p w14:paraId="275DA6E6">
      <w:pPr>
        <w:pStyle w:val="41"/>
        <w:bidi w:val="0"/>
        <w:rPr>
          <w:rFonts w:hint="default"/>
        </w:rPr>
      </w:pPr>
      <w:r>
        <w:rPr>
          <w:rFonts w:hint="default"/>
        </w:rPr>
        <w:t>本项目</w:t>
      </w:r>
      <w:r>
        <w:rPr>
          <w:rFonts w:hint="default"/>
          <w:lang w:val="en-US" w:eastAsia="zh-CN"/>
        </w:rPr>
        <w:t>为灰岩矿开采</w:t>
      </w:r>
      <w:r>
        <w:rPr>
          <w:rFonts w:hint="eastAsia"/>
          <w:lang w:val="en-US" w:eastAsia="zh-CN"/>
        </w:rPr>
        <w:t>及加工</w:t>
      </w:r>
      <w:r>
        <w:rPr>
          <w:rFonts w:hint="default"/>
          <w:lang w:val="en-US" w:eastAsia="zh-CN"/>
        </w:rPr>
        <w:t>，</w:t>
      </w:r>
      <w:r>
        <w:rPr>
          <w:rFonts w:hint="default"/>
        </w:rPr>
        <w:t>根据</w:t>
      </w:r>
      <w:r>
        <w:rPr>
          <w:rFonts w:hint="eastAsia"/>
          <w:lang w:eastAsia="zh-CN"/>
        </w:rPr>
        <w:t>《</w:t>
      </w:r>
      <w:r>
        <w:rPr>
          <w:rFonts w:hint="default"/>
        </w:rPr>
        <w:t>环境影响评价技术导则 土壤环境》（HJ964-2018）附录A，属于行业类别中</w:t>
      </w:r>
      <w:r>
        <w:rPr>
          <w:rFonts w:hint="eastAsia"/>
          <w:lang w:eastAsia="zh-CN"/>
        </w:rPr>
        <w:t>“</w:t>
      </w:r>
      <w:r>
        <w:rPr>
          <w:rFonts w:hint="default"/>
        </w:rPr>
        <w:t>采矿业中的其他</w:t>
      </w:r>
      <w:r>
        <w:rPr>
          <w:rFonts w:hint="eastAsia"/>
          <w:lang w:eastAsia="zh-CN"/>
        </w:rPr>
        <w:t>”</w:t>
      </w:r>
      <w:r>
        <w:rPr>
          <w:rFonts w:hint="default"/>
        </w:rPr>
        <w:t>，土壤环境影响评价的项目类别</w:t>
      </w:r>
      <w:r>
        <w:rPr>
          <w:rFonts w:hint="default"/>
          <w:lang w:val="en-US" w:eastAsia="zh-CN"/>
        </w:rPr>
        <w:t>为</w:t>
      </w:r>
      <w:r>
        <w:rPr>
          <w:rFonts w:hint="default"/>
        </w:rPr>
        <w:t>Ⅲ类；根据HJ964-2018中的第6.2.3条，项目同时涉及土壤环境生态影响型与污染影响型时，应分别判定评价工作等级，并按相应等级分别开展评价工作。</w:t>
      </w:r>
    </w:p>
    <w:p w14:paraId="0866AA0A">
      <w:pPr>
        <w:pStyle w:val="5"/>
        <w:keepNext/>
        <w:pageBreakBefore w:val="0"/>
        <w:kinsoku/>
        <w:wordWrap/>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生态影响型</w:t>
      </w:r>
    </w:p>
    <w:p w14:paraId="0E50FDBD">
      <w:pPr>
        <w:pStyle w:val="41"/>
        <w:bidi w:val="0"/>
        <w:rPr>
          <w:rFonts w:hint="default"/>
          <w:b/>
          <w:bCs/>
        </w:rPr>
      </w:pPr>
      <w:r>
        <w:rPr>
          <w:rFonts w:hint="default"/>
          <w:b/>
          <w:bCs/>
        </w:rPr>
        <w:t>（1）土壤环境敏感程度</w:t>
      </w:r>
    </w:p>
    <w:p w14:paraId="1A182025">
      <w:pPr>
        <w:pStyle w:val="41"/>
        <w:bidi w:val="0"/>
        <w:rPr>
          <w:rFonts w:hint="default"/>
        </w:rPr>
      </w:pPr>
      <w:r>
        <w:rPr>
          <w:rFonts w:hint="default"/>
        </w:rPr>
        <w:t>生态影响型建设项目所在地土壤环境敏感程度分为敏感、较敏感、不敏感，判别依据见下表。</w:t>
      </w:r>
    </w:p>
    <w:p w14:paraId="5132423C">
      <w:pPr>
        <w:pStyle w:val="45"/>
        <w:bidi w:val="0"/>
        <w:rPr>
          <w:rFonts w:hint="default"/>
        </w:rPr>
      </w:pPr>
      <w:r>
        <w:rPr>
          <w:rFonts w:hint="default"/>
        </w:rPr>
        <w:t>表</w:t>
      </w:r>
      <w:r>
        <w:rPr>
          <w:rFonts w:hint="eastAsia"/>
          <w:lang w:val="en-US" w:eastAsia="zh-CN"/>
        </w:rPr>
        <w:t>1.6-4</w:t>
      </w:r>
      <w:r>
        <w:rPr>
          <w:rFonts w:hint="default"/>
        </w:rPr>
        <w:t xml:space="preserve">  生态影响型土壤评价工作等级划分表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4591"/>
        <w:gridCol w:w="1434"/>
        <w:gridCol w:w="1631"/>
      </w:tblGrid>
      <w:tr w14:paraId="2B1B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66" w:type="dxa"/>
            <w:vMerge w:val="restart"/>
            <w:noWrap/>
            <w:vAlign w:val="center"/>
          </w:tcPr>
          <w:p w14:paraId="154F32B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敏感</w:t>
            </w:r>
          </w:p>
          <w:p w14:paraId="44CBAB7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程度</w:t>
            </w:r>
          </w:p>
        </w:tc>
        <w:tc>
          <w:tcPr>
            <w:tcW w:w="7656" w:type="dxa"/>
            <w:gridSpan w:val="3"/>
            <w:noWrap/>
            <w:vAlign w:val="center"/>
          </w:tcPr>
          <w:p w14:paraId="71E569A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判别依据</w:t>
            </w:r>
          </w:p>
        </w:tc>
      </w:tr>
      <w:tr w14:paraId="59A5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66" w:type="dxa"/>
            <w:vMerge w:val="continue"/>
            <w:noWrap w:val="0"/>
            <w:vAlign w:val="center"/>
          </w:tcPr>
          <w:p w14:paraId="3C895659">
            <w:pPr>
              <w:pStyle w:val="43"/>
              <w:bidi w:val="0"/>
              <w:rPr>
                <w:rFonts w:hint="default" w:ascii="Times New Roman" w:hAnsi="Times New Roman" w:cs="Times New Roman"/>
                <w:b/>
                <w:bCs/>
                <w:color w:val="000000" w:themeColor="text1"/>
                <w:highlight w:val="none"/>
                <w14:textFill>
                  <w14:solidFill>
                    <w14:schemeClr w14:val="tx1"/>
                  </w14:solidFill>
                </w14:textFill>
              </w:rPr>
            </w:pPr>
          </w:p>
        </w:tc>
        <w:tc>
          <w:tcPr>
            <w:tcW w:w="4591" w:type="dxa"/>
            <w:noWrap/>
            <w:vAlign w:val="center"/>
          </w:tcPr>
          <w:p w14:paraId="345A9AB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盐化</w:t>
            </w:r>
          </w:p>
        </w:tc>
        <w:tc>
          <w:tcPr>
            <w:tcW w:w="1434" w:type="dxa"/>
            <w:noWrap/>
            <w:vAlign w:val="center"/>
          </w:tcPr>
          <w:p w14:paraId="7BACBC3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酸化</w:t>
            </w:r>
          </w:p>
        </w:tc>
        <w:tc>
          <w:tcPr>
            <w:tcW w:w="1631" w:type="dxa"/>
            <w:noWrap/>
            <w:vAlign w:val="center"/>
          </w:tcPr>
          <w:p w14:paraId="4246456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碱化</w:t>
            </w:r>
          </w:p>
        </w:tc>
      </w:tr>
      <w:tr w14:paraId="10E0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512861D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敏感</w:t>
            </w:r>
          </w:p>
        </w:tc>
        <w:tc>
          <w:tcPr>
            <w:tcW w:w="4591" w:type="dxa"/>
            <w:noWrap w:val="0"/>
            <w:vAlign w:val="center"/>
          </w:tcPr>
          <w:p w14:paraId="1852E8D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建设项目所在地干燥度*&gt;2.5且常年地下水位平均埋深&lt;1.5m的地势平坦区域；或土壤含盐量&gt;4g/kg的区域</w:t>
            </w:r>
          </w:p>
        </w:tc>
        <w:tc>
          <w:tcPr>
            <w:tcW w:w="1434" w:type="dxa"/>
            <w:noWrap/>
            <w:vAlign w:val="center"/>
          </w:tcPr>
          <w:p w14:paraId="436F93E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pH≤</w:t>
            </w:r>
            <w:r>
              <w:rPr>
                <w:rFonts w:hint="default" w:ascii="Times New Roman" w:hAnsi="Times New Roman"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5</w:t>
            </w:r>
          </w:p>
        </w:tc>
        <w:tc>
          <w:tcPr>
            <w:tcW w:w="1631" w:type="dxa"/>
            <w:noWrap/>
            <w:vAlign w:val="center"/>
          </w:tcPr>
          <w:p w14:paraId="190FD6F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pH≥9.0</w:t>
            </w:r>
          </w:p>
        </w:tc>
      </w:tr>
      <w:tr w14:paraId="2DB0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4959817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较敏感</w:t>
            </w:r>
          </w:p>
        </w:tc>
        <w:tc>
          <w:tcPr>
            <w:tcW w:w="4591" w:type="dxa"/>
            <w:noWrap w:val="0"/>
            <w:vAlign w:val="center"/>
          </w:tcPr>
          <w:p w14:paraId="484E1C5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项目所在地干燥度&gt;2.5且常年地下水位平均埋深≥1.5m的，或1.8&lt;干燥度≤2.5且常年地下水位平均埋&lt;1.8m的地势平坦区域；建设项目所在地干燥度&gt;2.5或常年地下水位平均埋深&lt;1.5m的平原区；或土壤含盐量&gt;4g/kg的区域</w:t>
            </w:r>
          </w:p>
        </w:tc>
        <w:tc>
          <w:tcPr>
            <w:tcW w:w="1434" w:type="dxa"/>
            <w:noWrap/>
            <w:vAlign w:val="center"/>
          </w:tcPr>
          <w:p w14:paraId="4285170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5&lt;pH≤5.5</w:t>
            </w:r>
          </w:p>
        </w:tc>
        <w:tc>
          <w:tcPr>
            <w:tcW w:w="1631" w:type="dxa"/>
            <w:noWrap/>
            <w:vAlign w:val="center"/>
          </w:tcPr>
          <w:p w14:paraId="1757CDC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8.5≤pH&lt;9.0</w:t>
            </w:r>
          </w:p>
        </w:tc>
      </w:tr>
      <w:tr w14:paraId="5F2D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0FA0735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不敏感</w:t>
            </w:r>
          </w:p>
        </w:tc>
        <w:tc>
          <w:tcPr>
            <w:tcW w:w="4591" w:type="dxa"/>
            <w:noWrap/>
            <w:vAlign w:val="center"/>
          </w:tcPr>
          <w:p w14:paraId="4EB27CE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3065" w:type="dxa"/>
            <w:gridSpan w:val="2"/>
            <w:noWrap/>
            <w:vAlign w:val="center"/>
          </w:tcPr>
          <w:p w14:paraId="1DA4351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5.5&lt;pH≤8.5</w:t>
            </w:r>
          </w:p>
        </w:tc>
      </w:tr>
      <w:tr w14:paraId="6B79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22" w:type="dxa"/>
            <w:gridSpan w:val="4"/>
            <w:noWrap/>
            <w:vAlign w:val="center"/>
          </w:tcPr>
          <w:p w14:paraId="12E6F9F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*是指采用E601观测的多年平均水面蒸发量与降雨量的比值，即蒸降比。</w:t>
            </w:r>
          </w:p>
        </w:tc>
      </w:tr>
    </w:tbl>
    <w:p w14:paraId="40BF7A8C">
      <w:pPr>
        <w:pStyle w:val="41"/>
        <w:bidi w:val="0"/>
        <w:rPr>
          <w:rFonts w:hint="default"/>
        </w:rPr>
      </w:pPr>
      <w:r>
        <w:rPr>
          <w:rFonts w:hint="default"/>
        </w:rPr>
        <w:t>项目位于山区，通过相关资料收集，项目所在地多年平均水面蒸发量</w:t>
      </w:r>
      <w:r>
        <w:rPr>
          <w:rFonts w:hint="eastAsia"/>
          <w:lang w:val="en-US" w:eastAsia="zh-CN"/>
        </w:rPr>
        <w:t>1780.2</w:t>
      </w:r>
      <w:r>
        <w:rPr>
          <w:rFonts w:hint="default"/>
        </w:rPr>
        <w:t>mm，多年平均降水量</w:t>
      </w:r>
      <w:r>
        <w:rPr>
          <w:rFonts w:hint="eastAsia"/>
          <w:lang w:val="en-US" w:eastAsia="zh-CN"/>
        </w:rPr>
        <w:t>1008</w:t>
      </w:r>
      <w:r>
        <w:rPr>
          <w:rFonts w:hint="default"/>
        </w:rPr>
        <w:t>mm，干燥度=</w:t>
      </w:r>
      <w:r>
        <w:rPr>
          <w:rFonts w:hint="eastAsia"/>
          <w:lang w:val="en-US" w:eastAsia="zh-CN"/>
        </w:rPr>
        <w:t>1780.2</w:t>
      </w:r>
      <w:r>
        <w:rPr>
          <w:rFonts w:hint="default"/>
        </w:rPr>
        <w:t>/</w:t>
      </w:r>
      <w:r>
        <w:rPr>
          <w:rFonts w:hint="eastAsia"/>
          <w:lang w:val="en-US" w:eastAsia="zh-CN"/>
        </w:rPr>
        <w:t>1008</w:t>
      </w:r>
      <w:r>
        <w:rPr>
          <w:rFonts w:hint="default"/>
        </w:rPr>
        <w:t>=</w:t>
      </w:r>
      <w:r>
        <w:rPr>
          <w:rFonts w:hint="default"/>
          <w:lang w:val="en-US" w:eastAsia="zh-CN"/>
        </w:rPr>
        <w:t>1.</w:t>
      </w:r>
      <w:r>
        <w:rPr>
          <w:rFonts w:hint="eastAsia"/>
          <w:lang w:val="en-US" w:eastAsia="zh-CN"/>
        </w:rPr>
        <w:t>7</w:t>
      </w:r>
      <w:r>
        <w:rPr>
          <w:rFonts w:hint="default"/>
          <w:lang w:val="en-US" w:eastAsia="zh-CN"/>
        </w:rPr>
        <w:t>7</w:t>
      </w:r>
      <w:r>
        <w:rPr>
          <w:rFonts w:hint="default"/>
        </w:rPr>
        <w:t>；当地的常年地下水水位平均埋深&gt;1.8m；根据</w:t>
      </w:r>
      <w:r>
        <w:rPr>
          <w:rFonts w:hint="default"/>
          <w:lang w:val="en-US" w:eastAsia="zh-CN"/>
        </w:rPr>
        <w:t>现状</w:t>
      </w:r>
      <w:r>
        <w:rPr>
          <w:rFonts w:hint="default"/>
        </w:rPr>
        <w:t>检测结果，</w:t>
      </w:r>
      <w:r>
        <w:rPr>
          <w:rFonts w:hint="eastAsia"/>
          <w:lang w:val="en-US" w:eastAsia="zh-CN"/>
        </w:rPr>
        <w:t>根据土壤现状监测，</w:t>
      </w:r>
      <w:r>
        <w:rPr>
          <w:rFonts w:hint="default"/>
        </w:rPr>
        <w:t>建设项目所在地土壤</w:t>
      </w:r>
      <w:r>
        <w:rPr>
          <w:rFonts w:hint="default"/>
          <w:lang w:val="en-US" w:eastAsia="zh-CN"/>
        </w:rPr>
        <w:t>含盐量4g/kg，</w:t>
      </w:r>
      <w:r>
        <w:rPr>
          <w:rFonts w:hint="default"/>
        </w:rPr>
        <w:t>pH</w:t>
      </w:r>
      <w:r>
        <w:rPr>
          <w:rFonts w:hint="default"/>
          <w:lang w:val="en-US" w:eastAsia="zh-CN"/>
        </w:rPr>
        <w:t>值为6.60</w:t>
      </w:r>
      <w:r>
        <w:rPr>
          <w:rFonts w:hint="default"/>
        </w:rPr>
        <w:t>~</w:t>
      </w:r>
      <w:r>
        <w:rPr>
          <w:rFonts w:hint="default"/>
          <w:lang w:val="en-US" w:eastAsia="zh-CN"/>
        </w:rPr>
        <w:t>8.26</w:t>
      </w:r>
      <w:r>
        <w:rPr>
          <w:rFonts w:hint="default"/>
        </w:rPr>
        <w:t>。因此，本项目场地土壤环境</w:t>
      </w:r>
      <w:r>
        <w:rPr>
          <w:rFonts w:hint="default"/>
          <w:lang w:val="en-US" w:eastAsia="zh-CN"/>
        </w:rPr>
        <w:t>为</w:t>
      </w:r>
      <w:r>
        <w:rPr>
          <w:rFonts w:hint="eastAsia"/>
          <w:lang w:val="en-US" w:eastAsia="zh-CN"/>
        </w:rPr>
        <w:t>“</w:t>
      </w:r>
      <w:r>
        <w:rPr>
          <w:rFonts w:hint="default"/>
          <w:lang w:val="en-US" w:eastAsia="zh-CN"/>
        </w:rPr>
        <w:t>不</w:t>
      </w:r>
      <w:r>
        <w:rPr>
          <w:rFonts w:hint="default"/>
        </w:rPr>
        <w:t>敏感</w:t>
      </w:r>
      <w:r>
        <w:rPr>
          <w:rFonts w:hint="eastAsia"/>
          <w:lang w:eastAsia="zh-CN"/>
        </w:rPr>
        <w:t>”</w:t>
      </w:r>
      <w:r>
        <w:rPr>
          <w:rFonts w:hint="default"/>
        </w:rPr>
        <w:t>。</w:t>
      </w:r>
    </w:p>
    <w:p w14:paraId="2B4F8A5C">
      <w:pPr>
        <w:pStyle w:val="41"/>
        <w:bidi w:val="0"/>
        <w:rPr>
          <w:rFonts w:hint="default"/>
          <w:b/>
          <w:bCs/>
        </w:rPr>
      </w:pPr>
      <w:r>
        <w:rPr>
          <w:rFonts w:hint="default"/>
          <w:b/>
          <w:bCs/>
        </w:rPr>
        <w:t>（2）评价等级</w:t>
      </w:r>
    </w:p>
    <w:p w14:paraId="6A0F5F58">
      <w:pPr>
        <w:pStyle w:val="41"/>
        <w:bidi w:val="0"/>
        <w:rPr>
          <w:rFonts w:hint="default"/>
        </w:rPr>
      </w:pPr>
      <w:r>
        <w:rPr>
          <w:rFonts w:hint="default"/>
        </w:rPr>
        <w:t>根据</w:t>
      </w:r>
      <w:r>
        <w:rPr>
          <w:rFonts w:hint="eastAsia"/>
          <w:lang w:eastAsia="zh-CN"/>
        </w:rPr>
        <w:t>《</w:t>
      </w:r>
      <w:r>
        <w:rPr>
          <w:rFonts w:hint="default"/>
        </w:rPr>
        <w:t>环境影响评价技术导则 土壤环境》（HJ964-2018），生态影响型土壤环境评价工作等级的划分是由项目类别、环境敏感程度确定，具体见下表。</w:t>
      </w:r>
    </w:p>
    <w:p w14:paraId="374458C4">
      <w:pPr>
        <w:pStyle w:val="45"/>
        <w:bidi w:val="0"/>
        <w:rPr>
          <w:rFonts w:hint="default"/>
        </w:rPr>
      </w:pPr>
      <w:r>
        <w:rPr>
          <w:rFonts w:hint="default"/>
        </w:rPr>
        <w:t>表</w:t>
      </w:r>
      <w:r>
        <w:rPr>
          <w:rFonts w:hint="eastAsia"/>
          <w:lang w:val="en-US" w:eastAsia="zh-CN"/>
        </w:rPr>
        <w:t>1.6-5</w:t>
      </w:r>
      <w:r>
        <w:rPr>
          <w:rFonts w:hint="default"/>
        </w:rPr>
        <w:t xml:space="preserve">  生态影响型土壤评价工作等级划分表</w:t>
      </w:r>
    </w:p>
    <w:tbl>
      <w:tblPr>
        <w:tblStyle w:val="3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35"/>
        <w:gridCol w:w="1563"/>
        <w:gridCol w:w="1763"/>
        <w:gridCol w:w="1961"/>
      </w:tblGrid>
      <w:tr w14:paraId="42DB0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tcBorders>
              <w:tl2br w:val="single" w:color="auto" w:sz="4" w:space="0"/>
            </w:tcBorders>
            <w:noWrap w:val="0"/>
            <w:vAlign w:val="center"/>
          </w:tcPr>
          <w:p w14:paraId="4E3C0A96">
            <w:pPr>
              <w:pStyle w:val="43"/>
              <w:bidi w:val="0"/>
              <w:jc w:val="righ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项目类别</w:t>
            </w:r>
          </w:p>
          <w:p w14:paraId="6E3C2F08">
            <w:pPr>
              <w:pStyle w:val="43"/>
              <w:bidi w:val="0"/>
              <w:jc w:val="lef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敏感程度</w:t>
            </w:r>
          </w:p>
        </w:tc>
        <w:tc>
          <w:tcPr>
            <w:tcW w:w="1563" w:type="dxa"/>
            <w:tcBorders>
              <w:right w:val="single" w:color="auto" w:sz="4" w:space="0"/>
            </w:tcBorders>
            <w:noWrap w:val="0"/>
            <w:vAlign w:val="center"/>
          </w:tcPr>
          <w:p w14:paraId="5E1BB2B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I类</w:t>
            </w:r>
          </w:p>
        </w:tc>
        <w:tc>
          <w:tcPr>
            <w:tcW w:w="1764" w:type="dxa"/>
            <w:tcBorders>
              <w:left w:val="single" w:color="auto" w:sz="4" w:space="0"/>
              <w:right w:val="single" w:color="auto" w:sz="4" w:space="0"/>
            </w:tcBorders>
            <w:noWrap w:val="0"/>
            <w:vAlign w:val="center"/>
          </w:tcPr>
          <w:p w14:paraId="787DC54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ascii="Times New Roman" w:hAnsi="Times New Roman" w:cs="Times New Roman"/>
                <w:b/>
                <w:bCs/>
                <w:color w:val="000000" w:themeColor="text1"/>
                <w:highlight w:val="none"/>
                <w:lang w:eastAsia="zh-CN"/>
                <w14:textFill>
                  <w14:solidFill>
                    <w14:schemeClr w14:val="tx1"/>
                  </w14:solidFill>
                </w14:textFill>
              </w:rPr>
              <w:t>Ⅱ</w:t>
            </w:r>
            <w:r>
              <w:rPr>
                <w:rFonts w:hint="default" w:ascii="Times New Roman" w:hAnsi="Times New Roman" w:cs="Times New Roman"/>
                <w:b/>
                <w:bCs/>
                <w:color w:val="000000" w:themeColor="text1"/>
                <w:highlight w:val="none"/>
                <w14:textFill>
                  <w14:solidFill>
                    <w14:schemeClr w14:val="tx1"/>
                  </w14:solidFill>
                </w14:textFill>
              </w:rPr>
              <w:t>类</w:t>
            </w:r>
          </w:p>
        </w:tc>
        <w:tc>
          <w:tcPr>
            <w:tcW w:w="1961" w:type="dxa"/>
            <w:tcBorders>
              <w:left w:val="single" w:color="auto" w:sz="4" w:space="0"/>
            </w:tcBorders>
            <w:noWrap w:val="0"/>
            <w:vAlign w:val="center"/>
          </w:tcPr>
          <w:p w14:paraId="060D1D4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ascii="Times New Roman" w:hAnsi="Times New Roman" w:cs="Times New Roman"/>
                <w:b/>
                <w:bCs/>
                <w:color w:val="000000" w:themeColor="text1"/>
                <w:highlight w:val="none"/>
                <w:lang w:eastAsia="zh-CN"/>
                <w14:textFill>
                  <w14:solidFill>
                    <w14:schemeClr w14:val="tx1"/>
                  </w14:solidFill>
                </w14:textFill>
              </w:rPr>
              <w:t>Ⅲ</w:t>
            </w:r>
            <w:r>
              <w:rPr>
                <w:rFonts w:hint="default" w:ascii="Times New Roman" w:hAnsi="Times New Roman" w:cs="Times New Roman"/>
                <w:b/>
                <w:bCs/>
                <w:color w:val="000000" w:themeColor="text1"/>
                <w:highlight w:val="none"/>
                <w14:textFill>
                  <w14:solidFill>
                    <w14:schemeClr w14:val="tx1"/>
                  </w14:solidFill>
                </w14:textFill>
              </w:rPr>
              <w:t>类</w:t>
            </w:r>
          </w:p>
        </w:tc>
      </w:tr>
      <w:tr w14:paraId="08175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634F5CD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敏感</w:t>
            </w:r>
          </w:p>
        </w:tc>
        <w:tc>
          <w:tcPr>
            <w:tcW w:w="1563" w:type="dxa"/>
            <w:noWrap w:val="0"/>
            <w:vAlign w:val="center"/>
          </w:tcPr>
          <w:p w14:paraId="09FAAF0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一级</w:t>
            </w:r>
          </w:p>
        </w:tc>
        <w:tc>
          <w:tcPr>
            <w:tcW w:w="1764" w:type="dxa"/>
            <w:noWrap w:val="0"/>
            <w:vAlign w:val="center"/>
          </w:tcPr>
          <w:p w14:paraId="760C708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961" w:type="dxa"/>
            <w:shd w:val="clear" w:color="auto" w:fill="auto"/>
            <w:noWrap w:val="0"/>
            <w:vAlign w:val="center"/>
          </w:tcPr>
          <w:p w14:paraId="10309C4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r>
      <w:tr w14:paraId="07D9F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5662D1F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较敏感</w:t>
            </w:r>
          </w:p>
        </w:tc>
        <w:tc>
          <w:tcPr>
            <w:tcW w:w="1563" w:type="dxa"/>
            <w:noWrap w:val="0"/>
            <w:vAlign w:val="center"/>
          </w:tcPr>
          <w:p w14:paraId="1DDBAA9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764" w:type="dxa"/>
            <w:noWrap w:val="0"/>
            <w:vAlign w:val="center"/>
          </w:tcPr>
          <w:p w14:paraId="093C868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961" w:type="dxa"/>
            <w:noWrap w:val="0"/>
            <w:vAlign w:val="center"/>
          </w:tcPr>
          <w:p w14:paraId="0F4E1B1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r>
      <w:tr w14:paraId="1F0CE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352384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不敏感</w:t>
            </w:r>
          </w:p>
        </w:tc>
        <w:tc>
          <w:tcPr>
            <w:tcW w:w="1563" w:type="dxa"/>
            <w:noWrap w:val="0"/>
            <w:vAlign w:val="center"/>
          </w:tcPr>
          <w:p w14:paraId="5EB8EB8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764" w:type="dxa"/>
            <w:noWrap w:val="0"/>
            <w:vAlign w:val="center"/>
          </w:tcPr>
          <w:p w14:paraId="23B719D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c>
          <w:tcPr>
            <w:tcW w:w="1961" w:type="dxa"/>
            <w:shd w:val="clear" w:color="auto" w:fill="92D050"/>
            <w:noWrap w:val="0"/>
            <w:vAlign w:val="center"/>
          </w:tcPr>
          <w:p w14:paraId="72EE53F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61EE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522" w:type="dxa"/>
            <w:gridSpan w:val="4"/>
            <w:noWrap w:val="0"/>
            <w:vAlign w:val="center"/>
          </w:tcPr>
          <w:p w14:paraId="5E2FA87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注：</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表示可不开展土壤环境影响评价工作。</w:t>
            </w:r>
          </w:p>
        </w:tc>
      </w:tr>
    </w:tbl>
    <w:p w14:paraId="54FC455A">
      <w:pPr>
        <w:pStyle w:val="41"/>
        <w:bidi w:val="0"/>
        <w:rPr>
          <w:rFonts w:hint="default"/>
        </w:rPr>
      </w:pPr>
      <w:r>
        <w:rPr>
          <w:rFonts w:hint="default"/>
        </w:rPr>
        <w:t>项目为Ⅲ类项目，生态影响型土壤敏感程度为</w:t>
      </w:r>
      <w:r>
        <w:rPr>
          <w:rFonts w:hint="eastAsia"/>
          <w:lang w:eastAsia="zh-CN"/>
        </w:rPr>
        <w:t>“</w:t>
      </w:r>
      <w:r>
        <w:rPr>
          <w:rFonts w:hint="default"/>
          <w:lang w:val="en-US" w:eastAsia="zh-CN"/>
        </w:rPr>
        <w:t>不</w:t>
      </w:r>
      <w:r>
        <w:rPr>
          <w:rFonts w:hint="default"/>
        </w:rPr>
        <w:t>敏感</w:t>
      </w:r>
      <w:r>
        <w:rPr>
          <w:rFonts w:hint="eastAsia"/>
          <w:lang w:eastAsia="zh-CN"/>
        </w:rPr>
        <w:t>”</w:t>
      </w:r>
      <w:r>
        <w:rPr>
          <w:rFonts w:hint="default"/>
        </w:rPr>
        <w:t>，因此项目</w:t>
      </w:r>
      <w:r>
        <w:rPr>
          <w:rFonts w:hint="default"/>
          <w:lang w:val="en-US" w:eastAsia="zh-CN"/>
        </w:rPr>
        <w:t>可不开展生态影响型</w:t>
      </w:r>
      <w:r>
        <w:rPr>
          <w:rFonts w:hint="default"/>
        </w:rPr>
        <w:t>土壤环境影响评价。</w:t>
      </w:r>
    </w:p>
    <w:p w14:paraId="42897DA9">
      <w:pPr>
        <w:pStyle w:val="5"/>
        <w:keepNext/>
        <w:pageBreakBefore w:val="0"/>
        <w:kinsoku/>
        <w:wordWrap/>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污染影响型</w:t>
      </w:r>
    </w:p>
    <w:p w14:paraId="3EB765E8">
      <w:pPr>
        <w:pStyle w:val="41"/>
        <w:bidi w:val="0"/>
        <w:rPr>
          <w:rFonts w:hint="default"/>
          <w:b/>
          <w:bCs/>
        </w:rPr>
      </w:pPr>
      <w:r>
        <w:rPr>
          <w:rFonts w:hint="default"/>
          <w:b/>
          <w:bCs/>
        </w:rPr>
        <w:t>（1）评价等级</w:t>
      </w:r>
    </w:p>
    <w:p w14:paraId="72CCB1C4">
      <w:pPr>
        <w:pStyle w:val="41"/>
        <w:bidi w:val="0"/>
        <w:rPr>
          <w:rFonts w:hint="default" w:ascii="Times New Roman" w:hAnsi="Times New Roman" w:cs="Times New Roman"/>
          <w:color w:val="000000" w:themeColor="text1"/>
          <w:highlight w:val="none"/>
          <w14:textFill>
            <w14:solidFill>
              <w14:schemeClr w14:val="tx1"/>
            </w14:solidFill>
          </w14:textFill>
        </w:rPr>
      </w:pPr>
      <w:r>
        <w:rPr>
          <w:rFonts w:hint="default"/>
        </w:rPr>
        <w:t>根据</w:t>
      </w:r>
      <w:r>
        <w:rPr>
          <w:rFonts w:hint="eastAsia"/>
          <w:lang w:eastAsia="zh-CN"/>
        </w:rPr>
        <w:t>《</w:t>
      </w:r>
      <w:r>
        <w:rPr>
          <w:rFonts w:hint="default"/>
        </w:rPr>
        <w:t>环境影响评价技术导则 土壤环境》（HJ964-2018），污染影响型建设项目土壤评价等级划分见下表。</w:t>
      </w:r>
    </w:p>
    <w:p w14:paraId="56B6A079">
      <w:pPr>
        <w:pStyle w:val="45"/>
        <w:bidi w:val="0"/>
        <w:rPr>
          <w:rFonts w:hint="default"/>
          <w:lang w:eastAsia="zh-CN"/>
        </w:rPr>
      </w:pPr>
      <w:r>
        <w:rPr>
          <w:rFonts w:hint="default"/>
        </w:rPr>
        <w:t>表</w:t>
      </w:r>
      <w:r>
        <w:rPr>
          <w:rFonts w:hint="eastAsia"/>
          <w:lang w:val="en-US" w:eastAsia="zh-CN"/>
        </w:rPr>
        <w:t>1.6-6</w:t>
      </w:r>
      <w:r>
        <w:rPr>
          <w:rFonts w:hint="default"/>
          <w:lang w:val="en-US" w:eastAsia="zh-CN"/>
        </w:rPr>
        <w:t xml:space="preserve"> </w:t>
      </w:r>
      <w:r>
        <w:rPr>
          <w:rFonts w:hint="default"/>
          <w:lang w:eastAsia="zh-CN"/>
        </w:rPr>
        <w:t>污染</w:t>
      </w:r>
      <w:r>
        <w:rPr>
          <w:rFonts w:hint="default"/>
        </w:rPr>
        <w:t>影响</w:t>
      </w:r>
      <w:r>
        <w:rPr>
          <w:rFonts w:hint="default"/>
          <w:lang w:eastAsia="zh-CN"/>
        </w:rPr>
        <w:t>型</w:t>
      </w:r>
      <w:r>
        <w:rPr>
          <w:rFonts w:hint="default"/>
        </w:rPr>
        <w:t>评价工作等级划分表</w:t>
      </w:r>
    </w:p>
    <w:tbl>
      <w:tblPr>
        <w:tblStyle w:val="34"/>
        <w:tblW w:w="5000" w:type="pct"/>
        <w:jc w:val="center"/>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253"/>
        <w:gridCol w:w="738"/>
        <w:gridCol w:w="731"/>
        <w:gridCol w:w="741"/>
        <w:gridCol w:w="881"/>
        <w:gridCol w:w="871"/>
        <w:gridCol w:w="862"/>
        <w:gridCol w:w="853"/>
        <w:gridCol w:w="855"/>
        <w:gridCol w:w="737"/>
      </w:tblGrid>
      <w:tr w14:paraId="65EB671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29B9706">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占地规模</w:t>
            </w:r>
          </w:p>
          <w:p w14:paraId="760B0562">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敏感程度</w:t>
            </w:r>
          </w:p>
        </w:tc>
        <w:tc>
          <w:tcPr>
            <w:tcW w:w="221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6CAAB84F">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Ⅰ类</w:t>
            </w:r>
          </w:p>
        </w:tc>
        <w:tc>
          <w:tcPr>
            <w:tcW w:w="2614" w:type="dxa"/>
            <w:gridSpan w:val="3"/>
            <w:tcBorders>
              <w:top w:val="single" w:color="auto" w:sz="4" w:space="0"/>
              <w:left w:val="single" w:color="auto" w:sz="4" w:space="0"/>
              <w:bottom w:val="single" w:color="auto" w:sz="4" w:space="0"/>
              <w:right w:val="single" w:color="auto" w:sz="4" w:space="0"/>
            </w:tcBorders>
            <w:noWrap w:val="0"/>
            <w:vAlign w:val="center"/>
          </w:tcPr>
          <w:p w14:paraId="336050D7">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Ⅱ类</w:t>
            </w:r>
          </w:p>
        </w:tc>
        <w:tc>
          <w:tcPr>
            <w:tcW w:w="244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B8C3EF3">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Ⅲ类</w:t>
            </w:r>
          </w:p>
        </w:tc>
      </w:tr>
      <w:tr w14:paraId="528DBFAB">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53" w:type="dxa"/>
            <w:vMerge w:val="continue"/>
            <w:tcBorders>
              <w:top w:val="single" w:color="auto" w:sz="4" w:space="0"/>
              <w:left w:val="single" w:color="auto" w:sz="4" w:space="0"/>
              <w:bottom w:val="single" w:color="auto" w:sz="4" w:space="0"/>
              <w:right w:val="single" w:color="auto" w:sz="4" w:space="0"/>
            </w:tcBorders>
            <w:noWrap w:val="0"/>
            <w:vAlign w:val="center"/>
          </w:tcPr>
          <w:p w14:paraId="29F8CA40">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8D9C81">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C4DCCE">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AE051B">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4A2EDBFB">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69BD109D">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C840BC9">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74E4E080">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2FD91AF8">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AA65094">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r>
      <w:tr w14:paraId="4838A53A">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A64DF6">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敏感</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6372B2">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B24D1A">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7B20A8">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5E440CB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6E65B3CF">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6CB962E">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ED054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shd w:val="clear" w:color="auto" w:fill="92D050"/>
            <w:noWrap w:val="0"/>
            <w:vAlign w:val="center"/>
          </w:tcPr>
          <w:p w14:paraId="73BEC7AE">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7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6879B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r>
      <w:tr w14:paraId="497C00A8">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noWrap w:val="0"/>
            <w:vAlign w:val="center"/>
          </w:tcPr>
          <w:p w14:paraId="640F89C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较敏感</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F48BBC">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A7BE31">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98C0D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7E267E2A">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164A239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2AC546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3D9610">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71A3E98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7EAE4E0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r>
      <w:tr w14:paraId="4D7B091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noWrap w:val="0"/>
            <w:vAlign w:val="center"/>
          </w:tcPr>
          <w:p w14:paraId="208F8F0D">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不敏感</w:t>
            </w:r>
          </w:p>
        </w:tc>
        <w:tc>
          <w:tcPr>
            <w:tcW w:w="738" w:type="dxa"/>
            <w:tcBorders>
              <w:top w:val="single" w:color="auto" w:sz="4" w:space="0"/>
              <w:left w:val="single" w:color="auto" w:sz="4" w:space="0"/>
              <w:bottom w:val="single" w:color="auto" w:sz="4" w:space="0"/>
              <w:right w:val="single" w:color="auto" w:sz="4" w:space="0"/>
            </w:tcBorders>
            <w:noWrap w:val="0"/>
            <w:vAlign w:val="center"/>
          </w:tcPr>
          <w:p w14:paraId="0FD42D71">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noWrap w:val="0"/>
            <w:vAlign w:val="center"/>
          </w:tcPr>
          <w:p w14:paraId="12F9BDEB">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3D544E68">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581998E7">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14219CAE">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6100A5F">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8F5E4D">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765EDD07">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5CC7B76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r>
      <w:tr w14:paraId="5909F54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8519" w:type="dxa"/>
            <w:gridSpan w:val="10"/>
            <w:tcBorders>
              <w:top w:val="single" w:color="auto" w:sz="4" w:space="0"/>
              <w:left w:val="single" w:color="auto" w:sz="4" w:space="0"/>
              <w:bottom w:val="single" w:color="auto" w:sz="4" w:space="0"/>
              <w:right w:val="single" w:color="auto" w:sz="4" w:space="0"/>
            </w:tcBorders>
            <w:noWrap w:val="0"/>
            <w:vAlign w:val="center"/>
          </w:tcPr>
          <w:p w14:paraId="48BF2674">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注：</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CN"/>
                <w14:textFill>
                  <w14:solidFill>
                    <w14:schemeClr w14:val="tx1"/>
                  </w14:solidFill>
                </w14:textFill>
              </w:rPr>
              <w:t>表示可不开展土壤环境影响评价工作</w:t>
            </w:r>
          </w:p>
        </w:tc>
      </w:tr>
    </w:tbl>
    <w:p w14:paraId="0309D418">
      <w:pPr>
        <w:pStyle w:val="41"/>
        <w:bidi w:val="0"/>
        <w:rPr>
          <w:rFonts w:hint="default"/>
        </w:rPr>
      </w:pPr>
      <w:r>
        <w:rPr>
          <w:rFonts w:hint="default"/>
        </w:rPr>
        <w:t>本项目为Ⅲ类项目；矿区周边</w:t>
      </w:r>
      <w:r>
        <w:rPr>
          <w:rFonts w:hint="default"/>
          <w:lang w:val="en-US" w:eastAsia="zh-CN"/>
        </w:rPr>
        <w:t>东侧分布</w:t>
      </w:r>
      <w:r>
        <w:rPr>
          <w:rFonts w:hint="default"/>
        </w:rPr>
        <w:t>有耕地，土壤环境</w:t>
      </w:r>
      <w:r>
        <w:rPr>
          <w:rFonts w:hint="default"/>
          <w:lang w:val="en-US" w:eastAsia="zh-CN"/>
        </w:rPr>
        <w:t>敏感程度</w:t>
      </w:r>
      <w:r>
        <w:rPr>
          <w:rFonts w:hint="default"/>
        </w:rPr>
        <w:t>属于</w:t>
      </w:r>
      <w:r>
        <w:rPr>
          <w:rFonts w:hint="eastAsia"/>
          <w:lang w:eastAsia="zh-CN"/>
        </w:rPr>
        <w:t>“</w:t>
      </w:r>
      <w:r>
        <w:rPr>
          <w:rFonts w:hint="default"/>
        </w:rPr>
        <w:t>敏感</w:t>
      </w:r>
      <w:r>
        <w:rPr>
          <w:rFonts w:hint="eastAsia"/>
          <w:lang w:eastAsia="zh-CN"/>
        </w:rPr>
        <w:t>”</w:t>
      </w:r>
      <w:r>
        <w:rPr>
          <w:rFonts w:hint="default"/>
        </w:rPr>
        <w:t>；本项目总</w:t>
      </w:r>
      <w:r>
        <w:rPr>
          <w:rFonts w:hint="eastAsia"/>
          <w:lang w:val="en-US" w:eastAsia="zh-CN"/>
        </w:rPr>
        <w:t>占地面积31.956hm</w:t>
      </w:r>
      <w:r>
        <w:rPr>
          <w:rFonts w:hint="eastAsia"/>
          <w:vertAlign w:val="superscript"/>
          <w:lang w:val="en-US" w:eastAsia="zh-CN"/>
        </w:rPr>
        <w:t>2</w:t>
      </w:r>
      <w:r>
        <w:rPr>
          <w:rFonts w:hint="default"/>
          <w:lang w:val="en-US" w:eastAsia="zh-CN"/>
        </w:rPr>
        <w:t>，项目占地面积在5hm</w:t>
      </w:r>
      <w:r>
        <w:rPr>
          <w:rFonts w:hint="default"/>
          <w:vertAlign w:val="superscript"/>
          <w:lang w:val="en-US" w:eastAsia="zh-CN"/>
        </w:rPr>
        <w:t>2</w:t>
      </w:r>
      <w:r>
        <w:rPr>
          <w:rFonts w:hint="default"/>
          <w:lang w:val="en-US" w:eastAsia="zh-CN"/>
        </w:rPr>
        <w:t>~</w:t>
      </w:r>
      <w:r>
        <w:rPr>
          <w:rFonts w:hint="default"/>
        </w:rPr>
        <w:t>50hm</w:t>
      </w:r>
      <w:r>
        <w:rPr>
          <w:rFonts w:hint="default"/>
          <w:vertAlign w:val="superscript"/>
        </w:rPr>
        <w:t>2</w:t>
      </w:r>
      <w:r>
        <w:rPr>
          <w:rFonts w:hint="default"/>
          <w:lang w:val="en-US" w:eastAsia="zh-CN"/>
        </w:rPr>
        <w:t>区间内</w:t>
      </w:r>
      <w:r>
        <w:rPr>
          <w:rFonts w:hint="default"/>
        </w:rPr>
        <w:t>，占地规模属于</w:t>
      </w:r>
      <w:r>
        <w:rPr>
          <w:rFonts w:hint="eastAsia"/>
          <w:lang w:eastAsia="zh-CN"/>
        </w:rPr>
        <w:t>“</w:t>
      </w:r>
      <w:r>
        <w:rPr>
          <w:rFonts w:hint="default"/>
          <w:lang w:val="en-US" w:eastAsia="zh-CN"/>
        </w:rPr>
        <w:t>中</w:t>
      </w:r>
      <w:r>
        <w:rPr>
          <w:rFonts w:hint="default"/>
        </w:rPr>
        <w:t>型</w:t>
      </w:r>
      <w:r>
        <w:rPr>
          <w:rFonts w:hint="eastAsia"/>
          <w:lang w:eastAsia="zh-CN"/>
        </w:rPr>
        <w:t>”</w:t>
      </w:r>
      <w:r>
        <w:rPr>
          <w:rFonts w:hint="default"/>
        </w:rPr>
        <w:t>，因此项目</w:t>
      </w:r>
      <w:r>
        <w:rPr>
          <w:rFonts w:hint="default"/>
          <w:lang w:val="en-US" w:eastAsia="zh-CN"/>
        </w:rPr>
        <w:t>污染影响型</w:t>
      </w:r>
      <w:r>
        <w:rPr>
          <w:rFonts w:hint="default"/>
        </w:rPr>
        <w:t>土壤环境影响评价工作等级为三级</w:t>
      </w:r>
      <w:r>
        <w:rPr>
          <w:rFonts w:hint="default"/>
          <w:lang w:eastAsia="zh-CN"/>
        </w:rPr>
        <w:t>。</w:t>
      </w:r>
      <w:r>
        <w:rPr>
          <w:rFonts w:hint="default"/>
        </w:rPr>
        <w:t>根据HJ964-2018中8.7.4条，三级评价可采用定性描述或类比分析法进行预测。</w:t>
      </w:r>
    </w:p>
    <w:p w14:paraId="65918715">
      <w:pPr>
        <w:pStyle w:val="41"/>
        <w:bidi w:val="0"/>
        <w:rPr>
          <w:rFonts w:hint="default"/>
          <w:b/>
          <w:bCs/>
        </w:rPr>
      </w:pPr>
      <w:r>
        <w:rPr>
          <w:rFonts w:hint="default"/>
          <w:b/>
          <w:bCs/>
        </w:rPr>
        <w:t>（2）评价范围</w:t>
      </w:r>
    </w:p>
    <w:p w14:paraId="543E08CC">
      <w:pPr>
        <w:pStyle w:val="41"/>
        <w:bidi w:val="0"/>
        <w:rPr>
          <w:rFonts w:hint="default"/>
        </w:rPr>
      </w:pPr>
      <w:r>
        <w:rPr>
          <w:rFonts w:hint="default"/>
        </w:rPr>
        <w:t>项目同时涉及土壤环境生态影响型与污染影响型时，应分别判定评价工作等级</w:t>
      </w:r>
      <w:r>
        <w:rPr>
          <w:rFonts w:hint="default"/>
          <w:lang w:eastAsia="zh-CN"/>
        </w:rPr>
        <w:t>，</w:t>
      </w:r>
      <w:r>
        <w:rPr>
          <w:rFonts w:hint="default"/>
          <w:lang w:val="en-US" w:eastAsia="zh-CN"/>
        </w:rPr>
        <w:t>分别划定评价范围</w:t>
      </w:r>
      <w:r>
        <w:rPr>
          <w:rFonts w:hint="default"/>
          <w:lang w:eastAsia="zh-CN"/>
        </w:rPr>
        <w:t>，</w:t>
      </w:r>
      <w:r>
        <w:rPr>
          <w:rFonts w:hint="default"/>
          <w:lang w:val="en-US" w:eastAsia="zh-CN"/>
        </w:rPr>
        <w:t>通过分析，项目</w:t>
      </w:r>
      <w:r>
        <w:rPr>
          <w:rFonts w:hint="default"/>
        </w:rPr>
        <w:t>污染影响型</w:t>
      </w:r>
      <w:r>
        <w:rPr>
          <w:rFonts w:hint="default"/>
          <w:lang w:val="en-US" w:eastAsia="zh-CN"/>
        </w:rPr>
        <w:t>土壤评价等级为</w:t>
      </w:r>
      <w:r>
        <w:rPr>
          <w:rFonts w:hint="eastAsia"/>
          <w:lang w:val="en-US" w:eastAsia="zh-CN"/>
        </w:rPr>
        <w:t>“</w:t>
      </w:r>
      <w:r>
        <w:rPr>
          <w:rFonts w:hint="default"/>
          <w:lang w:val="en-US" w:eastAsia="zh-CN"/>
        </w:rPr>
        <w:t>三级</w:t>
      </w:r>
      <w:r>
        <w:rPr>
          <w:rFonts w:hint="eastAsia"/>
          <w:lang w:val="en-US" w:eastAsia="zh-CN"/>
        </w:rPr>
        <w:t>”</w:t>
      </w:r>
      <w:r>
        <w:rPr>
          <w:rFonts w:hint="default"/>
          <w:lang w:val="en-US" w:eastAsia="zh-CN"/>
        </w:rPr>
        <w:t>，项目可不开展</w:t>
      </w:r>
      <w:r>
        <w:rPr>
          <w:rFonts w:hint="default"/>
        </w:rPr>
        <w:t>生态影响型</w:t>
      </w:r>
      <w:r>
        <w:rPr>
          <w:rFonts w:hint="default"/>
          <w:lang w:val="en-US" w:eastAsia="zh-CN"/>
        </w:rPr>
        <w:t>土壤评价。</w:t>
      </w:r>
      <w:r>
        <w:rPr>
          <w:rFonts w:hint="default"/>
        </w:rPr>
        <w:t>根据</w:t>
      </w:r>
      <w:r>
        <w:rPr>
          <w:rFonts w:hint="eastAsia"/>
          <w:lang w:eastAsia="zh-CN"/>
        </w:rPr>
        <w:t>《</w:t>
      </w:r>
      <w:r>
        <w:rPr>
          <w:rFonts w:hint="default"/>
        </w:rPr>
        <w:t>环境影响评价技术导则 土壤环境》（HJ964-2018），本项目土壤的评价范围为项目</w:t>
      </w:r>
      <w:r>
        <w:rPr>
          <w:rFonts w:hint="default"/>
          <w:lang w:val="en-US" w:eastAsia="zh-CN"/>
        </w:rPr>
        <w:t>工程占地</w:t>
      </w:r>
      <w:r>
        <w:rPr>
          <w:rFonts w:hint="default"/>
        </w:rPr>
        <w:t>外扩0.05km</w:t>
      </w:r>
      <w:r>
        <w:rPr>
          <w:rFonts w:hint="default"/>
          <w:lang w:val="en-US" w:eastAsia="zh-CN"/>
        </w:rPr>
        <w:t>外包线</w:t>
      </w:r>
      <w:r>
        <w:rPr>
          <w:rFonts w:hint="default"/>
        </w:rPr>
        <w:t>范围。</w:t>
      </w:r>
    </w:p>
    <w:p w14:paraId="4540395C">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01" w:name="_Toc25867"/>
      <w:bookmarkStart w:id="102" w:name="_Toc10113"/>
      <w:bookmarkStart w:id="103" w:name="_Toc51158146"/>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.6.7环境风险评价等级及评价范围</w:t>
      </w:r>
      <w:bookmarkEnd w:id="101"/>
      <w:bookmarkEnd w:id="102"/>
      <w:bookmarkEnd w:id="103"/>
    </w:p>
    <w:p w14:paraId="589052EB">
      <w:pPr>
        <w:pStyle w:val="41"/>
        <w:bidi w:val="0"/>
        <w:rPr>
          <w:rFonts w:hint="default"/>
          <w:b/>
          <w:bCs/>
        </w:rPr>
      </w:pPr>
      <w:r>
        <w:rPr>
          <w:rFonts w:hint="default"/>
          <w:b/>
          <w:bCs/>
        </w:rPr>
        <w:t>（1）评价等级</w:t>
      </w:r>
    </w:p>
    <w:p w14:paraId="1DCC94A8">
      <w:pPr>
        <w:pStyle w:val="41"/>
        <w:bidi w:val="0"/>
        <w:rPr>
          <w:rFonts w:hint="default"/>
        </w:rPr>
      </w:pPr>
      <w:r>
        <w:rPr>
          <w:rFonts w:hint="default"/>
        </w:rPr>
        <w:t>根据</w:t>
      </w:r>
      <w:r>
        <w:rPr>
          <w:rFonts w:hint="eastAsia"/>
          <w:lang w:eastAsia="zh-CN"/>
        </w:rPr>
        <w:t>《</w:t>
      </w:r>
      <w:r>
        <w:rPr>
          <w:rFonts w:hint="default"/>
        </w:rPr>
        <w:t>建设项目环境风险评价技术导则》（HJ169-2018），建设项目涉及的物质及工艺系统危险性和所在地的环境敏感性确定环境风险潜势，按照表</w:t>
      </w:r>
      <w:r>
        <w:rPr>
          <w:rFonts w:hint="default"/>
          <w:lang w:val="en-US" w:eastAsia="zh-CN"/>
        </w:rPr>
        <w:t>1.6-9</w:t>
      </w:r>
      <w:r>
        <w:rPr>
          <w:rFonts w:hint="default"/>
        </w:rPr>
        <w:t>确定评价工作等级。</w:t>
      </w:r>
    </w:p>
    <w:p w14:paraId="2E5315CC">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.6-</w:t>
      </w:r>
      <w:r>
        <w:rPr>
          <w:rFonts w:hint="eastAsia" w:cs="Times New Roman"/>
          <w:b/>
          <w:bCs/>
          <w:color w:val="000000" w:themeColor="text1"/>
          <w:highlight w:val="none"/>
          <w:lang w:val="en-US" w:eastAsia="zh-CN"/>
          <w14:textFill>
            <w14:solidFill>
              <w14:schemeClr w14:val="tx1"/>
            </w14:solidFill>
          </w14:textFill>
        </w:rPr>
        <w:t>7</w:t>
      </w:r>
      <w:r>
        <w:rPr>
          <w:rFonts w:hint="default" w:ascii="Times New Roman" w:hAnsi="Times New Roman" w:cs="Times New Roman"/>
          <w:b/>
          <w:bCs/>
          <w:color w:val="000000" w:themeColor="text1"/>
          <w:highlight w:val="none"/>
          <w14:textFill>
            <w14:solidFill>
              <w14:schemeClr w14:val="tx1"/>
            </w14:solidFill>
          </w14:textFill>
        </w:rPr>
        <w:t xml:space="preserve">  风险评价工作级别</w:t>
      </w:r>
    </w:p>
    <w:tbl>
      <w:tblPr>
        <w:tblStyle w:val="34"/>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5"/>
        <w:gridCol w:w="1390"/>
        <w:gridCol w:w="1938"/>
        <w:gridCol w:w="1627"/>
        <w:gridCol w:w="1630"/>
      </w:tblGrid>
      <w:tr w14:paraId="50C3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25" w:type="dxa"/>
            <w:noWrap w:val="0"/>
            <w:vAlign w:val="center"/>
          </w:tcPr>
          <w:p w14:paraId="4F804E0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环境风险潜势</w:t>
            </w:r>
          </w:p>
        </w:tc>
        <w:tc>
          <w:tcPr>
            <w:tcW w:w="1390" w:type="dxa"/>
            <w:noWrap w:val="0"/>
            <w:vAlign w:val="center"/>
          </w:tcPr>
          <w:p w14:paraId="20E6892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cs="Times New Roman"/>
                <w:b/>
                <w:bCs/>
                <w:color w:val="000000" w:themeColor="text1"/>
                <w:highlight w:val="none"/>
                <w:lang w:eastAsia="zh-CN"/>
                <w14:textFill>
                  <w14:solidFill>
                    <w14:schemeClr w14:val="tx1"/>
                  </w14:solidFill>
                </w14:textFill>
              </w:rPr>
              <w:t>Ⅳ</w:t>
            </w:r>
            <w:r>
              <w:rPr>
                <w:rFonts w:hint="default" w:ascii="Times New Roman" w:hAnsi="Times New Roman" w:cs="Times New Roman"/>
                <w:b/>
                <w:bCs/>
                <w:color w:val="000000" w:themeColor="text1"/>
                <w:highlight w:val="none"/>
                <w14:textFill>
                  <w14:solidFill>
                    <w14:schemeClr w14:val="tx1"/>
                  </w14:solidFill>
                </w14:textFill>
              </w:rPr>
              <w:t>、IV</w:t>
            </w:r>
            <w:r>
              <w:rPr>
                <w:rFonts w:hint="default" w:ascii="Times New Roman" w:hAnsi="Times New Roman" w:cs="Times New Roman"/>
                <w:b/>
                <w:bCs/>
                <w:color w:val="000000" w:themeColor="text1"/>
                <w:highlight w:val="none"/>
                <w:vertAlign w:val="superscript"/>
                <w14:textFill>
                  <w14:solidFill>
                    <w14:schemeClr w14:val="tx1"/>
                  </w14:solidFill>
                </w14:textFill>
              </w:rPr>
              <w:t>+</w:t>
            </w:r>
          </w:p>
        </w:tc>
        <w:tc>
          <w:tcPr>
            <w:tcW w:w="1938" w:type="dxa"/>
            <w:noWrap w:val="0"/>
            <w:vAlign w:val="center"/>
          </w:tcPr>
          <w:p w14:paraId="66978B9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cs="Times New Roman"/>
                <w:b/>
                <w:bCs/>
                <w:color w:val="000000" w:themeColor="text1"/>
                <w:highlight w:val="none"/>
                <w:lang w:eastAsia="zh-CN"/>
                <w14:textFill>
                  <w14:solidFill>
                    <w14:schemeClr w14:val="tx1"/>
                  </w14:solidFill>
                </w14:textFill>
              </w:rPr>
              <w:t>Ⅲ</w:t>
            </w:r>
          </w:p>
        </w:tc>
        <w:tc>
          <w:tcPr>
            <w:tcW w:w="1627" w:type="dxa"/>
            <w:noWrap w:val="0"/>
            <w:vAlign w:val="center"/>
          </w:tcPr>
          <w:p w14:paraId="179C761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II</w:t>
            </w:r>
          </w:p>
        </w:tc>
        <w:tc>
          <w:tcPr>
            <w:tcW w:w="1630" w:type="dxa"/>
            <w:noWrap w:val="0"/>
            <w:vAlign w:val="center"/>
          </w:tcPr>
          <w:p w14:paraId="17394007">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w:t>
            </w:r>
          </w:p>
        </w:tc>
      </w:tr>
      <w:tr w14:paraId="07EAF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725" w:type="dxa"/>
            <w:noWrap w:val="0"/>
            <w:vAlign w:val="center"/>
          </w:tcPr>
          <w:p w14:paraId="6BEDF11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评价工作等级</w:t>
            </w:r>
          </w:p>
        </w:tc>
        <w:tc>
          <w:tcPr>
            <w:tcW w:w="1390" w:type="dxa"/>
            <w:noWrap w:val="0"/>
            <w:vAlign w:val="center"/>
          </w:tcPr>
          <w:p w14:paraId="4A484BC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w:t>
            </w:r>
          </w:p>
        </w:tc>
        <w:tc>
          <w:tcPr>
            <w:tcW w:w="1938" w:type="dxa"/>
            <w:noWrap w:val="0"/>
            <w:vAlign w:val="center"/>
          </w:tcPr>
          <w:p w14:paraId="0C9FC3A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w:t>
            </w:r>
          </w:p>
        </w:tc>
        <w:tc>
          <w:tcPr>
            <w:tcW w:w="1627" w:type="dxa"/>
            <w:noWrap w:val="0"/>
            <w:vAlign w:val="center"/>
          </w:tcPr>
          <w:p w14:paraId="0288976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w:t>
            </w:r>
          </w:p>
        </w:tc>
        <w:tc>
          <w:tcPr>
            <w:tcW w:w="1630" w:type="dxa"/>
            <w:noWrap w:val="0"/>
            <w:vAlign w:val="center"/>
          </w:tcPr>
          <w:p w14:paraId="71C8C57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简单分析</w:t>
            </w:r>
            <w:r>
              <w:rPr>
                <w:rFonts w:hint="default" w:ascii="Times New Roman" w:hAnsi="Times New Roman" w:cs="Times New Roman"/>
                <w:color w:val="000000" w:themeColor="text1"/>
                <w:highlight w:val="none"/>
                <w:vertAlign w:val="superscript"/>
                <w14:textFill>
                  <w14:solidFill>
                    <w14:schemeClr w14:val="tx1"/>
                  </w14:solidFill>
                </w14:textFill>
              </w:rPr>
              <w:t>a</w:t>
            </w:r>
          </w:p>
        </w:tc>
      </w:tr>
      <w:tr w14:paraId="02DD0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310" w:type="dxa"/>
            <w:gridSpan w:val="5"/>
            <w:noWrap w:val="0"/>
            <w:vAlign w:val="center"/>
          </w:tcPr>
          <w:p w14:paraId="0D8B209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a.</w:t>
            </w:r>
            <w:r>
              <w:rPr>
                <w:rFonts w:hint="default" w:ascii="Times New Roman" w:hAnsi="Times New Roman" w:cs="Times New Roman"/>
                <w:color w:val="000000" w:themeColor="text1"/>
                <w:highlight w:val="none"/>
                <w14:textFill>
                  <w14:solidFill>
                    <w14:schemeClr w14:val="tx1"/>
                  </w14:solidFill>
                </w14:textFill>
              </w:rPr>
              <w:t>相对于详细评价工作内容而言，在描述危险物质、环境影响途径、环境危害后果、风险防范措施等方面给出定性的说明。</w:t>
            </w:r>
          </w:p>
        </w:tc>
      </w:tr>
    </w:tbl>
    <w:p w14:paraId="14FDA0B3">
      <w:pPr>
        <w:pStyle w:val="41"/>
        <w:bidi w:val="0"/>
        <w:rPr>
          <w:rFonts w:hint="default"/>
        </w:rPr>
      </w:pPr>
      <w:r>
        <w:rPr>
          <w:rFonts w:hint="default"/>
        </w:rPr>
        <w:t>根据第9章风险分析，本项目环境风险潜势为Ⅰ，环境风险进行简单分析。</w:t>
      </w:r>
    </w:p>
    <w:p w14:paraId="66C07D9B">
      <w:pPr>
        <w:pStyle w:val="41"/>
        <w:bidi w:val="0"/>
        <w:rPr>
          <w:rFonts w:hint="default"/>
          <w:b/>
          <w:bCs/>
        </w:rPr>
      </w:pPr>
      <w:r>
        <w:rPr>
          <w:rFonts w:hint="default"/>
          <w:b/>
          <w:bCs/>
        </w:rPr>
        <w:t>（2）评价范围</w:t>
      </w:r>
    </w:p>
    <w:p w14:paraId="781216D9">
      <w:pPr>
        <w:pStyle w:val="41"/>
        <w:bidi w:val="0"/>
        <w:rPr>
          <w:rFonts w:hint="default"/>
          <w:lang w:val="en-US" w:eastAsia="zh-CN"/>
        </w:rPr>
      </w:pPr>
      <w:r>
        <w:rPr>
          <w:rFonts w:hint="eastAsia"/>
          <w:lang w:eastAsia="zh-CN"/>
        </w:rPr>
        <w:t>《</w:t>
      </w:r>
      <w:r>
        <w:rPr>
          <w:rFonts w:hint="default"/>
        </w:rPr>
        <w:t>建设项目环境风险评价技术导则》（HJ169-2018）未明确简单分析风险评价范围，故本项目大气环境风险评价范围参照大气环境评价范围</w:t>
      </w:r>
      <w:r>
        <w:rPr>
          <w:rFonts w:hint="default"/>
          <w:lang w:eastAsia="zh-CN"/>
        </w:rPr>
        <w:t>。</w:t>
      </w:r>
    </w:p>
    <w:p w14:paraId="31796E2D">
      <w:pPr>
        <w:pStyle w:val="3"/>
        <w:numPr>
          <w:ilvl w:val="1"/>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04" w:name="_Toc20050"/>
      <w:bookmarkStart w:id="105" w:name="_Toc13330"/>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评价</w:t>
      </w:r>
      <w:r>
        <w:rPr>
          <w:rFonts w:hint="default" w:ascii="Times New Roman" w:hAnsi="Times New Roman" w:cs="Times New Roman"/>
          <w:color w:val="000000" w:themeColor="text1"/>
          <w:highlight w:val="none"/>
          <w:lang w:val="en-US" w:eastAsia="zh-CN"/>
          <w14:textFill>
            <w14:solidFill>
              <w14:schemeClr w14:val="tx1"/>
            </w14:solidFill>
          </w14:textFill>
        </w:rPr>
        <w:t>重点</w:t>
      </w:r>
      <w:r>
        <w:rPr>
          <w:rFonts w:hint="default" w:ascii="Times New Roman" w:hAnsi="Times New Roman" w:cs="Times New Roman"/>
          <w:color w:val="000000" w:themeColor="text1"/>
          <w:highlight w:val="none"/>
          <w14:textFill>
            <w14:solidFill>
              <w14:schemeClr w14:val="tx1"/>
            </w14:solidFill>
          </w14:textFill>
        </w:rPr>
        <w:t>与评价时段</w:t>
      </w:r>
      <w:bookmarkEnd w:id="104"/>
      <w:bookmarkEnd w:id="105"/>
    </w:p>
    <w:p w14:paraId="473FBCAE">
      <w:pPr>
        <w:pStyle w:val="4"/>
        <w:numPr>
          <w:ilvl w:val="2"/>
          <w:numId w:val="0"/>
        </w:numPr>
        <w:bidi w:val="0"/>
        <w:ind w:leftChars="0"/>
        <w:rPr>
          <w:rFonts w:hint="default" w:ascii="Times New Roman" w:hAnsi="Times New Roman" w:eastAsia="宋体" w:cs="Times New Roman"/>
          <w:color w:val="000000" w:themeColor="text1"/>
          <w:highlight w:val="none"/>
          <w:lang w:eastAsia="zh-CN"/>
          <w14:textFill>
            <w14:solidFill>
              <w14:schemeClr w14:val="tx1"/>
            </w14:solidFill>
          </w14:textFill>
        </w:rPr>
      </w:pPr>
      <w:bookmarkStart w:id="106" w:name="_Toc31149"/>
      <w:bookmarkStart w:id="107" w:name="_Toc2945"/>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.1评价</w:t>
      </w:r>
      <w:r>
        <w:rPr>
          <w:rFonts w:hint="default" w:ascii="Times New Roman" w:hAnsi="Times New Roman" w:cs="Times New Roman"/>
          <w:color w:val="000000" w:themeColor="text1"/>
          <w:highlight w:val="none"/>
          <w:lang w:val="en-US" w:eastAsia="zh-CN"/>
          <w14:textFill>
            <w14:solidFill>
              <w14:schemeClr w14:val="tx1"/>
            </w14:solidFill>
          </w14:textFill>
        </w:rPr>
        <w:t>重点</w:t>
      </w:r>
      <w:bookmarkEnd w:id="106"/>
      <w:bookmarkEnd w:id="107"/>
    </w:p>
    <w:p w14:paraId="07879926">
      <w:pPr>
        <w:pStyle w:val="41"/>
        <w:bidi w:val="0"/>
        <w:rPr>
          <w:rFonts w:hint="default"/>
          <w:lang w:eastAsia="zh-CN"/>
        </w:rPr>
      </w:pPr>
      <w:r>
        <w:rPr>
          <w:rFonts w:hint="default"/>
        </w:rPr>
        <w:t>本次评价的重点为：工程分析</w:t>
      </w:r>
      <w:r>
        <w:rPr>
          <w:rFonts w:hint="eastAsia"/>
          <w:lang w:eastAsia="zh-CN"/>
        </w:rPr>
        <w:t>；</w:t>
      </w:r>
      <w:r>
        <w:rPr>
          <w:rFonts w:hint="default"/>
        </w:rPr>
        <w:t>生态环境影响评价</w:t>
      </w:r>
      <w:r>
        <w:rPr>
          <w:rFonts w:hint="eastAsia"/>
          <w:lang w:eastAsia="zh-CN"/>
        </w:rPr>
        <w:t>；</w:t>
      </w:r>
      <w:r>
        <w:rPr>
          <w:rFonts w:hint="default"/>
          <w:lang w:val="en-US" w:eastAsia="zh-CN"/>
        </w:rPr>
        <w:t>大气</w:t>
      </w:r>
      <w:r>
        <w:rPr>
          <w:rFonts w:hint="default"/>
        </w:rPr>
        <w:t>环境影响评价</w:t>
      </w:r>
      <w:r>
        <w:rPr>
          <w:rFonts w:hint="eastAsia"/>
          <w:lang w:eastAsia="zh-CN"/>
        </w:rPr>
        <w:t>；</w:t>
      </w:r>
      <w:r>
        <w:rPr>
          <w:rFonts w:hint="default"/>
          <w:lang w:val="en-US" w:eastAsia="zh-CN"/>
        </w:rPr>
        <w:t>各类废水回用可行性分析</w:t>
      </w:r>
      <w:r>
        <w:rPr>
          <w:rFonts w:hint="eastAsia"/>
          <w:lang w:eastAsia="zh-CN"/>
        </w:rPr>
        <w:t>；</w:t>
      </w:r>
      <w:r>
        <w:rPr>
          <w:rFonts w:hint="eastAsia"/>
          <w:lang w:val="en-US" w:eastAsia="zh-CN"/>
        </w:rPr>
        <w:t>固体废物处理处置情况，表土堆场等设置合理性分析；</w:t>
      </w:r>
      <w:r>
        <w:rPr>
          <w:rFonts w:hint="default"/>
        </w:rPr>
        <w:t>环境保护措施及可行性论证等</w:t>
      </w:r>
      <w:r>
        <w:rPr>
          <w:rFonts w:hint="default"/>
          <w:lang w:eastAsia="zh-CN"/>
        </w:rPr>
        <w:t>。</w:t>
      </w:r>
    </w:p>
    <w:p w14:paraId="0DC9BBA5">
      <w:pPr>
        <w:pStyle w:val="4"/>
        <w:numPr>
          <w:ilvl w:val="2"/>
          <w:numId w:val="0"/>
        </w:numPr>
        <w:bidi w:val="0"/>
        <w:ind w:left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108" w:name="_Toc14654"/>
      <w:bookmarkStart w:id="109" w:name="_Toc20862"/>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.2评价</w:t>
      </w:r>
      <w:r>
        <w:rPr>
          <w:rFonts w:hint="default" w:ascii="Times New Roman" w:hAnsi="Times New Roman" w:cs="Times New Roman"/>
          <w:color w:val="000000" w:themeColor="text1"/>
          <w:highlight w:val="none"/>
          <w:lang w:val="en-US" w:eastAsia="zh-CN"/>
          <w14:textFill>
            <w14:solidFill>
              <w14:schemeClr w14:val="tx1"/>
            </w14:solidFill>
          </w14:textFill>
        </w:rPr>
        <w:t>时段</w:t>
      </w:r>
      <w:bookmarkEnd w:id="108"/>
      <w:bookmarkEnd w:id="109"/>
    </w:p>
    <w:p w14:paraId="68BDCF5E">
      <w:pPr>
        <w:pStyle w:val="41"/>
        <w:bidi w:val="0"/>
        <w:rPr>
          <w:rFonts w:hint="default"/>
          <w:lang w:eastAsia="zh-CN"/>
        </w:rPr>
      </w:pPr>
      <w:r>
        <w:rPr>
          <w:rFonts w:hint="default"/>
        </w:rPr>
        <w:t>根据</w:t>
      </w:r>
      <w:r>
        <w:rPr>
          <w:rFonts w:hint="default"/>
          <w:lang w:val="en-US" w:eastAsia="zh-CN"/>
        </w:rPr>
        <w:t>项目</w:t>
      </w:r>
      <w:r>
        <w:rPr>
          <w:rFonts w:hint="default"/>
        </w:rPr>
        <w:t>建设的特征，本次环境影响评价时段以建设期、生产期为主</w:t>
      </w:r>
      <w:r>
        <w:rPr>
          <w:rFonts w:hint="default"/>
          <w:lang w:eastAsia="zh-CN"/>
        </w:rPr>
        <w:t>。</w:t>
      </w:r>
      <w:r>
        <w:rPr>
          <w:rFonts w:hint="default"/>
          <w:lang w:val="en-US" w:eastAsia="zh-CN"/>
        </w:rPr>
        <w:t>根据项目</w:t>
      </w:r>
      <w:r>
        <w:rPr>
          <w:rFonts w:hint="default"/>
          <w:lang w:eastAsia="zh-CN"/>
        </w:rPr>
        <w:t>矿山生产规模及可采资源量计算，矿山生产服务年限为</w:t>
      </w:r>
      <w:r>
        <w:rPr>
          <w:rFonts w:hint="eastAsia"/>
          <w:lang w:val="en-US" w:eastAsia="zh-CN"/>
        </w:rPr>
        <w:t>35.1</w:t>
      </w:r>
      <w:r>
        <w:rPr>
          <w:rFonts w:hint="default"/>
          <w:lang w:eastAsia="zh-CN"/>
        </w:rPr>
        <w:t>年</w:t>
      </w:r>
      <w:r>
        <w:rPr>
          <w:rFonts w:hint="default"/>
        </w:rPr>
        <w:t>。</w:t>
      </w:r>
    </w:p>
    <w:p w14:paraId="1032E6A3">
      <w:pPr>
        <w:pStyle w:val="3"/>
        <w:numPr>
          <w:ilvl w:val="1"/>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10" w:name="_Toc4117"/>
      <w:bookmarkStart w:id="111" w:name="_Toc3992"/>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8</w:t>
      </w:r>
      <w:r>
        <w:rPr>
          <w:rFonts w:hint="default" w:ascii="Times New Roman" w:hAnsi="Times New Roman" w:cs="Times New Roman"/>
          <w:color w:val="000000" w:themeColor="text1"/>
          <w:highlight w:val="none"/>
          <w14:textFill>
            <w14:solidFill>
              <w14:schemeClr w14:val="tx1"/>
            </w14:solidFill>
          </w14:textFill>
        </w:rPr>
        <w:t>评价方法</w:t>
      </w:r>
      <w:bookmarkEnd w:id="110"/>
      <w:bookmarkEnd w:id="111"/>
    </w:p>
    <w:p w14:paraId="56183B03">
      <w:pPr>
        <w:pStyle w:val="41"/>
        <w:bidi w:val="0"/>
        <w:rPr>
          <w:rFonts w:hint="default"/>
        </w:rPr>
      </w:pPr>
      <w:r>
        <w:rPr>
          <w:rFonts w:hint="default"/>
        </w:rPr>
        <w:t>本项目采用的评价方法见下表。</w:t>
      </w:r>
    </w:p>
    <w:p w14:paraId="55BEF20F">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.8-1   本项目评价中采用的主要技术和方法</w:t>
      </w:r>
    </w:p>
    <w:tbl>
      <w:tblPr>
        <w:tblStyle w:val="34"/>
        <w:tblW w:w="5000" w:type="pct"/>
        <w:jc w:val="center"/>
        <w:tblLayout w:type="fixed"/>
        <w:tblCellMar>
          <w:top w:w="0" w:type="dxa"/>
          <w:left w:w="108" w:type="dxa"/>
          <w:bottom w:w="0" w:type="dxa"/>
          <w:right w:w="108" w:type="dxa"/>
        </w:tblCellMar>
      </w:tblPr>
      <w:tblGrid>
        <w:gridCol w:w="2507"/>
        <w:gridCol w:w="3489"/>
        <w:gridCol w:w="2526"/>
      </w:tblGrid>
      <w:tr w14:paraId="5DB412BE">
        <w:tblPrEx>
          <w:tblCellMar>
            <w:top w:w="0" w:type="dxa"/>
            <w:left w:w="108" w:type="dxa"/>
            <w:bottom w:w="0" w:type="dxa"/>
            <w:right w:w="108" w:type="dxa"/>
          </w:tblCellMar>
        </w:tblPrEx>
        <w:trPr>
          <w:trHeight w:val="397" w:hRule="atLeast"/>
          <w:tblHeader/>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564FCFD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评价项目</w:t>
            </w:r>
          </w:p>
        </w:tc>
        <w:tc>
          <w:tcPr>
            <w:tcW w:w="3489" w:type="dxa"/>
            <w:tcBorders>
              <w:top w:val="single" w:color="auto" w:sz="4" w:space="0"/>
              <w:left w:val="nil"/>
              <w:bottom w:val="single" w:color="auto" w:sz="4" w:space="0"/>
              <w:right w:val="single" w:color="auto" w:sz="4" w:space="0"/>
            </w:tcBorders>
            <w:noWrap w:val="0"/>
            <w:vAlign w:val="center"/>
          </w:tcPr>
          <w:p w14:paraId="2D1BDF98">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现状评价</w:t>
            </w:r>
          </w:p>
        </w:tc>
        <w:tc>
          <w:tcPr>
            <w:tcW w:w="2526" w:type="dxa"/>
            <w:tcBorders>
              <w:top w:val="single" w:color="auto" w:sz="4" w:space="0"/>
              <w:left w:val="nil"/>
              <w:bottom w:val="single" w:color="auto" w:sz="4" w:space="0"/>
              <w:right w:val="single" w:color="auto" w:sz="4" w:space="0"/>
            </w:tcBorders>
            <w:noWrap w:val="0"/>
            <w:vAlign w:val="center"/>
          </w:tcPr>
          <w:p w14:paraId="71732A8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预测评价</w:t>
            </w:r>
          </w:p>
        </w:tc>
      </w:tr>
      <w:tr w14:paraId="73EA1210">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6AEC46E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生态环境影响评价</w:t>
            </w:r>
          </w:p>
        </w:tc>
        <w:tc>
          <w:tcPr>
            <w:tcW w:w="3489" w:type="dxa"/>
            <w:tcBorders>
              <w:top w:val="single" w:color="auto" w:sz="4" w:space="0"/>
              <w:left w:val="nil"/>
              <w:bottom w:val="single" w:color="auto" w:sz="4" w:space="0"/>
              <w:right w:val="single" w:color="auto" w:sz="4" w:space="0"/>
            </w:tcBorders>
            <w:noWrap w:val="0"/>
            <w:vAlign w:val="center"/>
          </w:tcPr>
          <w:p w14:paraId="3EB70A6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查阅资料</w:t>
            </w:r>
            <w:r>
              <w:rPr>
                <w:rFonts w:hint="default" w:ascii="Times New Roman" w:hAnsi="Times New Roman" w:cs="Times New Roman"/>
                <w:color w:val="000000" w:themeColor="text1"/>
                <w:highlight w:val="none"/>
                <w14:textFill>
                  <w14:solidFill>
                    <w14:schemeClr w14:val="tx1"/>
                  </w14:solidFill>
                </w14:textFill>
              </w:rPr>
              <w:t>、现场调查</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访问当地村民</w:t>
            </w:r>
          </w:p>
        </w:tc>
        <w:tc>
          <w:tcPr>
            <w:tcW w:w="2526" w:type="dxa"/>
            <w:tcBorders>
              <w:top w:val="single" w:color="auto" w:sz="4" w:space="0"/>
              <w:left w:val="nil"/>
              <w:bottom w:val="single" w:color="auto" w:sz="4" w:space="0"/>
              <w:right w:val="single" w:color="auto" w:sz="4" w:space="0"/>
            </w:tcBorders>
            <w:noWrap w:val="0"/>
            <w:vAlign w:val="center"/>
          </w:tcPr>
          <w:p w14:paraId="2EDF83FD">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定性</w:t>
            </w:r>
            <w:r>
              <w:rPr>
                <w:rFonts w:hint="eastAsia" w:cs="Times New Roman"/>
                <w:color w:val="000000" w:themeColor="text1"/>
                <w:highlight w:val="none"/>
                <w:lang w:val="en-US" w:eastAsia="zh-CN"/>
                <w14:textFill>
                  <w14:solidFill>
                    <w14:schemeClr w14:val="tx1"/>
                  </w14:solidFill>
                </w14:textFill>
              </w:rPr>
              <w:t>分析</w:t>
            </w:r>
          </w:p>
        </w:tc>
      </w:tr>
      <w:tr w14:paraId="46384958">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7308D6C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环境空气影响评价</w:t>
            </w:r>
          </w:p>
        </w:tc>
        <w:tc>
          <w:tcPr>
            <w:tcW w:w="3489" w:type="dxa"/>
            <w:tcBorders>
              <w:top w:val="single" w:color="auto" w:sz="4" w:space="0"/>
              <w:left w:val="nil"/>
              <w:bottom w:val="single" w:color="auto" w:sz="4" w:space="0"/>
              <w:right w:val="single" w:color="auto" w:sz="4" w:space="0"/>
            </w:tcBorders>
            <w:noWrap w:val="0"/>
            <w:vAlign w:val="center"/>
          </w:tcPr>
          <w:p w14:paraId="460B258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资料收集、现状监测</w:t>
            </w:r>
          </w:p>
        </w:tc>
        <w:tc>
          <w:tcPr>
            <w:tcW w:w="2526" w:type="dxa"/>
            <w:tcBorders>
              <w:top w:val="single" w:color="auto" w:sz="4" w:space="0"/>
              <w:left w:val="nil"/>
              <w:bottom w:val="single" w:color="auto" w:sz="4" w:space="0"/>
              <w:right w:val="single" w:color="auto" w:sz="4" w:space="0"/>
            </w:tcBorders>
            <w:noWrap w:val="0"/>
            <w:vAlign w:val="center"/>
          </w:tcPr>
          <w:p w14:paraId="0C5A166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数学模型法、类比分析</w:t>
            </w:r>
          </w:p>
        </w:tc>
      </w:tr>
      <w:tr w14:paraId="656052B0">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43874AA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地表</w:t>
            </w:r>
            <w:r>
              <w:rPr>
                <w:rFonts w:hint="default" w:ascii="Times New Roman" w:hAnsi="Times New Roman" w:cs="Times New Roman"/>
                <w:color w:val="000000" w:themeColor="text1"/>
                <w:highlight w:val="none"/>
                <w14:textFill>
                  <w14:solidFill>
                    <w14:schemeClr w14:val="tx1"/>
                  </w14:solidFill>
                </w14:textFill>
              </w:rPr>
              <w:t>水环境影响评价</w:t>
            </w:r>
          </w:p>
        </w:tc>
        <w:tc>
          <w:tcPr>
            <w:tcW w:w="3489" w:type="dxa"/>
            <w:tcBorders>
              <w:top w:val="single" w:color="auto" w:sz="4" w:space="0"/>
              <w:left w:val="nil"/>
              <w:bottom w:val="single" w:color="auto" w:sz="4" w:space="0"/>
              <w:right w:val="single" w:color="auto" w:sz="4" w:space="0"/>
            </w:tcBorders>
            <w:noWrap w:val="0"/>
            <w:vAlign w:val="center"/>
          </w:tcPr>
          <w:p w14:paraId="05B849A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资料收集</w:t>
            </w:r>
          </w:p>
        </w:tc>
        <w:tc>
          <w:tcPr>
            <w:tcW w:w="2526" w:type="dxa"/>
            <w:tcBorders>
              <w:top w:val="single" w:color="auto" w:sz="4" w:space="0"/>
              <w:left w:val="nil"/>
              <w:bottom w:val="single" w:color="auto" w:sz="4" w:space="0"/>
              <w:right w:val="single" w:color="auto" w:sz="4" w:space="0"/>
            </w:tcBorders>
            <w:noWrap w:val="0"/>
            <w:vAlign w:val="center"/>
          </w:tcPr>
          <w:p w14:paraId="23459F17">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w:t>
            </w:r>
          </w:p>
        </w:tc>
      </w:tr>
      <w:tr w14:paraId="4F1BDDC5">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2F80153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声环境影响评价</w:t>
            </w:r>
          </w:p>
        </w:tc>
        <w:tc>
          <w:tcPr>
            <w:tcW w:w="3489" w:type="dxa"/>
            <w:tcBorders>
              <w:top w:val="single" w:color="auto" w:sz="4" w:space="0"/>
              <w:left w:val="nil"/>
              <w:bottom w:val="single" w:color="auto" w:sz="4" w:space="0"/>
              <w:right w:val="single" w:color="auto" w:sz="4" w:space="0"/>
            </w:tcBorders>
            <w:noWrap w:val="0"/>
            <w:vAlign w:val="center"/>
          </w:tcPr>
          <w:p w14:paraId="150CE31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现状监测</w:t>
            </w:r>
          </w:p>
        </w:tc>
        <w:tc>
          <w:tcPr>
            <w:tcW w:w="2526" w:type="dxa"/>
            <w:tcBorders>
              <w:top w:val="single" w:color="auto" w:sz="4" w:space="0"/>
              <w:left w:val="nil"/>
              <w:bottom w:val="single" w:color="auto" w:sz="4" w:space="0"/>
              <w:right w:val="single" w:color="auto" w:sz="4" w:space="0"/>
            </w:tcBorders>
            <w:noWrap w:val="0"/>
            <w:vAlign w:val="center"/>
          </w:tcPr>
          <w:p w14:paraId="7868FFA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模型计算</w:t>
            </w:r>
          </w:p>
        </w:tc>
      </w:tr>
      <w:tr w14:paraId="6B925061">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noWrap w:val="0"/>
            <w:vAlign w:val="center"/>
          </w:tcPr>
          <w:p w14:paraId="27113AF4">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地下水环境影响评价</w:t>
            </w:r>
          </w:p>
        </w:tc>
        <w:tc>
          <w:tcPr>
            <w:tcW w:w="3489" w:type="dxa"/>
            <w:tcBorders>
              <w:top w:val="single" w:color="auto" w:sz="4" w:space="0"/>
              <w:left w:val="nil"/>
              <w:bottom w:val="single" w:color="auto" w:sz="4" w:space="0"/>
              <w:right w:val="single" w:color="auto" w:sz="4" w:space="0"/>
            </w:tcBorders>
            <w:noWrap w:val="0"/>
            <w:vAlign w:val="center"/>
          </w:tcPr>
          <w:p w14:paraId="15E224EB">
            <w:pPr>
              <w:pStyle w:val="43"/>
              <w:bidi w:val="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2526" w:type="dxa"/>
            <w:tcBorders>
              <w:top w:val="single" w:color="auto" w:sz="4" w:space="0"/>
              <w:left w:val="nil"/>
              <w:bottom w:val="single" w:color="auto" w:sz="4" w:space="0"/>
              <w:right w:val="single" w:color="auto" w:sz="4" w:space="0"/>
            </w:tcBorders>
            <w:noWrap w:val="0"/>
            <w:vAlign w:val="center"/>
          </w:tcPr>
          <w:p w14:paraId="70736460">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简单分析</w:t>
            </w:r>
          </w:p>
        </w:tc>
      </w:tr>
      <w:tr w14:paraId="61FBD4BF">
        <w:tblPrEx>
          <w:tblCellMar>
            <w:top w:w="0" w:type="dxa"/>
            <w:left w:w="108" w:type="dxa"/>
            <w:bottom w:w="0" w:type="dxa"/>
            <w:right w:w="108" w:type="dxa"/>
          </w:tblCellMar>
        </w:tblPrEx>
        <w:trPr>
          <w:trHeight w:val="397" w:hRule="atLeast"/>
          <w:jc w:val="center"/>
        </w:trPr>
        <w:tc>
          <w:tcPr>
            <w:tcW w:w="25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54B52D">
            <w:pPr>
              <w:pStyle w:val="43"/>
              <w:bidi w:val="0"/>
              <w:ind w:firstLine="0" w:firstLineChars="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土壤影响评价</w:t>
            </w:r>
          </w:p>
        </w:tc>
        <w:tc>
          <w:tcPr>
            <w:tcW w:w="3489" w:type="dxa"/>
            <w:tcBorders>
              <w:top w:val="single" w:color="auto" w:sz="4" w:space="0"/>
              <w:left w:val="nil"/>
              <w:bottom w:val="single" w:color="auto" w:sz="4" w:space="0"/>
              <w:right w:val="single" w:color="auto" w:sz="4" w:space="0"/>
            </w:tcBorders>
            <w:shd w:val="clear" w:color="auto" w:fill="auto"/>
            <w:noWrap w:val="0"/>
            <w:vAlign w:val="center"/>
          </w:tcPr>
          <w:p w14:paraId="21E17479">
            <w:pPr>
              <w:pStyle w:val="43"/>
              <w:bidi w:val="0"/>
              <w:ind w:firstLine="0" w:firstLineChars="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资料收集、现状监测</w:t>
            </w:r>
          </w:p>
        </w:tc>
        <w:tc>
          <w:tcPr>
            <w:tcW w:w="2526" w:type="dxa"/>
            <w:tcBorders>
              <w:top w:val="single" w:color="auto" w:sz="4" w:space="0"/>
              <w:left w:val="nil"/>
              <w:bottom w:val="single" w:color="auto" w:sz="4" w:space="0"/>
              <w:right w:val="single" w:color="auto" w:sz="4" w:space="0"/>
            </w:tcBorders>
            <w:shd w:val="clear" w:color="auto" w:fill="auto"/>
            <w:noWrap w:val="0"/>
            <w:vAlign w:val="center"/>
          </w:tcPr>
          <w:p w14:paraId="60A55337">
            <w:pPr>
              <w:pStyle w:val="43"/>
              <w:bidi w:val="0"/>
              <w:ind w:firstLine="0" w:firstLineChars="0"/>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定性描述</w:t>
            </w:r>
            <w:r>
              <w:rPr>
                <w:rFonts w:hint="default" w:ascii="Times New Roman" w:hAnsi="Times New Roman" w:cs="Times New Roman"/>
                <w:color w:val="000000" w:themeColor="text1"/>
                <w:highlight w:val="none"/>
                <w14:textFill>
                  <w14:solidFill>
                    <w14:schemeClr w14:val="tx1"/>
                  </w14:solidFill>
                </w14:textFill>
              </w:rPr>
              <w:t>分析</w:t>
            </w:r>
          </w:p>
        </w:tc>
      </w:tr>
    </w:tbl>
    <w:p w14:paraId="776962BB">
      <w:pPr>
        <w:pStyle w:val="3"/>
        <w:numPr>
          <w:ilvl w:val="1"/>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12" w:name="_Toc19208"/>
      <w:bookmarkStart w:id="113" w:name="_Toc14049"/>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9</w:t>
      </w:r>
      <w:r>
        <w:rPr>
          <w:rFonts w:hint="default" w:ascii="Times New Roman" w:hAnsi="Times New Roman" w:cs="Times New Roman"/>
          <w:color w:val="000000" w:themeColor="text1"/>
          <w:highlight w:val="none"/>
          <w14:textFill>
            <w14:solidFill>
              <w14:schemeClr w14:val="tx1"/>
            </w14:solidFill>
          </w14:textFill>
        </w:rPr>
        <w:t>环境保护目标</w:t>
      </w:r>
      <w:bookmarkEnd w:id="112"/>
      <w:bookmarkEnd w:id="113"/>
    </w:p>
    <w:p w14:paraId="1E58458B">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14" w:name="_Toc1454"/>
      <w:bookmarkStart w:id="115" w:name="_Toc15545"/>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9</w:t>
      </w:r>
      <w:r>
        <w:rPr>
          <w:rFonts w:hint="default" w:ascii="Times New Roman" w:hAnsi="Times New Roman" w:cs="Times New Roman"/>
          <w:color w:val="000000" w:themeColor="text1"/>
          <w:highlight w:val="none"/>
          <w14:textFill>
            <w14:solidFill>
              <w14:schemeClr w14:val="tx1"/>
            </w14:solidFill>
          </w14:textFill>
        </w:rPr>
        <w:t>.1 环境敏感区</w:t>
      </w:r>
      <w:bookmarkEnd w:id="114"/>
      <w:bookmarkEnd w:id="115"/>
    </w:p>
    <w:p w14:paraId="282377D7">
      <w:pPr>
        <w:pStyle w:val="41"/>
        <w:bidi w:val="0"/>
        <w:rPr>
          <w:rFonts w:hint="default"/>
          <w:lang w:eastAsia="zh-CN"/>
        </w:rPr>
      </w:pPr>
      <w:r>
        <w:rPr>
          <w:rFonts w:hint="eastAsia"/>
        </w:rPr>
        <w:t>根据调查及查询相关支撑性文件，本项目除生态评价范围涵盖生态保护红线外，不涉及自然保护区、自然公园、世界自然遗产、重要生境等</w:t>
      </w:r>
      <w:r>
        <w:rPr>
          <w:rFonts w:hint="eastAsia"/>
          <w:lang w:eastAsia="zh-CN"/>
        </w:rPr>
        <w:t>《</w:t>
      </w:r>
      <w:r>
        <w:rPr>
          <w:rFonts w:hint="eastAsia"/>
        </w:rPr>
        <w:t>环境影响评价技术导则 生态影响》（H</w:t>
      </w:r>
      <w:r>
        <w:t>J19-2022</w:t>
      </w:r>
      <w:r>
        <w:rPr>
          <w:rFonts w:hint="eastAsia"/>
        </w:rPr>
        <w:t>）所述的其他生态敏感区</w:t>
      </w:r>
      <w:r>
        <w:rPr>
          <w:rFonts w:hint="default"/>
          <w:lang w:eastAsia="zh-CN"/>
        </w:rPr>
        <w:t>。</w:t>
      </w:r>
    </w:p>
    <w:p w14:paraId="0CEFB3E5">
      <w:pPr>
        <w:pStyle w:val="4"/>
        <w:numPr>
          <w:ilvl w:val="2"/>
          <w:numId w:val="0"/>
        </w:numPr>
        <w:bidi w:val="0"/>
        <w:ind w:leftChars="0"/>
        <w:rPr>
          <w:rFonts w:hint="default" w:ascii="Times New Roman" w:hAnsi="Times New Roman" w:cs="Times New Roman"/>
          <w:color w:val="000000" w:themeColor="text1"/>
          <w:highlight w:val="none"/>
          <w14:textFill>
            <w14:solidFill>
              <w14:schemeClr w14:val="tx1"/>
            </w14:solidFill>
          </w14:textFill>
        </w:rPr>
      </w:pPr>
      <w:bookmarkStart w:id="116" w:name="_Toc2027"/>
      <w:bookmarkStart w:id="117" w:name="_Toc25672"/>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9</w:t>
      </w:r>
      <w:r>
        <w:rPr>
          <w:rFonts w:hint="default" w:ascii="Times New Roman" w:hAnsi="Times New Roman" w:cs="Times New Roman"/>
          <w:color w:val="000000" w:themeColor="text1"/>
          <w:highlight w:val="none"/>
          <w14:textFill>
            <w14:solidFill>
              <w14:schemeClr w14:val="tx1"/>
            </w14:solidFill>
          </w14:textFill>
        </w:rPr>
        <w:t>.2 环境敏感目标</w:t>
      </w:r>
      <w:bookmarkEnd w:id="116"/>
      <w:bookmarkEnd w:id="117"/>
    </w:p>
    <w:p w14:paraId="1EC56025">
      <w:pPr>
        <w:pStyle w:val="41"/>
        <w:bidi w:val="0"/>
        <w:rPr>
          <w:rFonts w:hint="default"/>
          <w:lang w:val="en-US" w:eastAsia="zh-CN"/>
        </w:rPr>
      </w:pPr>
      <w:bookmarkStart w:id="118" w:name="_Hlk163489677"/>
      <w:r>
        <w:rPr>
          <w:rFonts w:hint="default"/>
          <w:lang w:val="en-US" w:eastAsia="zh-CN"/>
        </w:rPr>
        <w:t>项目环境敏感目标详见表1.9-1。</w:t>
      </w:r>
    </w:p>
    <w:bookmarkEnd w:id="118"/>
    <w:p w14:paraId="0A133E9D">
      <w:pPr>
        <w:ind w:left="0" w:leftChars="0" w:firstLine="0" w:firstLineChars="0"/>
        <w:jc w:val="center"/>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表1.9</w:t>
      </w:r>
      <w:r>
        <w:rPr>
          <w:rFonts w:hint="default" w:ascii="Times New Roman" w:hAnsi="Times New Roman" w:cs="Times New Roman"/>
          <w:b/>
          <w:bCs/>
          <w:color w:val="000000" w:themeColor="text1"/>
          <w:highlight w:val="none"/>
          <w:lang w:val="en-US" w:eastAsia="zh-CN"/>
          <w14:textFill>
            <w14:solidFill>
              <w14:schemeClr w14:val="tx1"/>
            </w14:solidFill>
          </w14:textFill>
        </w:rPr>
        <w:noBreakHyphen/>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1  </w:t>
      </w:r>
      <w:r>
        <w:rPr>
          <w:rFonts w:hint="eastAsia" w:cs="Times New Roman"/>
          <w:b/>
          <w:bCs/>
          <w:color w:val="000000" w:themeColor="text1"/>
          <w:highlight w:val="none"/>
          <w:lang w:val="en-US" w:eastAsia="zh-CN"/>
          <w14:textFill>
            <w14:solidFill>
              <w14:schemeClr w14:val="tx1"/>
            </w14:solidFill>
          </w14:textFill>
        </w:rPr>
        <w:t>项目</w:t>
      </w:r>
      <w:r>
        <w:rPr>
          <w:rFonts w:hint="default" w:ascii="Times New Roman" w:hAnsi="Times New Roman" w:cs="Times New Roman"/>
          <w:b/>
          <w:bCs/>
          <w:color w:val="000000" w:themeColor="text1"/>
          <w:highlight w:val="none"/>
          <w:lang w:val="en-US" w:eastAsia="zh-CN"/>
          <w14:textFill>
            <w14:solidFill>
              <w14:schemeClr w14:val="tx1"/>
            </w14:solidFill>
          </w14:textFill>
        </w:rPr>
        <w:t>环境要素环境敏感目标</w:t>
      </w:r>
    </w:p>
    <w:tbl>
      <w:tblPr>
        <w:tblStyle w:val="3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3"/>
        <w:gridCol w:w="890"/>
        <w:gridCol w:w="877"/>
        <w:gridCol w:w="945"/>
        <w:gridCol w:w="715"/>
        <w:gridCol w:w="728"/>
        <w:gridCol w:w="992"/>
        <w:gridCol w:w="1098"/>
        <w:gridCol w:w="1440"/>
      </w:tblGrid>
      <w:tr w14:paraId="4969A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59D1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环境要素</w:t>
            </w:r>
          </w:p>
        </w:tc>
        <w:tc>
          <w:tcPr>
            <w:tcW w:w="5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9914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保护目标</w:t>
            </w:r>
          </w:p>
        </w:tc>
        <w:tc>
          <w:tcPr>
            <w:tcW w:w="10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1832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坐标</w:t>
            </w:r>
          </w:p>
        </w:tc>
        <w:tc>
          <w:tcPr>
            <w:tcW w:w="4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D606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方位</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DB1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最近距离</w:t>
            </w:r>
            <w:r>
              <w:rPr>
                <w:rFonts w:hint="default" w:ascii="Times New Roman" w:hAnsi="Times New Roman" w:eastAsia="宋体" w:cs="Times New Roman"/>
                <w:b/>
                <w:bCs/>
                <w:i w:val="0"/>
                <w:iCs w:val="0"/>
                <w:color w:val="000000"/>
                <w:kern w:val="0"/>
                <w:sz w:val="21"/>
                <w:szCs w:val="21"/>
                <w:u w:val="none"/>
                <w:lang w:val="en-US" w:eastAsia="zh-CN" w:bidi="ar"/>
              </w:rPr>
              <w:t>/m</w:t>
            </w:r>
          </w:p>
        </w:tc>
        <w:tc>
          <w:tcPr>
            <w:tcW w:w="5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6DE2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保护对象</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9AA4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规模</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B8F0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保护级别</w:t>
            </w:r>
          </w:p>
        </w:tc>
      </w:tr>
      <w:tr w14:paraId="52CE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22D3C">
            <w:pPr>
              <w:jc w:val="center"/>
              <w:rPr>
                <w:rFonts w:hint="default" w:ascii="Times New Roman" w:hAnsi="Times New Roman" w:eastAsia="宋体" w:cs="Times New Roman"/>
                <w:b/>
                <w:bCs/>
                <w:i w:val="0"/>
                <w:iCs w:val="0"/>
                <w:color w:val="000000"/>
                <w:sz w:val="21"/>
                <w:szCs w:val="21"/>
                <w:u w:val="none"/>
              </w:rPr>
            </w:pPr>
          </w:p>
        </w:tc>
        <w:tc>
          <w:tcPr>
            <w:tcW w:w="5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4D31">
            <w:pPr>
              <w:jc w:val="center"/>
              <w:rPr>
                <w:rFonts w:hint="default" w:ascii="Times New Roman" w:hAnsi="Times New Roman" w:eastAsia="宋体" w:cs="Times New Roman"/>
                <w:b/>
                <w:bCs/>
                <w:i w:val="0"/>
                <w:iCs w:val="0"/>
                <w:color w:val="000000"/>
                <w:sz w:val="21"/>
                <w:szCs w:val="21"/>
                <w:u w:val="none"/>
              </w:rPr>
            </w:pP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2C3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经度</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11FC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纬度</w:t>
            </w:r>
          </w:p>
        </w:tc>
        <w:tc>
          <w:tcPr>
            <w:tcW w:w="4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4C369">
            <w:pPr>
              <w:jc w:val="center"/>
              <w:rPr>
                <w:rFonts w:hint="default" w:ascii="Times New Roman" w:hAnsi="Times New Roman" w:eastAsia="宋体" w:cs="Times New Roman"/>
                <w:b/>
                <w:bCs/>
                <w:i w:val="0"/>
                <w:iCs w:val="0"/>
                <w:color w:val="000000"/>
                <w:sz w:val="21"/>
                <w:szCs w:val="21"/>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D6533">
            <w:pPr>
              <w:jc w:val="center"/>
              <w:rPr>
                <w:rFonts w:hint="default" w:ascii="Times New Roman" w:hAnsi="Times New Roman" w:eastAsia="宋体" w:cs="Times New Roman"/>
                <w:b/>
                <w:bCs/>
                <w:i w:val="0"/>
                <w:iCs w:val="0"/>
                <w:color w:val="000000"/>
                <w:sz w:val="21"/>
                <w:szCs w:val="21"/>
                <w:u w:val="none"/>
              </w:rPr>
            </w:pPr>
          </w:p>
        </w:tc>
        <w:tc>
          <w:tcPr>
            <w:tcW w:w="5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6642A">
            <w:pPr>
              <w:jc w:val="center"/>
              <w:rPr>
                <w:rFonts w:hint="default" w:ascii="Times New Roman" w:hAnsi="Times New Roman" w:eastAsia="宋体" w:cs="Times New Roman"/>
                <w:b/>
                <w:bCs/>
                <w:i w:val="0"/>
                <w:iCs w:val="0"/>
                <w:color w:val="000000"/>
                <w:sz w:val="21"/>
                <w:szCs w:val="21"/>
                <w:u w:val="none"/>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A2DE7">
            <w:pPr>
              <w:jc w:val="center"/>
              <w:rPr>
                <w:rFonts w:hint="default" w:ascii="Times New Roman" w:hAnsi="Times New Roman" w:eastAsia="宋体" w:cs="Times New Roman"/>
                <w:b/>
                <w:bCs/>
                <w:i w:val="0"/>
                <w:iCs w:val="0"/>
                <w:color w:val="000000"/>
                <w:sz w:val="21"/>
                <w:szCs w:val="21"/>
                <w:u w:val="none"/>
              </w:rPr>
            </w:pP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FBFAC">
            <w:pPr>
              <w:jc w:val="center"/>
              <w:rPr>
                <w:rFonts w:hint="default" w:ascii="Times New Roman" w:hAnsi="Times New Roman" w:eastAsia="宋体" w:cs="Times New Roman"/>
                <w:b/>
                <w:bCs/>
                <w:i w:val="0"/>
                <w:iCs w:val="0"/>
                <w:color w:val="000000"/>
                <w:sz w:val="21"/>
                <w:szCs w:val="21"/>
                <w:u w:val="none"/>
              </w:rPr>
            </w:pPr>
          </w:p>
        </w:tc>
      </w:tr>
      <w:tr w14:paraId="32814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DA60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环境空气</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B05F">
            <w:pPr>
              <w:keepNext w:val="0"/>
              <w:keepLines w:val="0"/>
              <w:widowControl/>
              <w:suppressLineNumbers w:val="0"/>
              <w:jc w:val="center"/>
              <w:textAlignment w:val="center"/>
              <w:rPr>
                <w:rFonts w:ascii="Noto Sans SC" w:hAnsi="Noto Sans SC" w:eastAsia="Noto Sans SC" w:cs="Noto Sans SC"/>
                <w:i w:val="0"/>
                <w:iCs w:val="0"/>
                <w:color w:val="404040"/>
                <w:sz w:val="21"/>
                <w:szCs w:val="21"/>
                <w:u w:val="none"/>
              </w:rPr>
            </w:pPr>
            <w:r>
              <w:rPr>
                <w:rFonts w:hint="eastAsia" w:ascii="Noto Sans SC" w:hAnsi="Noto Sans SC" w:eastAsia="Noto Sans SC" w:cs="Noto Sans SC"/>
                <w:i w:val="0"/>
                <w:iCs w:val="0"/>
                <w:color w:val="404040"/>
                <w:kern w:val="0"/>
                <w:sz w:val="21"/>
                <w:szCs w:val="21"/>
                <w:u w:val="none"/>
                <w:lang w:val="en-US" w:eastAsia="zh-CN" w:bidi="ar"/>
              </w:rPr>
              <w:t>红舍克</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BF7D">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104.305794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C824">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23.701509</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C034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西北侧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E6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FC7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D2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927户，</w:t>
            </w:r>
            <w:r>
              <w:rPr>
                <w:rFonts w:hint="default" w:ascii="Times New Roman" w:hAnsi="Times New Roman" w:eastAsia="宋体" w:cs="Times New Roman"/>
                <w:i w:val="0"/>
                <w:iCs w:val="0"/>
                <w:color w:val="000000"/>
                <w:kern w:val="0"/>
                <w:sz w:val="21"/>
                <w:szCs w:val="21"/>
                <w:u w:val="none"/>
                <w:lang w:val="en-US" w:eastAsia="zh-CN" w:bidi="ar"/>
              </w:rPr>
              <w:t>4395</w:t>
            </w:r>
            <w:r>
              <w:rPr>
                <w:rFonts w:hint="eastAsia" w:ascii="宋体" w:hAnsi="宋体" w:eastAsia="宋体" w:cs="宋体"/>
                <w:i w:val="0"/>
                <w:iCs w:val="0"/>
                <w:color w:val="000000"/>
                <w:kern w:val="0"/>
                <w:sz w:val="21"/>
                <w:szCs w:val="21"/>
                <w:u w:val="none"/>
                <w:lang w:val="en-US" w:eastAsia="zh-CN" w:bidi="ar"/>
              </w:rPr>
              <w:t>人</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E25A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《环境空气质量标准》（</w:t>
            </w:r>
            <w:r>
              <w:rPr>
                <w:rFonts w:hint="default" w:ascii="Times New Roman" w:hAnsi="Times New Roman" w:eastAsia="宋体" w:cs="Times New Roman"/>
                <w:i w:val="0"/>
                <w:iCs w:val="0"/>
                <w:color w:val="000000"/>
                <w:kern w:val="0"/>
                <w:sz w:val="21"/>
                <w:szCs w:val="21"/>
                <w:u w:val="none"/>
                <w:lang w:val="en-US" w:eastAsia="zh-CN" w:bidi="ar"/>
              </w:rPr>
              <w:t>GB3095-2026</w:t>
            </w:r>
            <w:r>
              <w:rPr>
                <w:rFonts w:hint="eastAsia" w:ascii="宋体" w:hAnsi="宋体" w:eastAsia="宋体" w:cs="宋体"/>
                <w:i w:val="0"/>
                <w:iCs w:val="0"/>
                <w:color w:val="000000"/>
                <w:kern w:val="0"/>
                <w:sz w:val="21"/>
                <w:szCs w:val="21"/>
                <w:u w:val="none"/>
                <w:lang w:val="en-US" w:eastAsia="zh-CN" w:bidi="ar"/>
              </w:rPr>
              <w:t>）过渡阶段浓度限值</w:t>
            </w:r>
          </w:p>
        </w:tc>
      </w:tr>
      <w:tr w14:paraId="0D4B0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5AB1A">
            <w:pPr>
              <w:jc w:val="center"/>
              <w:rPr>
                <w:rFonts w:hint="default" w:ascii="Times New Roman" w:hAnsi="Times New Roman" w:eastAsia="宋体" w:cs="Times New Roman"/>
                <w:i w:val="0"/>
                <w:iCs w:val="0"/>
                <w:color w:val="000000"/>
                <w:sz w:val="21"/>
                <w:szCs w:val="21"/>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254E">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eastAsia" w:ascii="Noto Sans SC" w:hAnsi="Noto Sans SC" w:eastAsia="Noto Sans SC" w:cs="Noto Sans SC"/>
                <w:i w:val="0"/>
                <w:iCs w:val="0"/>
                <w:color w:val="404040"/>
                <w:kern w:val="0"/>
                <w:sz w:val="21"/>
                <w:szCs w:val="21"/>
                <w:u w:val="none"/>
                <w:lang w:val="en-US" w:eastAsia="zh-CN" w:bidi="ar"/>
              </w:rPr>
              <w:t>上舍克</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D00A">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104.317131</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C361">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23.66751</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CF9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东南侧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41A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E3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EF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75户，</w:t>
            </w:r>
            <w:r>
              <w:rPr>
                <w:rFonts w:hint="default" w:ascii="Times New Roman" w:hAnsi="Times New Roman" w:eastAsia="宋体" w:cs="Times New Roman"/>
                <w:i w:val="0"/>
                <w:iCs w:val="0"/>
                <w:color w:val="000000"/>
                <w:kern w:val="0"/>
                <w:sz w:val="21"/>
                <w:szCs w:val="21"/>
                <w:u w:val="none"/>
                <w:lang w:val="en-US" w:eastAsia="zh-CN" w:bidi="ar"/>
              </w:rPr>
              <w:t>354</w:t>
            </w:r>
            <w:r>
              <w:rPr>
                <w:rFonts w:hint="eastAsia" w:ascii="宋体" w:hAnsi="宋体" w:eastAsia="宋体" w:cs="宋体"/>
                <w:i w:val="0"/>
                <w:iCs w:val="0"/>
                <w:color w:val="000000"/>
                <w:kern w:val="0"/>
                <w:sz w:val="21"/>
                <w:szCs w:val="21"/>
                <w:u w:val="none"/>
                <w:lang w:val="en-US" w:eastAsia="zh-CN" w:bidi="ar"/>
              </w:rPr>
              <w:t>人</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DDA5">
            <w:pPr>
              <w:jc w:val="center"/>
              <w:rPr>
                <w:rFonts w:hint="default" w:ascii="Times New Roman" w:hAnsi="Times New Roman" w:eastAsia="宋体" w:cs="Times New Roman"/>
                <w:i w:val="0"/>
                <w:iCs w:val="0"/>
                <w:color w:val="000000"/>
                <w:sz w:val="21"/>
                <w:szCs w:val="21"/>
                <w:u w:val="none"/>
              </w:rPr>
            </w:pPr>
          </w:p>
        </w:tc>
      </w:tr>
      <w:tr w14:paraId="13CF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74B3">
            <w:pPr>
              <w:jc w:val="center"/>
              <w:rPr>
                <w:rFonts w:hint="default" w:ascii="Times New Roman" w:hAnsi="Times New Roman" w:eastAsia="宋体" w:cs="Times New Roman"/>
                <w:i w:val="0"/>
                <w:iCs w:val="0"/>
                <w:color w:val="000000"/>
                <w:sz w:val="21"/>
                <w:szCs w:val="21"/>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DAC5">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eastAsia" w:ascii="Noto Sans SC" w:hAnsi="Noto Sans SC" w:eastAsia="Noto Sans SC" w:cs="Noto Sans SC"/>
                <w:i w:val="0"/>
                <w:iCs w:val="0"/>
                <w:color w:val="404040"/>
                <w:kern w:val="0"/>
                <w:sz w:val="21"/>
                <w:szCs w:val="21"/>
                <w:u w:val="none"/>
                <w:lang w:val="en-US" w:eastAsia="zh-CN" w:bidi="ar"/>
              </w:rPr>
              <w:t>小舍克</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BD12A">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104.325928</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F379">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23.686797</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B45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东北侧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22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F10B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059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196户，</w:t>
            </w:r>
            <w:r>
              <w:rPr>
                <w:rFonts w:hint="default" w:ascii="Times New Roman" w:hAnsi="Times New Roman" w:eastAsia="宋体" w:cs="Times New Roman"/>
                <w:i w:val="0"/>
                <w:iCs w:val="0"/>
                <w:color w:val="000000"/>
                <w:kern w:val="0"/>
                <w:sz w:val="21"/>
                <w:szCs w:val="21"/>
                <w:u w:val="none"/>
                <w:lang w:val="en-US" w:eastAsia="zh-CN" w:bidi="ar"/>
              </w:rPr>
              <w:t>892</w:t>
            </w:r>
            <w:r>
              <w:rPr>
                <w:rFonts w:hint="eastAsia" w:ascii="宋体" w:hAnsi="宋体" w:eastAsia="宋体" w:cs="宋体"/>
                <w:i w:val="0"/>
                <w:iCs w:val="0"/>
                <w:color w:val="000000"/>
                <w:kern w:val="0"/>
                <w:sz w:val="21"/>
                <w:szCs w:val="21"/>
                <w:u w:val="none"/>
                <w:lang w:val="en-US" w:eastAsia="zh-CN" w:bidi="ar"/>
              </w:rPr>
              <w:t>人</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C9912">
            <w:pPr>
              <w:jc w:val="center"/>
              <w:rPr>
                <w:rFonts w:hint="default" w:ascii="Times New Roman" w:hAnsi="Times New Roman" w:eastAsia="宋体" w:cs="Times New Roman"/>
                <w:i w:val="0"/>
                <w:iCs w:val="0"/>
                <w:color w:val="000000"/>
                <w:sz w:val="21"/>
                <w:szCs w:val="21"/>
                <w:u w:val="none"/>
              </w:rPr>
            </w:pPr>
          </w:p>
        </w:tc>
      </w:tr>
      <w:tr w14:paraId="07EC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FE6D">
            <w:pPr>
              <w:jc w:val="center"/>
              <w:rPr>
                <w:rFonts w:hint="default" w:ascii="Times New Roman" w:hAnsi="Times New Roman" w:eastAsia="宋体" w:cs="Times New Roman"/>
                <w:i w:val="0"/>
                <w:iCs w:val="0"/>
                <w:color w:val="000000"/>
                <w:sz w:val="21"/>
                <w:szCs w:val="21"/>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9C3B">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eastAsia" w:ascii="Noto Sans SC" w:hAnsi="Noto Sans SC" w:eastAsia="Noto Sans SC" w:cs="Noto Sans SC"/>
                <w:i w:val="0"/>
                <w:iCs w:val="0"/>
                <w:color w:val="404040"/>
                <w:kern w:val="0"/>
                <w:sz w:val="21"/>
                <w:szCs w:val="21"/>
                <w:u w:val="none"/>
                <w:lang w:val="en-US" w:eastAsia="zh-CN" w:bidi="ar"/>
              </w:rPr>
              <w:t>铳卡村</w:t>
            </w:r>
          </w:p>
        </w:tc>
        <w:tc>
          <w:tcPr>
            <w:tcW w:w="5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7100">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104.298294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FC9C">
            <w:pPr>
              <w:keepNext w:val="0"/>
              <w:keepLines w:val="0"/>
              <w:widowControl/>
              <w:suppressLineNumbers w:val="0"/>
              <w:jc w:val="center"/>
              <w:textAlignment w:val="center"/>
              <w:rPr>
                <w:rFonts w:hint="default" w:ascii="Times New Roman" w:hAnsi="Times New Roman" w:eastAsia="宋体" w:cs="Times New Roman"/>
                <w:i w:val="0"/>
                <w:iCs w:val="0"/>
                <w:color w:val="404040"/>
                <w:sz w:val="21"/>
                <w:szCs w:val="21"/>
                <w:u w:val="none"/>
              </w:rPr>
            </w:pPr>
            <w:r>
              <w:rPr>
                <w:rFonts w:hint="default" w:ascii="Times New Roman" w:hAnsi="Times New Roman" w:eastAsia="宋体" w:cs="Times New Roman"/>
                <w:i w:val="0"/>
                <w:iCs w:val="0"/>
                <w:color w:val="404040"/>
                <w:kern w:val="0"/>
                <w:sz w:val="21"/>
                <w:szCs w:val="21"/>
                <w:u w:val="none"/>
                <w:lang w:val="en-US" w:eastAsia="zh-CN" w:bidi="ar"/>
              </w:rPr>
              <w:t>23.653062</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648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东南侧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736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71E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D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845户，</w:t>
            </w:r>
            <w:r>
              <w:rPr>
                <w:rFonts w:hint="default" w:ascii="Times New Roman" w:hAnsi="Times New Roman" w:eastAsia="宋体" w:cs="Times New Roman"/>
                <w:i w:val="0"/>
                <w:iCs w:val="0"/>
                <w:color w:val="000000"/>
                <w:kern w:val="0"/>
                <w:sz w:val="21"/>
                <w:szCs w:val="21"/>
                <w:u w:val="none"/>
                <w:lang w:val="en-US" w:eastAsia="zh-CN" w:bidi="ar"/>
              </w:rPr>
              <w:t>3765</w:t>
            </w:r>
            <w:r>
              <w:rPr>
                <w:rFonts w:hint="eastAsia" w:ascii="宋体" w:hAnsi="宋体" w:eastAsia="宋体" w:cs="宋体"/>
                <w:i w:val="0"/>
                <w:iCs w:val="0"/>
                <w:color w:val="000000"/>
                <w:kern w:val="0"/>
                <w:sz w:val="21"/>
                <w:szCs w:val="21"/>
                <w:u w:val="none"/>
                <w:lang w:val="en-US" w:eastAsia="zh-CN" w:bidi="ar"/>
              </w:rPr>
              <w:t>人</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46882">
            <w:pPr>
              <w:jc w:val="center"/>
              <w:rPr>
                <w:rFonts w:hint="default" w:ascii="Times New Roman" w:hAnsi="Times New Roman" w:eastAsia="宋体" w:cs="Times New Roman"/>
                <w:i w:val="0"/>
                <w:iCs w:val="0"/>
                <w:color w:val="000000"/>
                <w:sz w:val="21"/>
                <w:szCs w:val="21"/>
                <w:u w:val="none"/>
              </w:rPr>
            </w:pPr>
          </w:p>
        </w:tc>
      </w:tr>
      <w:tr w14:paraId="3FC44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4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387C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地表水环境</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7F5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石马水库</w:t>
            </w:r>
          </w:p>
        </w:tc>
        <w:tc>
          <w:tcPr>
            <w:tcW w:w="10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B7B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4B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8939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BB4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地表水</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4C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8723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《地表水环境质量标准》（</w:t>
            </w:r>
            <w:r>
              <w:rPr>
                <w:rFonts w:hint="default" w:ascii="Times New Roman" w:hAnsi="Times New Roman" w:eastAsia="宋体" w:cs="Times New Roman"/>
                <w:i w:val="0"/>
                <w:iCs w:val="0"/>
                <w:color w:val="000000"/>
                <w:kern w:val="0"/>
                <w:sz w:val="21"/>
                <w:szCs w:val="21"/>
                <w:u w:val="none"/>
                <w:lang w:val="en-US" w:eastAsia="zh-CN" w:bidi="ar"/>
              </w:rPr>
              <w:t>GB3838-2002</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Ⅲ</w:t>
            </w:r>
            <w:r>
              <w:rPr>
                <w:rFonts w:hint="eastAsia" w:ascii="宋体" w:hAnsi="宋体" w:eastAsia="宋体" w:cs="宋体"/>
                <w:i w:val="0"/>
                <w:iCs w:val="0"/>
                <w:color w:val="000000"/>
                <w:kern w:val="0"/>
                <w:sz w:val="21"/>
                <w:szCs w:val="21"/>
                <w:u w:val="none"/>
                <w:lang w:val="en-US" w:eastAsia="zh-CN" w:bidi="ar"/>
              </w:rPr>
              <w:t>类标准</w:t>
            </w:r>
          </w:p>
        </w:tc>
      </w:tr>
      <w:tr w14:paraId="068B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802D0">
            <w:pPr>
              <w:jc w:val="center"/>
              <w:rPr>
                <w:rFonts w:hint="default" w:ascii="Times New Roman" w:hAnsi="Times New Roman" w:eastAsia="宋体" w:cs="Times New Roman"/>
                <w:i w:val="0"/>
                <w:iCs w:val="0"/>
                <w:color w:val="000000"/>
                <w:sz w:val="21"/>
                <w:szCs w:val="21"/>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292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红舍克上坝水库</w:t>
            </w:r>
          </w:p>
        </w:tc>
        <w:tc>
          <w:tcPr>
            <w:tcW w:w="10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99FE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F23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东南侧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EAF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1580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26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地表水</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E4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BC8C6">
            <w:pPr>
              <w:jc w:val="center"/>
              <w:rPr>
                <w:rFonts w:hint="default" w:ascii="Times New Roman" w:hAnsi="Times New Roman" w:eastAsia="宋体" w:cs="Times New Roman"/>
                <w:i w:val="0"/>
                <w:iCs w:val="0"/>
                <w:color w:val="000000"/>
                <w:sz w:val="21"/>
                <w:szCs w:val="21"/>
                <w:u w:val="none"/>
              </w:rPr>
            </w:pPr>
          </w:p>
        </w:tc>
      </w:tr>
      <w:tr w14:paraId="47F0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4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E5E9A">
            <w:pPr>
              <w:jc w:val="center"/>
              <w:rPr>
                <w:rFonts w:hint="default" w:ascii="Times New Roman" w:hAnsi="Times New Roman" w:eastAsia="宋体" w:cs="Times New Roman"/>
                <w:i w:val="0"/>
                <w:iCs w:val="0"/>
                <w:color w:val="000000"/>
                <w:sz w:val="21"/>
                <w:szCs w:val="21"/>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5AB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红舍克水库</w:t>
            </w:r>
          </w:p>
        </w:tc>
        <w:tc>
          <w:tcPr>
            <w:tcW w:w="10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BF8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81E1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西侧</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740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F11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地表水</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E1E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8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5452F">
            <w:pPr>
              <w:jc w:val="center"/>
              <w:rPr>
                <w:rFonts w:hint="default" w:ascii="Times New Roman" w:hAnsi="Times New Roman" w:eastAsia="宋体" w:cs="Times New Roman"/>
                <w:i w:val="0"/>
                <w:iCs w:val="0"/>
                <w:color w:val="000000"/>
                <w:sz w:val="21"/>
                <w:szCs w:val="21"/>
                <w:u w:val="none"/>
              </w:rPr>
            </w:pPr>
          </w:p>
        </w:tc>
      </w:tr>
      <w:tr w14:paraId="33178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D00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环境风险</w:t>
            </w:r>
          </w:p>
        </w:tc>
        <w:tc>
          <w:tcPr>
            <w:tcW w:w="451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CC4C5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评价范围内大气环境敏感点、地表水等参见表内各环境要素</w:t>
            </w:r>
          </w:p>
        </w:tc>
      </w:tr>
      <w:tr w14:paraId="08FB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AC3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szCs w:val="21"/>
              </w:rPr>
              <w:t>生态环境</w:t>
            </w:r>
          </w:p>
        </w:tc>
        <w:tc>
          <w:tcPr>
            <w:tcW w:w="366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0B20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hAnsi="宋体"/>
                <w:szCs w:val="21"/>
              </w:rPr>
              <w:t>评价区域野生动植物</w:t>
            </w: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EBD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影响可接受</w:t>
            </w:r>
          </w:p>
        </w:tc>
      </w:tr>
    </w:tbl>
    <w:p w14:paraId="670CFD21">
      <w:pPr>
        <w:pStyle w:val="41"/>
        <w:numPr>
          <w:ilvl w:val="0"/>
          <w:numId w:val="0"/>
        </w:numPr>
        <w:bidi w:val="0"/>
        <w:rPr>
          <w:rFonts w:hint="eastAsia"/>
          <w:highlight w:val="yellow"/>
          <w:lang w:eastAsia="zh-CN"/>
        </w:rPr>
      </w:pPr>
    </w:p>
    <w:p w14:paraId="384443B9">
      <w:pPr>
        <w:pStyle w:val="2"/>
        <w:bidi w:val="0"/>
      </w:pPr>
      <w:bookmarkStart w:id="119" w:name="_Toc28116"/>
      <w:r>
        <w:t>原有工程概况</w:t>
      </w:r>
      <w:bookmarkEnd w:id="119"/>
    </w:p>
    <w:p w14:paraId="356AB87B">
      <w:pPr>
        <w:pStyle w:val="3"/>
        <w:bidi w:val="0"/>
        <w:ind w:left="575" w:leftChars="0" w:hanging="575" w:firstLineChars="0"/>
        <w:rPr>
          <w:rFonts w:hint="default"/>
          <w:lang w:val="en-US" w:eastAsia="zh-CN"/>
        </w:rPr>
      </w:pPr>
      <w:bookmarkStart w:id="120" w:name="bookmark538"/>
      <w:bookmarkEnd w:id="120"/>
      <w:bookmarkStart w:id="121" w:name="_Toc3218"/>
      <w:r>
        <w:rPr>
          <w:rFonts w:hint="eastAsia"/>
          <w:lang w:val="en-US" w:eastAsia="zh-CN"/>
        </w:rPr>
        <w:t>历史沿革及环保手续办理情况</w:t>
      </w:r>
      <w:bookmarkEnd w:id="121"/>
    </w:p>
    <w:p w14:paraId="39A8C521">
      <w:pPr>
        <w:pStyle w:val="41"/>
        <w:bidi w:val="0"/>
      </w:pPr>
      <w:r>
        <w:t>云南普阳煤化工有限责任公司砚山县红舍克东山石灰岩矿，共有</w:t>
      </w:r>
      <w:r>
        <w:rPr>
          <w:rFonts w:hint="eastAsia"/>
          <w:lang w:val="en-US" w:eastAsia="zh-CN"/>
        </w:rPr>
        <w:t>一</w:t>
      </w:r>
      <w:r>
        <w:t>个矿区，</w:t>
      </w:r>
      <w:r>
        <w:rPr>
          <w:rFonts w:hint="eastAsia"/>
          <w:lang w:val="en-US" w:eastAsia="zh-CN"/>
        </w:rPr>
        <w:t>分为两个采区</w:t>
      </w:r>
      <w:r>
        <w:t>1号矿、2号矿。矿山始建于2005年，首立采矿许可证2010年12月25</w:t>
      </w:r>
      <w:r>
        <w:rPr>
          <w:rFonts w:hint="eastAsia"/>
          <w:lang w:val="en-US" w:eastAsia="zh-CN"/>
        </w:rPr>
        <w:t>日</w:t>
      </w:r>
      <w:r>
        <w:rPr>
          <w:rFonts w:hint="eastAsia"/>
          <w:lang w:eastAsia="zh-CN"/>
        </w:rPr>
        <w:t>，</w:t>
      </w:r>
      <w:r>
        <w:t>采矿权人：云南普阳煤化工有限责任公司，采矿许可证号：C5326002010097120075196</w:t>
      </w:r>
      <w:r>
        <w:rPr>
          <w:rFonts w:hint="eastAsia"/>
          <w:lang w:eastAsia="zh-CN"/>
        </w:rPr>
        <w:t>，</w:t>
      </w:r>
      <w:r>
        <w:t>后经</w:t>
      </w:r>
      <w:r>
        <w:rPr>
          <w:rFonts w:hint="eastAsia"/>
          <w:lang w:val="en-US" w:eastAsia="zh-CN"/>
        </w:rPr>
        <w:t>多</w:t>
      </w:r>
      <w:r>
        <w:t>次延续至今。最近一次延续为202</w:t>
      </w:r>
      <w:r>
        <w:rPr>
          <w:rFonts w:hint="eastAsia"/>
          <w:lang w:val="en-US" w:eastAsia="zh-CN"/>
        </w:rPr>
        <w:t>3</w:t>
      </w:r>
      <w:r>
        <w:t>年，采矿权人：云南普阳煤化工有限责任公司，矿山名称：云南普阳煤化工有限责任公司砚山县红舍克东山石灰岩矿，采矿许可证号：C5326002010097120075196</w:t>
      </w:r>
      <w:r>
        <w:rPr>
          <w:rFonts w:hint="eastAsia"/>
          <w:lang w:eastAsia="zh-CN"/>
        </w:rPr>
        <w:t>，</w:t>
      </w:r>
      <w:r>
        <w:t>采矿证有效期限3年，于202</w:t>
      </w:r>
      <w:r>
        <w:rPr>
          <w:rFonts w:hint="eastAsia"/>
          <w:lang w:val="en-US" w:eastAsia="zh-CN"/>
        </w:rPr>
        <w:t>3</w:t>
      </w:r>
      <w:r>
        <w:t>年</w:t>
      </w:r>
      <w:r>
        <w:rPr>
          <w:rFonts w:hint="eastAsia"/>
          <w:lang w:val="en-US" w:eastAsia="zh-CN"/>
        </w:rPr>
        <w:t>5</w:t>
      </w:r>
      <w:r>
        <w:t>月</w:t>
      </w:r>
      <w:r>
        <w:rPr>
          <w:rFonts w:hint="eastAsia"/>
          <w:lang w:val="en-US" w:eastAsia="zh-CN"/>
        </w:rPr>
        <w:t>25日起至2026年5</w:t>
      </w:r>
      <w:r>
        <w:t>月</w:t>
      </w:r>
      <w:r>
        <w:rPr>
          <w:rFonts w:hint="eastAsia"/>
          <w:lang w:val="en-US" w:eastAsia="zh-CN"/>
        </w:rPr>
        <w:t>25</w:t>
      </w:r>
      <w:r>
        <w:t>日，矿区面积为0.</w:t>
      </w:r>
      <w:r>
        <w:rPr>
          <w:rFonts w:hint="eastAsia"/>
          <w:lang w:val="en-US" w:eastAsia="zh-CN"/>
        </w:rPr>
        <w:t>3201</w:t>
      </w:r>
      <w:r>
        <w:t>km²</w:t>
      </w:r>
      <w:r>
        <w:rPr>
          <w:rFonts w:hint="eastAsia"/>
          <w:lang w:eastAsia="zh-CN"/>
        </w:rPr>
        <w:t>，</w:t>
      </w:r>
      <w:r>
        <w:t>开采深度为1690—1565m</w:t>
      </w:r>
      <w:r>
        <w:rPr>
          <w:rFonts w:hint="eastAsia"/>
          <w:lang w:eastAsia="zh-CN"/>
        </w:rPr>
        <w:t>，</w:t>
      </w:r>
      <w:r>
        <w:t>开采矿种为石灰岩，开采方式为露天开采，生产规模为20.00万吨/年，矿权范围由15个拐点坐标圈定。</w:t>
      </w:r>
    </w:p>
    <w:p w14:paraId="36DF7FF9">
      <w:pPr>
        <w:pStyle w:val="41"/>
        <w:bidi w:val="0"/>
        <w:rPr>
          <w:rFonts w:hint="default" w:eastAsia="宋体"/>
          <w:lang w:val="en-US" w:eastAsia="zh-CN"/>
        </w:rPr>
      </w:pPr>
      <w:r>
        <w:rPr>
          <w:rFonts w:hint="eastAsia"/>
        </w:rPr>
        <w:t>云南普阳煤化工有限责任公司砚山县红舍克东山石灰岩矿1号矿作为云南普阳煤化工有限责任公司20万吨/年电石项目（以下简称“电石厂”）的配套工程，于200</w:t>
      </w:r>
      <w:r>
        <w:rPr>
          <w:rFonts w:hint="eastAsia"/>
          <w:lang w:val="en-US" w:eastAsia="zh-CN"/>
        </w:rPr>
        <w:t>5</w:t>
      </w:r>
      <w:r>
        <w:rPr>
          <w:rFonts w:hint="eastAsia"/>
        </w:rPr>
        <w:t>年</w:t>
      </w:r>
      <w:r>
        <w:rPr>
          <w:rFonts w:hint="eastAsia"/>
          <w:lang w:val="en-US" w:eastAsia="zh-CN"/>
        </w:rPr>
        <w:t>10月办理了</w:t>
      </w:r>
      <w:r>
        <w:rPr>
          <w:rFonts w:hint="eastAsia"/>
        </w:rPr>
        <w:t>《云南普阳煤化工有限责任公司20万吨/年电石项目环境影响报告书》</w:t>
      </w:r>
      <w:r>
        <w:rPr>
          <w:rFonts w:hint="eastAsia"/>
          <w:lang w:val="en-US" w:eastAsia="zh-CN"/>
        </w:rPr>
        <w:t>并取得批复云南省环境保护局准许行政许可决定书云环准许〔2005〕193号，后于2008年</w:t>
      </w:r>
      <w:r>
        <w:rPr>
          <w:rFonts w:hint="eastAsia"/>
        </w:rPr>
        <w:t>投产运行，其1号矿生产规模为10.0万吨/年。</w:t>
      </w:r>
      <w:r>
        <w:rPr>
          <w:rFonts w:hint="eastAsia"/>
          <w:lang w:val="en-US" w:eastAsia="zh-CN"/>
        </w:rPr>
        <w:t>该项目于2008年8月办理了环保验收，并取得验收批复云南省环境保护局准许行政许可决定书云环准许〔2008〕165号。</w:t>
      </w:r>
    </w:p>
    <w:p w14:paraId="24E9AAEB">
      <w:pPr>
        <w:pStyle w:val="41"/>
        <w:bidi w:val="0"/>
      </w:pPr>
      <w:r>
        <w:rPr>
          <w:rFonts w:hint="eastAsia"/>
        </w:rPr>
        <w:t>云南普阳煤化工有限责任公司砚山县红舍克东山石灰岩矿2号矿，</w:t>
      </w:r>
      <w:r>
        <w:rPr>
          <w:rFonts w:hint="eastAsia"/>
          <w:lang w:val="en-US" w:eastAsia="zh-CN"/>
        </w:rPr>
        <w:t>在2019年启动建设，并</w:t>
      </w:r>
      <w:r>
        <w:rPr>
          <w:rFonts w:hint="eastAsia"/>
        </w:rPr>
        <w:t>对2号矿区单独进行环境影响评价，其2号矿生产规模为10.0万吨/年</w:t>
      </w:r>
      <w:r>
        <w:rPr>
          <w:rFonts w:hint="eastAsia"/>
          <w:lang w:eastAsia="zh-CN"/>
        </w:rPr>
        <w:t>，</w:t>
      </w:r>
      <w:r>
        <w:t>于2019年10月编制了《云南普阳煤化工有限责任公司砚山县红舍克东山石灰岩矿2号矿环境影响报告表》</w:t>
      </w:r>
      <w:r>
        <w:rPr>
          <w:rFonts w:hint="eastAsia"/>
          <w:lang w:eastAsia="zh-CN"/>
        </w:rPr>
        <w:t>，</w:t>
      </w:r>
      <w:r>
        <w:t>并于2019年10月28日取得了环境影响评价的批复文件</w:t>
      </w:r>
      <w:r>
        <w:rPr>
          <w:rFonts w:hint="eastAsia"/>
          <w:lang w:eastAsia="zh-CN"/>
        </w:rPr>
        <w:t>（</w:t>
      </w:r>
      <w:r>
        <w:t>砚环审〔2019〕28号</w:t>
      </w:r>
      <w:r>
        <w:rPr>
          <w:rFonts w:hint="eastAsia"/>
          <w:lang w:eastAsia="zh-CN"/>
        </w:rPr>
        <w:t>）</w:t>
      </w:r>
      <w:r>
        <w:t>。根据《中华人民共和国环境影响评价法》第二十四条：建设项目的环境影响评价文件经批准后，建设项目的性质、规模、地点、采用的生产工艺或者防治污染、防止生态破坏的措施发生重大变动的，建设单位应当重新报批建设项目的环境影响评价文件。项目2号矿区生产设备进行了增加，故项目属于重大变动，需要重新办理环评。</w:t>
      </w:r>
    </w:p>
    <w:p w14:paraId="5FF93F07">
      <w:pPr>
        <w:pStyle w:val="41"/>
        <w:bidi w:val="0"/>
        <w:rPr>
          <w:rFonts w:hint="eastAsia" w:eastAsia="宋体"/>
          <w:lang w:eastAsia="zh-CN"/>
        </w:rPr>
      </w:pPr>
      <w:r>
        <w:t>2021年3月，建设单位委托云南智捷环保科技有限责任公司编制了《云南普阳煤化工有限责任公司砚山县红舍克东山石灰岩矿2号矿建设项目环境影响报告表》</w:t>
      </w:r>
      <w:r>
        <w:rPr>
          <w:rFonts w:hint="eastAsia"/>
          <w:lang w:eastAsia="zh-CN"/>
        </w:rPr>
        <w:t>，</w:t>
      </w:r>
      <w:r>
        <w:t>并于2021年3月30日取得《文山州生态环境局砚山分局关于对</w:t>
      </w:r>
      <w:r>
        <w:rPr>
          <w:rFonts w:hint="eastAsia"/>
          <w:lang w:eastAsia="zh-CN"/>
        </w:rPr>
        <w:t>〈</w:t>
      </w:r>
      <w:r>
        <w:t>云南普阳煤化工有限责任公司砚山县红舍克东山石灰岩矿2号矿建设项目环境影响报告表</w:t>
      </w:r>
      <w:r>
        <w:rPr>
          <w:rFonts w:hint="eastAsia"/>
          <w:lang w:eastAsia="zh-CN"/>
        </w:rPr>
        <w:t>〉</w:t>
      </w:r>
      <w:r>
        <w:t>的批复》</w:t>
      </w:r>
      <w:r>
        <w:rPr>
          <w:rFonts w:hint="eastAsia"/>
          <w:lang w:eastAsia="zh-CN"/>
        </w:rPr>
        <w:t>（</w:t>
      </w:r>
      <w:r>
        <w:t>砚环审〔2021〕8号</w:t>
      </w:r>
      <w:r>
        <w:rPr>
          <w:rFonts w:hint="eastAsia"/>
          <w:lang w:eastAsia="zh-CN"/>
        </w:rPr>
        <w:t>）</w:t>
      </w:r>
      <w:r>
        <w:t>。</w:t>
      </w:r>
      <w:r>
        <w:rPr>
          <w:rFonts w:hint="eastAsia"/>
          <w:lang w:val="en-US" w:eastAsia="zh-CN"/>
        </w:rPr>
        <w:t>该项目已于2021年7月建设完成，并办理了环保竣工验收手续《</w:t>
      </w:r>
      <w:r>
        <w:t>云南普阳煤化工有限责任公司砚山县红舍克东山石灰岩矿2号矿建设项目竣工环境保护验收调查表</w:t>
      </w:r>
      <w:r>
        <w:rPr>
          <w:rFonts w:hint="eastAsia"/>
          <w:lang w:eastAsia="zh-CN"/>
        </w:rPr>
        <w:t>》。</w:t>
      </w:r>
    </w:p>
    <w:p w14:paraId="7B1D5E9D">
      <w:pPr>
        <w:pStyle w:val="41"/>
        <w:bidi w:val="0"/>
        <w:rPr>
          <w:rFonts w:hint="default"/>
          <w:lang w:val="en-US" w:eastAsia="zh-CN"/>
        </w:rPr>
      </w:pPr>
      <w:r>
        <w:rPr>
          <w:rFonts w:hint="eastAsia"/>
          <w:lang w:val="en-US" w:eastAsia="zh-CN"/>
        </w:rPr>
        <w:t>项目1号矿已停采多年，目前主要开采的为2号矿，本次1号矿</w:t>
      </w:r>
      <w:r>
        <w:rPr>
          <w:rFonts w:hint="eastAsia"/>
          <w:lang w:val="zh-CN"/>
        </w:rPr>
        <w:t>避让</w:t>
      </w:r>
      <w:r>
        <w:rPr>
          <w:rFonts w:hint="eastAsia"/>
        </w:rPr>
        <w:t>矿区北侧</w:t>
      </w:r>
      <w:r>
        <w:rPr>
          <w:rFonts w:hint="eastAsia"/>
          <w:lang w:val="zh-CN"/>
        </w:rPr>
        <w:t>在建的丘砚高速</w:t>
      </w:r>
      <w:r>
        <w:rPr>
          <w:rFonts w:hint="eastAsia"/>
          <w:lang w:val="en-US" w:eastAsia="zh-CN"/>
        </w:rPr>
        <w:t>后可以纳入开采范围。原项目的工程建设内容以2号矿为主。</w:t>
      </w:r>
    </w:p>
    <w:p w14:paraId="025F557D">
      <w:pPr>
        <w:pStyle w:val="41"/>
        <w:bidi w:val="0"/>
      </w:pPr>
      <w:r>
        <w:rPr>
          <w:rFonts w:hint="eastAsia"/>
          <w:lang w:val="en-US" w:eastAsia="zh-CN"/>
        </w:rPr>
        <w:t>根据《</w:t>
      </w:r>
      <w:r>
        <w:t>云南普阳煤化工有限责任公司砚山县红舍克东山石灰岩矿2号矿建设项目竣工环境保护验收调查表</w:t>
      </w:r>
      <w:r>
        <w:rPr>
          <w:rFonts w:hint="eastAsia"/>
          <w:lang w:eastAsia="zh-CN"/>
        </w:rPr>
        <w:t>》：</w:t>
      </w:r>
      <w:r>
        <w:t>项目总占地面积为229200m²</w:t>
      </w:r>
      <w:r>
        <w:rPr>
          <w:rFonts w:hint="eastAsia"/>
          <w:lang w:eastAsia="zh-CN"/>
        </w:rPr>
        <w:t>，</w:t>
      </w:r>
      <w:r>
        <w:t>项目矿区面积为198400m²。生产加工区占地面积约为5400m²</w:t>
      </w:r>
      <w:r>
        <w:rPr>
          <w:rFonts w:hint="eastAsia"/>
          <w:lang w:eastAsia="zh-CN"/>
        </w:rPr>
        <w:t>，</w:t>
      </w:r>
      <w:r>
        <w:t>建筑面积约5000m²</w:t>
      </w:r>
      <w:r>
        <w:rPr>
          <w:rFonts w:hint="eastAsia"/>
          <w:lang w:eastAsia="zh-CN"/>
        </w:rPr>
        <w:t>；</w:t>
      </w:r>
      <w:r>
        <w:t>砂石料堆场占地面积约25000m²</w:t>
      </w:r>
      <w:r>
        <w:rPr>
          <w:rFonts w:hint="eastAsia"/>
          <w:lang w:eastAsia="zh-CN"/>
        </w:rPr>
        <w:t>，</w:t>
      </w:r>
      <w:r>
        <w:t>建筑面积约9000m²</w:t>
      </w:r>
      <w:r>
        <w:rPr>
          <w:rFonts w:hint="eastAsia"/>
          <w:lang w:eastAsia="zh-CN"/>
        </w:rPr>
        <w:t>；</w:t>
      </w:r>
      <w:r>
        <w:t>办公生活区占地面积</w:t>
      </w:r>
      <w:r>
        <w:rPr>
          <w:rFonts w:hint="eastAsia"/>
          <w:lang w:eastAsia="zh-CN"/>
        </w:rPr>
        <w:t>约</w:t>
      </w:r>
      <w:r>
        <w:t>400m²</w:t>
      </w:r>
      <w:r>
        <w:rPr>
          <w:rFonts w:hint="eastAsia"/>
          <w:lang w:eastAsia="zh-CN"/>
        </w:rPr>
        <w:t>，</w:t>
      </w:r>
      <w:r>
        <w:t>建筑面积为400m²。</w:t>
      </w:r>
    </w:p>
    <w:p w14:paraId="066113AA">
      <w:pPr>
        <w:pStyle w:val="41"/>
        <w:bidi w:val="0"/>
        <w:rPr>
          <w:rFonts w:hint="eastAsia"/>
          <w:lang w:val="en-US" w:eastAsia="zh-CN"/>
        </w:rPr>
      </w:pPr>
      <w:r>
        <w:rPr>
          <w:rFonts w:hint="eastAsia"/>
          <w:lang w:val="en-US" w:eastAsia="zh-CN"/>
        </w:rPr>
        <w:t>项目按要求办理了排污许可证，许可证编号91532622778599173E001R，有效期：2024年6月21日至2029年6月20日。</w:t>
      </w:r>
    </w:p>
    <w:p w14:paraId="1C1D0490">
      <w:pPr>
        <w:pStyle w:val="41"/>
        <w:bidi w:val="0"/>
        <w:rPr>
          <w:rFonts w:hint="default"/>
          <w:lang w:val="en-US" w:eastAsia="zh-CN"/>
        </w:rPr>
      </w:pPr>
      <w:r>
        <w:rPr>
          <w:rFonts w:hint="eastAsia"/>
          <w:lang w:val="en-US" w:eastAsia="zh-CN"/>
        </w:rPr>
        <w:t>项目按要求编制了《</w:t>
      </w:r>
      <w:r>
        <w:rPr>
          <w:rFonts w:hint="eastAsia"/>
          <w:lang w:val="zh-CN"/>
        </w:rPr>
        <w:t>云南普阳煤化工有限责任公司突发环境事件应急预案》，</w:t>
      </w:r>
      <w:r>
        <w:rPr>
          <w:rFonts w:hint="eastAsia"/>
          <w:lang w:val="en-US" w:eastAsia="zh-CN"/>
        </w:rPr>
        <w:t>并取得备案。</w:t>
      </w:r>
    </w:p>
    <w:p w14:paraId="1ECB86DD">
      <w:pPr>
        <w:pStyle w:val="3"/>
        <w:bidi w:val="0"/>
        <w:ind w:left="575" w:leftChars="0" w:hanging="575" w:firstLineChars="0"/>
      </w:pPr>
      <w:bookmarkStart w:id="122" w:name="bookmark85"/>
      <w:bookmarkEnd w:id="122"/>
      <w:bookmarkStart w:id="123" w:name="bookmark84"/>
      <w:bookmarkEnd w:id="123"/>
      <w:bookmarkStart w:id="124" w:name="_Toc2587"/>
      <w:r>
        <w:t>原有工程概况</w:t>
      </w:r>
      <w:bookmarkEnd w:id="124"/>
    </w:p>
    <w:p w14:paraId="3B301A10">
      <w:pPr>
        <w:pStyle w:val="4"/>
        <w:bidi w:val="0"/>
        <w:rPr>
          <w:rFonts w:hint="default"/>
        </w:rPr>
      </w:pPr>
      <w:bookmarkStart w:id="125" w:name="bookmark86"/>
      <w:bookmarkEnd w:id="125"/>
      <w:bookmarkStart w:id="126" w:name="bookmark87"/>
      <w:bookmarkEnd w:id="126"/>
      <w:bookmarkStart w:id="127" w:name="_Toc26217"/>
      <w:bookmarkStart w:id="128" w:name="_Toc25249"/>
      <w:r>
        <w:rPr>
          <w:rFonts w:hint="eastAsia"/>
          <w:lang w:val="en-US" w:eastAsia="zh-CN"/>
        </w:rPr>
        <w:t>原项目基本情况</w:t>
      </w:r>
      <w:bookmarkEnd w:id="127"/>
      <w:bookmarkEnd w:id="128"/>
    </w:p>
    <w:p w14:paraId="20E3D311">
      <w:pPr>
        <w:pStyle w:val="41"/>
        <w:bidi w:val="0"/>
        <w:rPr>
          <w:rFonts w:hint="default"/>
          <w:lang w:val="en-US" w:eastAsia="zh-CN"/>
        </w:rPr>
      </w:pPr>
      <w:r>
        <w:rPr>
          <w:rFonts w:hint="default"/>
        </w:rPr>
        <w:t>（1）项目名称：</w:t>
      </w:r>
      <w:r>
        <w:t>云南普阳煤化工有限责任公司砚山县红舍克东山石灰岩矿2号矿建设项目</w:t>
      </w:r>
    </w:p>
    <w:p w14:paraId="41F3A52D">
      <w:pPr>
        <w:pStyle w:val="41"/>
        <w:bidi w:val="0"/>
        <w:rPr>
          <w:rFonts w:hint="default"/>
          <w:lang w:eastAsia="zh-CN"/>
        </w:rPr>
      </w:pPr>
      <w:r>
        <w:rPr>
          <w:rFonts w:hint="default"/>
        </w:rPr>
        <w:t>（2）建设单位：</w:t>
      </w:r>
      <w:r>
        <w:t>云南普阳煤化工有限责任公司</w:t>
      </w:r>
    </w:p>
    <w:p w14:paraId="59524F8A">
      <w:pPr>
        <w:pStyle w:val="41"/>
        <w:bidi w:val="0"/>
        <w:rPr>
          <w:rFonts w:hint="eastAsia" w:eastAsia="宋体"/>
          <w:lang w:val="en-US" w:eastAsia="zh-CN"/>
        </w:rPr>
      </w:pPr>
      <w:r>
        <w:rPr>
          <w:rFonts w:hint="default"/>
        </w:rPr>
        <w:t>（3）建设地点：</w:t>
      </w:r>
      <w:r>
        <w:t>云南省文山州砚山县江那镇铳卡村石门坎</w:t>
      </w:r>
      <w:r>
        <w:rPr>
          <w:rFonts w:hint="eastAsia"/>
          <w:lang w:eastAsia="zh-CN"/>
        </w:rPr>
        <w:t>（</w:t>
      </w:r>
      <w:r>
        <w:t>云南普阳煤化工有限责任公司电石厂旁</w:t>
      </w:r>
      <w:r>
        <w:rPr>
          <w:rFonts w:hint="eastAsia"/>
          <w:lang w:eastAsia="zh-CN"/>
        </w:rPr>
        <w:t>）</w:t>
      </w:r>
    </w:p>
    <w:p w14:paraId="1AE12D91">
      <w:pPr>
        <w:pStyle w:val="41"/>
        <w:bidi w:val="0"/>
        <w:rPr>
          <w:rFonts w:hint="eastAsia"/>
          <w:lang w:val="en-US" w:eastAsia="zh-CN"/>
        </w:rPr>
      </w:pPr>
      <w:r>
        <w:rPr>
          <w:rFonts w:hint="default"/>
        </w:rPr>
        <w:t>（4）建设性质：</w:t>
      </w:r>
      <w:r>
        <w:rPr>
          <w:rFonts w:hint="eastAsia"/>
          <w:lang w:val="en-US" w:eastAsia="zh-CN"/>
        </w:rPr>
        <w:t>新建</w:t>
      </w:r>
    </w:p>
    <w:p w14:paraId="02429B4D">
      <w:pPr>
        <w:pStyle w:val="41"/>
        <w:bidi w:val="0"/>
        <w:rPr>
          <w:rFonts w:hint="default"/>
        </w:rPr>
      </w:pPr>
      <w:r>
        <w:rPr>
          <w:rFonts w:hint="default"/>
        </w:rPr>
        <w:t>（5）总投资</w:t>
      </w:r>
      <w:r>
        <w:rPr>
          <w:rFonts w:hint="eastAsia"/>
          <w:lang w:eastAsia="zh-CN"/>
        </w:rPr>
        <w:t>：</w:t>
      </w:r>
      <w:r>
        <w:rPr>
          <w:rFonts w:hint="eastAsia"/>
          <w:lang w:val="en-US" w:eastAsia="zh-CN"/>
        </w:rPr>
        <w:t>850</w:t>
      </w:r>
      <w:r>
        <w:rPr>
          <w:rFonts w:hint="default"/>
        </w:rPr>
        <w:t>万元</w:t>
      </w:r>
    </w:p>
    <w:p w14:paraId="1437DC49">
      <w:pPr>
        <w:pStyle w:val="41"/>
        <w:bidi w:val="0"/>
        <w:rPr>
          <w:rFonts w:hint="default"/>
        </w:rPr>
      </w:pPr>
      <w:r>
        <w:rPr>
          <w:rFonts w:hint="default"/>
        </w:rPr>
        <w:t>（6）</w:t>
      </w:r>
      <w:r>
        <w:rPr>
          <w:rFonts w:hint="eastAsia"/>
          <w:lang w:val="en-US" w:eastAsia="zh-CN"/>
        </w:rPr>
        <w:t>生产</w:t>
      </w:r>
      <w:r>
        <w:rPr>
          <w:rFonts w:hint="default"/>
        </w:rPr>
        <w:t>规模：</w:t>
      </w:r>
      <w:r>
        <w:rPr>
          <w:spacing w:val="1"/>
        </w:rPr>
        <w:t>20万t/年</w:t>
      </w:r>
      <w:r>
        <w:rPr>
          <w:rFonts w:hint="default"/>
        </w:rPr>
        <w:t>。</w:t>
      </w:r>
    </w:p>
    <w:p w14:paraId="27F27432">
      <w:pPr>
        <w:pStyle w:val="41"/>
        <w:bidi w:val="0"/>
        <w:rPr>
          <w:rFonts w:hint="eastAsia"/>
          <w:lang w:val="en-US" w:eastAsia="zh-CN"/>
        </w:rPr>
      </w:pPr>
      <w:r>
        <w:rPr>
          <w:rFonts w:hint="default"/>
        </w:rPr>
        <w:t>（7）</w:t>
      </w:r>
      <w:r>
        <w:rPr>
          <w:rFonts w:hint="eastAsia"/>
          <w:lang w:val="en-US" w:eastAsia="zh-CN"/>
        </w:rPr>
        <w:t>开采方式：露天开采</w:t>
      </w:r>
    </w:p>
    <w:p w14:paraId="18E9AE3F">
      <w:pPr>
        <w:pStyle w:val="41"/>
        <w:bidi w:val="0"/>
        <w:rPr>
          <w:rFonts w:hint="default"/>
          <w:lang w:val="en-US" w:eastAsia="zh-CN"/>
        </w:rPr>
      </w:pPr>
      <w:r>
        <w:rPr>
          <w:rFonts w:hint="eastAsia"/>
          <w:lang w:val="en-US" w:eastAsia="zh-CN"/>
        </w:rPr>
        <w:t>（8）开采方法：本项目设计采用自上而下台阶开采，浅孔爆破或机械开采的采矿方法。</w:t>
      </w:r>
    </w:p>
    <w:p w14:paraId="4E96557C">
      <w:pPr>
        <w:pStyle w:val="41"/>
        <w:bidi w:val="0"/>
      </w:pPr>
      <w:r>
        <w:rPr>
          <w:rFonts w:hint="eastAsia"/>
          <w:lang w:eastAsia="zh-CN"/>
        </w:rPr>
        <w:t>（</w:t>
      </w:r>
      <w:r>
        <w:rPr>
          <w:rFonts w:hint="eastAsia"/>
          <w:lang w:val="en-US" w:eastAsia="zh-CN"/>
        </w:rPr>
        <w:t>9</w:t>
      </w:r>
      <w:r>
        <w:rPr>
          <w:rFonts w:hint="eastAsia"/>
          <w:lang w:eastAsia="zh-CN"/>
        </w:rPr>
        <w:t>）</w:t>
      </w:r>
      <w:bookmarkStart w:id="129" w:name="_Toc4395"/>
      <w:r>
        <w:t>项目</w:t>
      </w:r>
      <w:r>
        <w:rPr>
          <w:rFonts w:hint="eastAsia"/>
        </w:rPr>
        <w:t>总占地面积为</w:t>
      </w:r>
      <w:r>
        <w:t>229200</w:t>
      </w:r>
      <w:r>
        <w:rPr>
          <w:rFonts w:hint="eastAsia"/>
        </w:rPr>
        <w:t>m</w:t>
      </w:r>
      <w:r>
        <w:rPr>
          <w:rFonts w:hint="eastAsia"/>
          <w:vertAlign w:val="superscript"/>
        </w:rPr>
        <w:t>2</w:t>
      </w:r>
      <w:r>
        <w:rPr>
          <w:rFonts w:hint="eastAsia"/>
        </w:rPr>
        <w:t>，项目</w:t>
      </w:r>
      <w:r>
        <w:t>矿</w:t>
      </w:r>
      <w:r>
        <w:rPr>
          <w:rFonts w:hint="eastAsia"/>
        </w:rPr>
        <w:t>区范围</w:t>
      </w:r>
      <w:r>
        <w:t>由</w:t>
      </w:r>
      <w:r>
        <w:rPr>
          <w:rFonts w:hint="eastAsia"/>
        </w:rPr>
        <w:t>9</w:t>
      </w:r>
      <w:r>
        <w:t>个拐点圈定，</w:t>
      </w:r>
      <w:r>
        <w:rPr>
          <w:rFonts w:hint="eastAsia"/>
        </w:rPr>
        <w:t>矿区</w:t>
      </w:r>
      <w:r>
        <w:t>面积</w:t>
      </w:r>
      <w:r>
        <w:rPr>
          <w:rFonts w:hint="eastAsia"/>
        </w:rPr>
        <w:t>为198400</w:t>
      </w:r>
      <w:r>
        <w:t>km</w:t>
      </w:r>
      <w:r>
        <w:rPr>
          <w:vertAlign w:val="superscript"/>
        </w:rPr>
        <w:t>2</w:t>
      </w:r>
      <w:r>
        <w:t>，开采标高</w:t>
      </w:r>
      <w:r>
        <w:rPr>
          <w:rFonts w:hint="eastAsia"/>
        </w:rPr>
        <w:t>1682</w:t>
      </w:r>
      <w:r>
        <w:t>m</w:t>
      </w:r>
      <w:r>
        <w:rPr>
          <w:rFonts w:hint="eastAsia"/>
          <w:lang w:eastAsia="zh-CN"/>
        </w:rPr>
        <w:t>～</w:t>
      </w:r>
      <w:r>
        <w:rPr>
          <w:rFonts w:hint="eastAsia"/>
        </w:rPr>
        <w:t>1572</w:t>
      </w:r>
      <w:r>
        <w:t>m，</w:t>
      </w:r>
      <w:r>
        <w:rPr>
          <w:rFonts w:hint="eastAsia"/>
        </w:rPr>
        <w:t>开采面积约为48500m</w:t>
      </w:r>
      <w:r>
        <w:rPr>
          <w:rFonts w:hint="eastAsia"/>
          <w:vertAlign w:val="superscript"/>
        </w:rPr>
        <w:t>2</w:t>
      </w:r>
      <w:r>
        <w:rPr>
          <w:rFonts w:hint="eastAsia"/>
        </w:rPr>
        <w:t>。项目生产规模为</w:t>
      </w:r>
      <w:r>
        <w:rPr>
          <w:rFonts w:hint="eastAsia"/>
          <w:lang w:val="en-US" w:eastAsia="zh-CN"/>
        </w:rPr>
        <w:t>2</w:t>
      </w:r>
      <w:r>
        <w:rPr>
          <w:rFonts w:hint="eastAsia"/>
        </w:rPr>
        <w:t>0.0万吨/年。</w:t>
      </w:r>
      <w:r>
        <w:t>矿区范围拐点坐标见表</w:t>
      </w:r>
      <w:r>
        <w:rPr>
          <w:rFonts w:hint="eastAsia"/>
          <w:lang w:val="en-US" w:eastAsia="zh-CN"/>
        </w:rPr>
        <w:t>2.1-1</w:t>
      </w:r>
      <w:r>
        <w:t>。</w:t>
      </w:r>
    </w:p>
    <w:p w14:paraId="2D288961">
      <w:pPr>
        <w:pStyle w:val="45"/>
        <w:bidi w:val="0"/>
      </w:pPr>
      <w:r>
        <w:t>表1-1</w:t>
      </w:r>
      <w:r>
        <w:rPr>
          <w:rFonts w:hint="eastAsia"/>
        </w:rPr>
        <w:t xml:space="preserve"> 矿区范围</w:t>
      </w:r>
      <w:r>
        <w:t>拐点坐标表</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3"/>
        <w:gridCol w:w="2903"/>
        <w:gridCol w:w="3933"/>
      </w:tblGrid>
      <w:tr w14:paraId="4E0B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Merge w:val="restart"/>
            <w:vAlign w:val="center"/>
          </w:tcPr>
          <w:p w14:paraId="12E1F495">
            <w:pPr>
              <w:pStyle w:val="43"/>
              <w:bidi w:val="0"/>
              <w:rPr>
                <w:b/>
                <w:bCs/>
              </w:rPr>
            </w:pPr>
            <w:r>
              <w:rPr>
                <w:b/>
                <w:bCs/>
              </w:rPr>
              <w:t>拐点坐标</w:t>
            </w:r>
          </w:p>
        </w:tc>
        <w:tc>
          <w:tcPr>
            <w:tcW w:w="4011" w:type="pct"/>
            <w:gridSpan w:val="2"/>
            <w:vAlign w:val="center"/>
          </w:tcPr>
          <w:p w14:paraId="5E37A646">
            <w:pPr>
              <w:pStyle w:val="43"/>
              <w:bidi w:val="0"/>
              <w:rPr>
                <w:b/>
                <w:bCs/>
              </w:rPr>
            </w:pPr>
            <w:r>
              <w:rPr>
                <w:rFonts w:hint="eastAsia"/>
                <w:b/>
                <w:bCs/>
              </w:rPr>
              <w:t>1980</w:t>
            </w:r>
            <w:r>
              <w:rPr>
                <w:b/>
                <w:bCs/>
              </w:rPr>
              <w:t>西安坐标</w:t>
            </w:r>
          </w:p>
        </w:tc>
      </w:tr>
      <w:tr w14:paraId="1FB0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Merge w:val="continue"/>
            <w:vAlign w:val="center"/>
          </w:tcPr>
          <w:p w14:paraId="776F19D1">
            <w:pPr>
              <w:pStyle w:val="43"/>
              <w:bidi w:val="0"/>
              <w:rPr>
                <w:b/>
                <w:bCs/>
              </w:rPr>
            </w:pPr>
          </w:p>
        </w:tc>
        <w:tc>
          <w:tcPr>
            <w:tcW w:w="1704" w:type="pct"/>
            <w:vAlign w:val="center"/>
          </w:tcPr>
          <w:p w14:paraId="0D512833">
            <w:pPr>
              <w:pStyle w:val="43"/>
              <w:bidi w:val="0"/>
              <w:rPr>
                <w:b/>
                <w:bCs/>
              </w:rPr>
            </w:pPr>
            <w:r>
              <w:rPr>
                <w:b/>
                <w:bCs/>
              </w:rPr>
              <w:t>X</w:t>
            </w:r>
          </w:p>
        </w:tc>
        <w:tc>
          <w:tcPr>
            <w:tcW w:w="2306" w:type="pct"/>
            <w:vAlign w:val="center"/>
          </w:tcPr>
          <w:p w14:paraId="6471ADFB">
            <w:pPr>
              <w:pStyle w:val="43"/>
              <w:bidi w:val="0"/>
              <w:rPr>
                <w:b/>
                <w:bCs/>
              </w:rPr>
            </w:pPr>
            <w:r>
              <w:rPr>
                <w:b/>
                <w:bCs/>
              </w:rPr>
              <w:t>Y</w:t>
            </w:r>
          </w:p>
        </w:tc>
      </w:tr>
      <w:tr w14:paraId="7595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21242B2C">
            <w:pPr>
              <w:pStyle w:val="43"/>
              <w:bidi w:val="0"/>
            </w:pPr>
            <w:r>
              <w:t>矿1</w:t>
            </w:r>
          </w:p>
        </w:tc>
        <w:tc>
          <w:tcPr>
            <w:tcW w:w="1704" w:type="pct"/>
            <w:vAlign w:val="center"/>
          </w:tcPr>
          <w:p w14:paraId="04B71725">
            <w:pPr>
              <w:pStyle w:val="43"/>
              <w:bidi w:val="0"/>
            </w:pPr>
            <w:r>
              <w:t>2619877.45</w:t>
            </w:r>
          </w:p>
        </w:tc>
        <w:tc>
          <w:tcPr>
            <w:tcW w:w="2306" w:type="pct"/>
            <w:vAlign w:val="center"/>
          </w:tcPr>
          <w:p w14:paraId="2C6CF1F7">
            <w:pPr>
              <w:pStyle w:val="43"/>
              <w:bidi w:val="0"/>
            </w:pPr>
            <w:r>
              <w:t>35428492.82</w:t>
            </w:r>
          </w:p>
        </w:tc>
      </w:tr>
      <w:tr w14:paraId="3C78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36C1452D">
            <w:pPr>
              <w:pStyle w:val="43"/>
              <w:bidi w:val="0"/>
            </w:pPr>
            <w:r>
              <w:t>矿2</w:t>
            </w:r>
          </w:p>
        </w:tc>
        <w:tc>
          <w:tcPr>
            <w:tcW w:w="1704" w:type="pct"/>
            <w:vAlign w:val="center"/>
          </w:tcPr>
          <w:p w14:paraId="43BE2364">
            <w:pPr>
              <w:pStyle w:val="43"/>
              <w:bidi w:val="0"/>
            </w:pPr>
            <w:r>
              <w:t>2619969.58</w:t>
            </w:r>
          </w:p>
        </w:tc>
        <w:tc>
          <w:tcPr>
            <w:tcW w:w="2306" w:type="pct"/>
            <w:vAlign w:val="center"/>
          </w:tcPr>
          <w:p w14:paraId="4D1EFA6C">
            <w:pPr>
              <w:pStyle w:val="43"/>
              <w:bidi w:val="0"/>
            </w:pPr>
            <w:r>
              <w:t>35428381.30</w:t>
            </w:r>
          </w:p>
        </w:tc>
      </w:tr>
      <w:tr w14:paraId="4881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5E7B4F3F">
            <w:pPr>
              <w:pStyle w:val="43"/>
              <w:bidi w:val="0"/>
            </w:pPr>
            <w:r>
              <w:t>矿3</w:t>
            </w:r>
          </w:p>
        </w:tc>
        <w:tc>
          <w:tcPr>
            <w:tcW w:w="1704" w:type="pct"/>
            <w:vAlign w:val="center"/>
          </w:tcPr>
          <w:p w14:paraId="160FD75B">
            <w:pPr>
              <w:pStyle w:val="43"/>
              <w:bidi w:val="0"/>
            </w:pPr>
            <w:r>
              <w:t>2620083.77</w:t>
            </w:r>
          </w:p>
        </w:tc>
        <w:tc>
          <w:tcPr>
            <w:tcW w:w="2306" w:type="pct"/>
            <w:vAlign w:val="center"/>
          </w:tcPr>
          <w:p w14:paraId="10DA1203">
            <w:pPr>
              <w:pStyle w:val="43"/>
              <w:bidi w:val="0"/>
            </w:pPr>
            <w:r>
              <w:t>35428387.27</w:t>
            </w:r>
          </w:p>
        </w:tc>
      </w:tr>
      <w:tr w14:paraId="1A28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21177247">
            <w:pPr>
              <w:pStyle w:val="43"/>
              <w:bidi w:val="0"/>
            </w:pPr>
            <w:r>
              <w:t>矿4</w:t>
            </w:r>
          </w:p>
        </w:tc>
        <w:tc>
          <w:tcPr>
            <w:tcW w:w="1704" w:type="pct"/>
            <w:vAlign w:val="center"/>
          </w:tcPr>
          <w:p w14:paraId="53541913">
            <w:pPr>
              <w:pStyle w:val="43"/>
              <w:bidi w:val="0"/>
            </w:pPr>
            <w:r>
              <w:t>2620180.92</w:t>
            </w:r>
          </w:p>
        </w:tc>
        <w:tc>
          <w:tcPr>
            <w:tcW w:w="2306" w:type="pct"/>
            <w:vAlign w:val="center"/>
          </w:tcPr>
          <w:p w14:paraId="3E3B294D">
            <w:pPr>
              <w:pStyle w:val="43"/>
              <w:bidi w:val="0"/>
            </w:pPr>
            <w:r>
              <w:t>35428430.66</w:t>
            </w:r>
          </w:p>
        </w:tc>
      </w:tr>
      <w:tr w14:paraId="0DD7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57CD70F3">
            <w:pPr>
              <w:pStyle w:val="43"/>
              <w:bidi w:val="0"/>
            </w:pPr>
            <w:r>
              <w:t>矿</w:t>
            </w:r>
            <w:r>
              <w:rPr>
                <w:rFonts w:hint="eastAsia"/>
              </w:rPr>
              <w:t>5</w:t>
            </w:r>
          </w:p>
        </w:tc>
        <w:tc>
          <w:tcPr>
            <w:tcW w:w="1704" w:type="pct"/>
            <w:vAlign w:val="center"/>
          </w:tcPr>
          <w:p w14:paraId="348C521B">
            <w:pPr>
              <w:pStyle w:val="43"/>
              <w:bidi w:val="0"/>
            </w:pPr>
            <w:r>
              <w:t>2620402.44</w:t>
            </w:r>
          </w:p>
        </w:tc>
        <w:tc>
          <w:tcPr>
            <w:tcW w:w="2306" w:type="pct"/>
            <w:vAlign w:val="center"/>
          </w:tcPr>
          <w:p w14:paraId="49C1BA9D">
            <w:pPr>
              <w:pStyle w:val="43"/>
              <w:bidi w:val="0"/>
            </w:pPr>
            <w:r>
              <w:t>35428727.42</w:t>
            </w:r>
          </w:p>
        </w:tc>
      </w:tr>
      <w:tr w14:paraId="436A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3567A473">
            <w:pPr>
              <w:pStyle w:val="43"/>
              <w:bidi w:val="0"/>
            </w:pPr>
            <w:r>
              <w:t>矿</w:t>
            </w:r>
            <w:r>
              <w:rPr>
                <w:rFonts w:hint="eastAsia"/>
              </w:rPr>
              <w:t>12</w:t>
            </w:r>
          </w:p>
        </w:tc>
        <w:tc>
          <w:tcPr>
            <w:tcW w:w="1704" w:type="pct"/>
            <w:vAlign w:val="center"/>
          </w:tcPr>
          <w:p w14:paraId="30F60972">
            <w:pPr>
              <w:pStyle w:val="43"/>
              <w:bidi w:val="0"/>
            </w:pPr>
            <w:r>
              <w:t>2620429.57</w:t>
            </w:r>
          </w:p>
        </w:tc>
        <w:tc>
          <w:tcPr>
            <w:tcW w:w="2306" w:type="pct"/>
            <w:vAlign w:val="center"/>
          </w:tcPr>
          <w:p w14:paraId="22C3C862">
            <w:pPr>
              <w:pStyle w:val="43"/>
              <w:bidi w:val="0"/>
            </w:pPr>
            <w:r>
              <w:t>35428894.14</w:t>
            </w:r>
          </w:p>
        </w:tc>
      </w:tr>
      <w:tr w14:paraId="36E1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1623C59F">
            <w:pPr>
              <w:pStyle w:val="43"/>
              <w:bidi w:val="0"/>
            </w:pPr>
            <w:r>
              <w:t>矿</w:t>
            </w:r>
            <w:r>
              <w:rPr>
                <w:rFonts w:hint="eastAsia"/>
              </w:rPr>
              <w:t>13</w:t>
            </w:r>
          </w:p>
        </w:tc>
        <w:tc>
          <w:tcPr>
            <w:tcW w:w="1704" w:type="pct"/>
            <w:vAlign w:val="center"/>
          </w:tcPr>
          <w:p w14:paraId="4CA3D149">
            <w:pPr>
              <w:pStyle w:val="43"/>
              <w:bidi w:val="0"/>
            </w:pPr>
            <w:r>
              <w:t>2620256.04</w:t>
            </w:r>
          </w:p>
        </w:tc>
        <w:tc>
          <w:tcPr>
            <w:tcW w:w="2306" w:type="pct"/>
            <w:vAlign w:val="center"/>
          </w:tcPr>
          <w:p w14:paraId="381B49FF">
            <w:pPr>
              <w:pStyle w:val="43"/>
              <w:bidi w:val="0"/>
            </w:pPr>
            <w:r>
              <w:t>35428924.64</w:t>
            </w:r>
          </w:p>
        </w:tc>
      </w:tr>
      <w:tr w14:paraId="07CA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580B6AE7">
            <w:pPr>
              <w:pStyle w:val="43"/>
              <w:bidi w:val="0"/>
            </w:pPr>
            <w:r>
              <w:t>矿</w:t>
            </w:r>
            <w:r>
              <w:rPr>
                <w:rFonts w:hint="eastAsia"/>
              </w:rPr>
              <w:t>14</w:t>
            </w:r>
          </w:p>
        </w:tc>
        <w:tc>
          <w:tcPr>
            <w:tcW w:w="1704" w:type="pct"/>
            <w:vAlign w:val="center"/>
          </w:tcPr>
          <w:p w14:paraId="6847B25D">
            <w:pPr>
              <w:pStyle w:val="43"/>
              <w:bidi w:val="0"/>
            </w:pPr>
            <w:r>
              <w:t>2619981.45</w:t>
            </w:r>
          </w:p>
        </w:tc>
        <w:tc>
          <w:tcPr>
            <w:tcW w:w="2306" w:type="pct"/>
            <w:vAlign w:val="center"/>
          </w:tcPr>
          <w:p w14:paraId="110747B4">
            <w:pPr>
              <w:pStyle w:val="43"/>
              <w:bidi w:val="0"/>
            </w:pPr>
            <w:r>
              <w:t>35428817.22</w:t>
            </w:r>
          </w:p>
        </w:tc>
      </w:tr>
      <w:tr w14:paraId="5032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8" w:type="pct"/>
            <w:vAlign w:val="center"/>
          </w:tcPr>
          <w:p w14:paraId="3617EEA6">
            <w:pPr>
              <w:pStyle w:val="43"/>
              <w:bidi w:val="0"/>
            </w:pPr>
            <w:r>
              <w:t>矿</w:t>
            </w:r>
            <w:r>
              <w:rPr>
                <w:rFonts w:hint="eastAsia"/>
              </w:rPr>
              <w:t>15</w:t>
            </w:r>
          </w:p>
        </w:tc>
        <w:tc>
          <w:tcPr>
            <w:tcW w:w="1704" w:type="pct"/>
            <w:vAlign w:val="center"/>
          </w:tcPr>
          <w:p w14:paraId="3A7D9657">
            <w:pPr>
              <w:pStyle w:val="43"/>
              <w:bidi w:val="0"/>
            </w:pPr>
            <w:r>
              <w:t>2619904.41</w:t>
            </w:r>
          </w:p>
        </w:tc>
        <w:tc>
          <w:tcPr>
            <w:tcW w:w="2306" w:type="pct"/>
            <w:vAlign w:val="center"/>
          </w:tcPr>
          <w:p w14:paraId="1FB21648">
            <w:pPr>
              <w:pStyle w:val="43"/>
              <w:bidi w:val="0"/>
            </w:pPr>
            <w:r>
              <w:t>35428750.04</w:t>
            </w:r>
          </w:p>
        </w:tc>
      </w:tr>
      <w:tr w14:paraId="67D5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3"/>
            <w:vAlign w:val="center"/>
          </w:tcPr>
          <w:p w14:paraId="3C593F61">
            <w:pPr>
              <w:pStyle w:val="43"/>
              <w:bidi w:val="0"/>
            </w:pPr>
            <w:r>
              <w:t>开采标高</w:t>
            </w:r>
            <w:r>
              <w:rPr>
                <w:rFonts w:hint="eastAsia"/>
              </w:rPr>
              <w:t>1682</w:t>
            </w:r>
            <w:r>
              <w:t>m</w:t>
            </w:r>
            <w:r>
              <w:rPr>
                <w:rFonts w:hint="eastAsia"/>
                <w:lang w:eastAsia="zh-CN"/>
              </w:rPr>
              <w:t>～</w:t>
            </w:r>
            <w:r>
              <w:rPr>
                <w:rFonts w:hint="eastAsia"/>
              </w:rPr>
              <w:t>1572</w:t>
            </w:r>
            <w:r>
              <w:t>m</w:t>
            </w:r>
          </w:p>
        </w:tc>
      </w:tr>
      <w:tr w14:paraId="41D4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3"/>
            <w:vAlign w:val="center"/>
          </w:tcPr>
          <w:p w14:paraId="62BB3320">
            <w:pPr>
              <w:pStyle w:val="43"/>
              <w:bidi w:val="0"/>
            </w:pPr>
            <w:r>
              <w:t>矿区面积：0.</w:t>
            </w:r>
            <w:r>
              <w:rPr>
                <w:rFonts w:hint="eastAsia"/>
              </w:rPr>
              <w:t>1984</w:t>
            </w:r>
            <w:r>
              <w:t>km</w:t>
            </w:r>
            <w:r>
              <w:rPr>
                <w:vertAlign w:val="superscript"/>
              </w:rPr>
              <w:t>2</w:t>
            </w:r>
          </w:p>
        </w:tc>
      </w:tr>
    </w:tbl>
    <w:p w14:paraId="6D9CC3DC">
      <w:pPr>
        <w:pStyle w:val="41"/>
        <w:bidi w:val="0"/>
      </w:pPr>
      <w:r>
        <w:rPr>
          <w:rFonts w:hint="eastAsia"/>
        </w:rPr>
        <w:t>云南普阳煤化工有限责任公司砚山县红舍克东山石灰岩矿2号矿矿区范围内122b类矿石资源储量693.94万</w:t>
      </w:r>
      <w:r>
        <w:rPr>
          <w:rFonts w:hint="eastAsia"/>
          <w:lang w:eastAsia="zh-CN"/>
        </w:rPr>
        <w:t>m</w:t>
      </w:r>
      <w:r>
        <w:rPr>
          <w:rFonts w:hint="eastAsia"/>
          <w:vertAlign w:val="superscript"/>
          <w:lang w:eastAsia="zh-CN"/>
        </w:rPr>
        <w:t>3</w:t>
      </w:r>
      <w:r>
        <w:rPr>
          <w:rFonts w:hint="eastAsia"/>
          <w:lang w:eastAsia="zh-CN"/>
        </w:rPr>
        <w:t>（</w:t>
      </w:r>
      <w:r>
        <w:rPr>
          <w:rFonts w:hint="eastAsia"/>
        </w:rPr>
        <w:t>1877.79万t</w:t>
      </w:r>
      <w:r>
        <w:rPr>
          <w:rFonts w:hint="eastAsia"/>
          <w:lang w:eastAsia="zh-CN"/>
        </w:rPr>
        <w:t>）</w:t>
      </w:r>
      <w:r>
        <w:rPr>
          <w:rFonts w:hint="eastAsia"/>
        </w:rPr>
        <w:t>，保有资源储量661.98万</w:t>
      </w:r>
      <w:r>
        <w:rPr>
          <w:rFonts w:hint="eastAsia"/>
          <w:lang w:eastAsia="zh-CN"/>
        </w:rPr>
        <w:t>m</w:t>
      </w:r>
      <w:r>
        <w:rPr>
          <w:rFonts w:hint="eastAsia"/>
          <w:vertAlign w:val="superscript"/>
          <w:lang w:eastAsia="zh-CN"/>
        </w:rPr>
        <w:t>3</w:t>
      </w:r>
      <w:r>
        <w:rPr>
          <w:rFonts w:hint="eastAsia"/>
          <w:lang w:eastAsia="zh-CN"/>
        </w:rPr>
        <w:t>（</w:t>
      </w:r>
      <w:r>
        <w:rPr>
          <w:rFonts w:hint="eastAsia"/>
        </w:rPr>
        <w:t>1791.34万t</w:t>
      </w:r>
      <w:r>
        <w:rPr>
          <w:rFonts w:hint="eastAsia"/>
          <w:lang w:eastAsia="zh-CN"/>
        </w:rPr>
        <w:t>）</w:t>
      </w:r>
      <w:r>
        <w:rPr>
          <w:rFonts w:hint="eastAsia"/>
        </w:rPr>
        <w:t>。矿山露天开采，采用挖掘机开挖剥离、对于岩石较完整岩体进行浅孔爆破的方法，机械装载，汽车运输，分台阶、自上而下的开采顺序开采，边坡角一般</w:t>
      </w:r>
      <w:r>
        <w:t>50°~60°</w:t>
      </w:r>
      <w:r>
        <w:rPr>
          <w:rFonts w:hint="eastAsia"/>
        </w:rPr>
        <w:t>左右，局部较陡，台阶高度15m、工作台阶坡面角</w:t>
      </w:r>
      <w:r>
        <w:t>60°</w:t>
      </w:r>
      <w:r>
        <w:rPr>
          <w:rFonts w:hint="eastAsia"/>
        </w:rPr>
        <w:t>、安全平台宽度4</w:t>
      </w:r>
      <w:r>
        <w:rPr>
          <w:rFonts w:hint="eastAsia"/>
          <w:lang w:eastAsia="zh-CN"/>
        </w:rPr>
        <w:t>～</w:t>
      </w:r>
      <w:r>
        <w:rPr>
          <w:rFonts w:hint="eastAsia"/>
        </w:rPr>
        <w:t>6m。</w:t>
      </w:r>
    </w:p>
    <w:p w14:paraId="634DD4B6">
      <w:pPr>
        <w:pStyle w:val="4"/>
        <w:bidi w:val="0"/>
        <w:rPr>
          <w:rFonts w:hint="default"/>
        </w:rPr>
      </w:pPr>
      <w:bookmarkStart w:id="130" w:name="_Toc2651"/>
      <w:r>
        <w:rPr>
          <w:rFonts w:hint="eastAsia"/>
          <w:lang w:val="en-US" w:eastAsia="zh-CN"/>
        </w:rPr>
        <w:t>原主要建设内容</w:t>
      </w:r>
      <w:bookmarkEnd w:id="129"/>
      <w:bookmarkEnd w:id="130"/>
    </w:p>
    <w:p w14:paraId="1835BCA2">
      <w:pPr>
        <w:pStyle w:val="41"/>
        <w:bidi w:val="0"/>
      </w:pPr>
      <w:r>
        <w:rPr>
          <w:rFonts w:hint="eastAsia"/>
          <w:lang w:val="en-US" w:eastAsia="zh-CN"/>
        </w:rPr>
        <w:t>原</w:t>
      </w:r>
      <w:r>
        <w:rPr>
          <w:rFonts w:hint="eastAsia"/>
        </w:rPr>
        <w:t>项目</w:t>
      </w:r>
      <w:r>
        <w:rPr>
          <w:rFonts w:hint="eastAsia"/>
          <w:lang w:val="en-US" w:eastAsia="zh-CN"/>
        </w:rPr>
        <w:t>2号</w:t>
      </w:r>
      <w:r>
        <w:rPr>
          <w:rFonts w:hint="eastAsia"/>
        </w:rPr>
        <w:t>矿区面积为198400m</w:t>
      </w:r>
      <w:r>
        <w:rPr>
          <w:rFonts w:hint="eastAsia"/>
          <w:vertAlign w:val="superscript"/>
        </w:rPr>
        <w:t>2</w:t>
      </w:r>
      <w:r>
        <w:rPr>
          <w:rFonts w:hint="eastAsia"/>
        </w:rPr>
        <w:t>。生产加工区占地面积约为5400</w:t>
      </w:r>
      <w:r>
        <w:t>m</w:t>
      </w:r>
      <w:r>
        <w:rPr>
          <w:vertAlign w:val="superscript"/>
        </w:rPr>
        <w:t>2</w:t>
      </w:r>
      <w:r>
        <w:rPr>
          <w:rFonts w:hint="eastAsia"/>
        </w:rPr>
        <w:t>，砂石</w:t>
      </w:r>
      <w:r>
        <w:t>料</w:t>
      </w:r>
      <w:r>
        <w:rPr>
          <w:rFonts w:hint="eastAsia"/>
        </w:rPr>
        <w:t>堆</w:t>
      </w:r>
      <w:r>
        <w:t>场占地面积约</w:t>
      </w:r>
      <w:r>
        <w:rPr>
          <w:rFonts w:hint="eastAsia"/>
        </w:rPr>
        <w:t>250</w:t>
      </w:r>
      <w:r>
        <w:t>00m</w:t>
      </w:r>
      <w:r>
        <w:rPr>
          <w:vertAlign w:val="superscript"/>
        </w:rPr>
        <w:t>2</w:t>
      </w:r>
      <w:r>
        <w:rPr>
          <w:rFonts w:hint="eastAsia"/>
        </w:rPr>
        <w:t>，</w:t>
      </w:r>
      <w:r>
        <w:t>办公生活区</w:t>
      </w:r>
      <w:r>
        <w:rPr>
          <w:rFonts w:hint="eastAsia"/>
        </w:rPr>
        <w:t>占地面积</w:t>
      </w:r>
      <w:r>
        <w:rPr>
          <w:rFonts w:hint="eastAsia"/>
          <w:lang w:eastAsia="zh-CN"/>
        </w:rPr>
        <w:t>约</w:t>
      </w:r>
      <w:r>
        <w:rPr>
          <w:rFonts w:hint="eastAsia"/>
        </w:rPr>
        <w:t>400m</w:t>
      </w:r>
      <w:r>
        <w:rPr>
          <w:rFonts w:hint="eastAsia"/>
          <w:vertAlign w:val="superscript"/>
        </w:rPr>
        <w:t>2</w:t>
      </w:r>
      <w:r>
        <w:rPr>
          <w:rFonts w:hint="eastAsia"/>
        </w:rPr>
        <w:t>，建筑面积为400m</w:t>
      </w:r>
      <w:r>
        <w:rPr>
          <w:rFonts w:hint="eastAsia"/>
          <w:vertAlign w:val="superscript"/>
        </w:rPr>
        <w:t>2</w:t>
      </w:r>
      <w:r>
        <w:rPr>
          <w:rFonts w:hint="eastAsia"/>
        </w:rPr>
        <w:t>。购置安装相应的生产机械设备及水电、消防、防雷接地等设备设施。</w:t>
      </w:r>
      <w:r>
        <w:t>项目建设由主体工程、辅助工程</w:t>
      </w:r>
      <w:r>
        <w:rPr>
          <w:rFonts w:hint="eastAsia"/>
        </w:rPr>
        <w:t>、公用工程</w:t>
      </w:r>
      <w:r>
        <w:t>和环保工程组成，具体组成情况见表</w:t>
      </w:r>
      <w:r>
        <w:rPr>
          <w:rFonts w:hint="eastAsia"/>
          <w:lang w:val="en-US" w:eastAsia="zh-CN"/>
        </w:rPr>
        <w:t>2.2-1</w:t>
      </w:r>
      <w:r>
        <w:rPr>
          <w:rFonts w:hint="eastAsia"/>
        </w:rPr>
        <w:t>。</w:t>
      </w:r>
    </w:p>
    <w:p w14:paraId="4C6A7EEB">
      <w:pPr>
        <w:pStyle w:val="45"/>
        <w:bidi w:val="0"/>
        <w:rPr>
          <w:rFonts w:hint="default"/>
        </w:rPr>
      </w:pPr>
      <w:r>
        <w:rPr>
          <w:rFonts w:hint="default"/>
        </w:rPr>
        <w:t>表</w:t>
      </w:r>
      <w:r>
        <w:rPr>
          <w:rFonts w:hint="eastAsia"/>
          <w:lang w:val="en-US" w:eastAsia="zh-CN"/>
        </w:rPr>
        <w:t>2.2-1</w:t>
      </w:r>
      <w:r>
        <w:rPr>
          <w:rFonts w:hint="default"/>
        </w:rPr>
        <w:t xml:space="preserve"> 建设内容组成</w:t>
      </w:r>
      <w:r>
        <w:rPr>
          <w:rFonts w:hint="eastAsia"/>
          <w:lang w:val="en-US" w:eastAsia="zh-CN"/>
        </w:rPr>
        <w:t>一览</w:t>
      </w:r>
      <w:r>
        <w:rPr>
          <w:rFonts w:hint="default"/>
        </w:rPr>
        <w:t>表</w:t>
      </w:r>
    </w:p>
    <w:tbl>
      <w:tblPr>
        <w:tblStyle w:val="34"/>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63"/>
        <w:gridCol w:w="6637"/>
      </w:tblGrid>
      <w:tr w14:paraId="26E4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6CBB5BF9">
            <w:pPr>
              <w:pStyle w:val="43"/>
              <w:bidi w:val="0"/>
              <w:rPr>
                <w:b/>
                <w:bCs/>
              </w:rPr>
            </w:pPr>
            <w:r>
              <w:rPr>
                <w:b/>
                <w:bCs/>
              </w:rPr>
              <w:t>工程内容</w:t>
            </w:r>
          </w:p>
        </w:tc>
        <w:tc>
          <w:tcPr>
            <w:tcW w:w="1463" w:type="dxa"/>
            <w:vAlign w:val="center"/>
          </w:tcPr>
          <w:p w14:paraId="76778952">
            <w:pPr>
              <w:pStyle w:val="43"/>
              <w:bidi w:val="0"/>
              <w:rPr>
                <w:b/>
                <w:bCs/>
              </w:rPr>
            </w:pPr>
            <w:r>
              <w:rPr>
                <w:rFonts w:hint="eastAsia"/>
                <w:b/>
                <w:bCs/>
              </w:rPr>
              <w:t>类别</w:t>
            </w:r>
          </w:p>
        </w:tc>
        <w:tc>
          <w:tcPr>
            <w:tcW w:w="6637" w:type="dxa"/>
            <w:vAlign w:val="center"/>
          </w:tcPr>
          <w:p w14:paraId="08989C7D">
            <w:pPr>
              <w:pStyle w:val="43"/>
              <w:bidi w:val="0"/>
              <w:rPr>
                <w:b/>
                <w:bCs/>
              </w:rPr>
            </w:pPr>
            <w:r>
              <w:rPr>
                <w:rFonts w:hint="eastAsia"/>
                <w:b/>
                <w:bCs/>
              </w:rPr>
              <w:t>主要内容</w:t>
            </w:r>
          </w:p>
        </w:tc>
      </w:tr>
      <w:tr w14:paraId="7164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80" w:type="dxa"/>
            <w:vMerge w:val="restart"/>
            <w:vAlign w:val="center"/>
          </w:tcPr>
          <w:p w14:paraId="118E6B51">
            <w:pPr>
              <w:pStyle w:val="43"/>
              <w:bidi w:val="0"/>
            </w:pPr>
            <w:r>
              <w:t>主体工程</w:t>
            </w:r>
          </w:p>
        </w:tc>
        <w:tc>
          <w:tcPr>
            <w:tcW w:w="1463" w:type="dxa"/>
            <w:vAlign w:val="center"/>
          </w:tcPr>
          <w:p w14:paraId="65323309">
            <w:pPr>
              <w:pStyle w:val="43"/>
              <w:bidi w:val="0"/>
            </w:pPr>
            <w:r>
              <w:rPr>
                <w:rFonts w:hint="eastAsia"/>
              </w:rPr>
              <w:t>项目矿区</w:t>
            </w:r>
          </w:p>
        </w:tc>
        <w:tc>
          <w:tcPr>
            <w:tcW w:w="6637" w:type="dxa"/>
            <w:vAlign w:val="center"/>
          </w:tcPr>
          <w:p w14:paraId="103B132D">
            <w:pPr>
              <w:pStyle w:val="43"/>
              <w:bidi w:val="0"/>
            </w:pPr>
            <w:r>
              <w:rPr>
                <w:rFonts w:hint="eastAsia"/>
                <w:lang w:val="en-US" w:eastAsia="zh-CN"/>
              </w:rPr>
              <w:t>2号矿</w:t>
            </w:r>
            <w:r>
              <w:rPr>
                <w:rFonts w:hint="eastAsia"/>
              </w:rPr>
              <w:t>矿区面积为198400m</w:t>
            </w:r>
            <w:r>
              <w:rPr>
                <w:rFonts w:hint="eastAsia"/>
                <w:vertAlign w:val="superscript"/>
              </w:rPr>
              <w:t>2</w:t>
            </w:r>
            <w:r>
              <w:rPr>
                <w:rFonts w:hint="eastAsia"/>
              </w:rPr>
              <w:t>。</w:t>
            </w:r>
            <w:r>
              <w:t>矿山</w:t>
            </w:r>
            <w:r>
              <w:rPr>
                <w:rFonts w:hint="eastAsia"/>
              </w:rPr>
              <w:t>矿石资源储量693.94万</w:t>
            </w:r>
            <w:r>
              <w:rPr>
                <w:rFonts w:hint="eastAsia"/>
                <w:lang w:eastAsia="zh-CN"/>
              </w:rPr>
              <w:t>m</w:t>
            </w:r>
            <w:r>
              <w:rPr>
                <w:rFonts w:hint="eastAsia"/>
                <w:vertAlign w:val="superscript"/>
                <w:lang w:eastAsia="zh-CN"/>
              </w:rPr>
              <w:t>3</w:t>
            </w:r>
            <w:r>
              <w:rPr>
                <w:rFonts w:hint="eastAsia"/>
                <w:lang w:eastAsia="zh-CN"/>
              </w:rPr>
              <w:t>（</w:t>
            </w:r>
            <w:r>
              <w:rPr>
                <w:rFonts w:hint="eastAsia"/>
              </w:rPr>
              <w:t>1877.79万t</w:t>
            </w:r>
            <w:r>
              <w:rPr>
                <w:rFonts w:hint="eastAsia"/>
                <w:lang w:eastAsia="zh-CN"/>
              </w:rPr>
              <w:t>）</w:t>
            </w:r>
            <w:r>
              <w:rPr>
                <w:rFonts w:hint="eastAsia"/>
              </w:rPr>
              <w:t>，保有资源储量661.98万</w:t>
            </w:r>
            <w:r>
              <w:rPr>
                <w:rFonts w:hint="eastAsia"/>
                <w:lang w:eastAsia="zh-CN"/>
              </w:rPr>
              <w:t>m</w:t>
            </w:r>
            <w:r>
              <w:rPr>
                <w:rFonts w:hint="eastAsia"/>
                <w:vertAlign w:val="superscript"/>
                <w:lang w:eastAsia="zh-CN"/>
              </w:rPr>
              <w:t>3</w:t>
            </w:r>
            <w:r>
              <w:rPr>
                <w:rFonts w:hint="eastAsia"/>
                <w:lang w:eastAsia="zh-CN"/>
              </w:rPr>
              <w:t>（</w:t>
            </w:r>
            <w:r>
              <w:rPr>
                <w:rFonts w:hint="eastAsia"/>
              </w:rPr>
              <w:t>1791.34万t</w:t>
            </w:r>
            <w:r>
              <w:rPr>
                <w:rFonts w:hint="eastAsia"/>
                <w:lang w:eastAsia="zh-CN"/>
              </w:rPr>
              <w:t>）</w:t>
            </w:r>
            <w:r>
              <w:rPr>
                <w:rFonts w:hint="eastAsia"/>
              </w:rPr>
              <w:t>，设计回采率为95%。开采区位于项目矿区南部</w:t>
            </w:r>
            <w:r>
              <w:t>，开采标高</w:t>
            </w:r>
            <w:r>
              <w:rPr>
                <w:rFonts w:hint="eastAsia"/>
              </w:rPr>
              <w:t>1682</w:t>
            </w:r>
            <w:r>
              <w:t>m</w:t>
            </w:r>
            <w:r>
              <w:rPr>
                <w:rFonts w:hint="eastAsia"/>
                <w:lang w:eastAsia="zh-CN"/>
              </w:rPr>
              <w:t>～</w:t>
            </w:r>
            <w:r>
              <w:rPr>
                <w:rFonts w:hint="eastAsia"/>
              </w:rPr>
              <w:t>1572</w:t>
            </w:r>
            <w:r>
              <w:t>m</w:t>
            </w:r>
            <w:r>
              <w:rPr>
                <w:rFonts w:hint="eastAsia"/>
              </w:rPr>
              <w:t>。</w:t>
            </w:r>
          </w:p>
        </w:tc>
      </w:tr>
      <w:tr w14:paraId="47F7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80" w:type="dxa"/>
            <w:vMerge w:val="continue"/>
            <w:vAlign w:val="center"/>
          </w:tcPr>
          <w:p w14:paraId="3E146A62">
            <w:pPr>
              <w:pStyle w:val="43"/>
              <w:bidi w:val="0"/>
            </w:pPr>
          </w:p>
        </w:tc>
        <w:tc>
          <w:tcPr>
            <w:tcW w:w="1463" w:type="dxa"/>
            <w:vAlign w:val="center"/>
          </w:tcPr>
          <w:p w14:paraId="761F0E29">
            <w:pPr>
              <w:pStyle w:val="43"/>
              <w:bidi w:val="0"/>
            </w:pPr>
            <w:r>
              <w:rPr>
                <w:rFonts w:hint="eastAsia"/>
              </w:rPr>
              <w:t>生产加工区</w:t>
            </w:r>
          </w:p>
        </w:tc>
        <w:tc>
          <w:tcPr>
            <w:tcW w:w="6637" w:type="dxa"/>
            <w:vAlign w:val="center"/>
          </w:tcPr>
          <w:p w14:paraId="47474104">
            <w:pPr>
              <w:pStyle w:val="43"/>
              <w:bidi w:val="0"/>
            </w:pPr>
            <w:r>
              <w:t>生产加工区，加工区位于</w:t>
            </w:r>
            <w:r>
              <w:rPr>
                <w:rFonts w:hint="eastAsia"/>
              </w:rPr>
              <w:t>项目西南侧</w:t>
            </w:r>
            <w:r>
              <w:t>，</w:t>
            </w:r>
            <w:r>
              <w:rPr>
                <w:rFonts w:hint="eastAsia"/>
              </w:rPr>
              <w:t>占地面积约5400m</w:t>
            </w:r>
            <w:r>
              <w:rPr>
                <w:rFonts w:hint="eastAsia"/>
                <w:vertAlign w:val="superscript"/>
              </w:rPr>
              <w:t>2</w:t>
            </w:r>
            <w:r>
              <w:rPr>
                <w:rFonts w:hint="eastAsia"/>
              </w:rPr>
              <w:t>，</w:t>
            </w:r>
            <w:r>
              <w:t>加工区共一条生产线，包含喂料口、破碎机、振动筛、砂机、传送带等设备</w:t>
            </w:r>
            <w:r>
              <w:rPr>
                <w:rFonts w:hint="eastAsia"/>
              </w:rPr>
              <w:t>。</w:t>
            </w:r>
          </w:p>
        </w:tc>
      </w:tr>
      <w:tr w14:paraId="0300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680" w:type="dxa"/>
            <w:vMerge w:val="continue"/>
            <w:vAlign w:val="center"/>
          </w:tcPr>
          <w:p w14:paraId="0654A413">
            <w:pPr>
              <w:pStyle w:val="43"/>
              <w:bidi w:val="0"/>
            </w:pPr>
          </w:p>
        </w:tc>
        <w:tc>
          <w:tcPr>
            <w:tcW w:w="1463" w:type="dxa"/>
            <w:vAlign w:val="center"/>
          </w:tcPr>
          <w:p w14:paraId="3E7F5D4A">
            <w:pPr>
              <w:pStyle w:val="43"/>
              <w:bidi w:val="0"/>
            </w:pPr>
            <w:r>
              <w:rPr>
                <w:rFonts w:hint="eastAsia"/>
              </w:rPr>
              <w:t>砂石料场</w:t>
            </w:r>
          </w:p>
        </w:tc>
        <w:tc>
          <w:tcPr>
            <w:tcW w:w="6637" w:type="dxa"/>
            <w:vAlign w:val="center"/>
          </w:tcPr>
          <w:p w14:paraId="1FF9743F">
            <w:pPr>
              <w:pStyle w:val="43"/>
              <w:bidi w:val="0"/>
            </w:pPr>
            <w:r>
              <w:t>项目年生产规模为20.0万t</w:t>
            </w:r>
            <w:r>
              <w:rPr>
                <w:rFonts w:hint="eastAsia"/>
                <w:lang w:eastAsia="zh-CN"/>
              </w:rPr>
              <w:t>，</w:t>
            </w:r>
            <w:r>
              <w:t>生产产品包括30mm</w:t>
            </w:r>
            <w:r>
              <w:rPr>
                <w:rFonts w:hint="eastAsia"/>
                <w:lang w:eastAsia="zh-CN"/>
              </w:rPr>
              <w:t>～</w:t>
            </w:r>
            <w:r>
              <w:t>60mm的石子，30mm以下的公分石、砂子等。在项目区西南侧设有1个砂石料场，占地面积约25000m²</w:t>
            </w:r>
            <w:r>
              <w:rPr>
                <w:rFonts w:hint="eastAsia"/>
                <w:lang w:eastAsia="zh-CN"/>
              </w:rPr>
              <w:t>，</w:t>
            </w:r>
            <w:r>
              <w:t>并建设有9000m²三面围挡的成品仓库。砂石</w:t>
            </w:r>
            <w:r>
              <w:rPr>
                <w:rFonts w:hint="eastAsia"/>
              </w:rPr>
              <w:t>料定期运至云南普阳煤化工有限责任公司电石厂作原料使用及外</w:t>
            </w:r>
            <w:r>
              <w:t>售，</w:t>
            </w:r>
            <w:r>
              <w:rPr>
                <w:rFonts w:hint="eastAsia"/>
              </w:rPr>
              <w:t>只</w:t>
            </w:r>
            <w:r>
              <w:t>在场区短暂存储。</w:t>
            </w:r>
          </w:p>
        </w:tc>
      </w:tr>
      <w:tr w14:paraId="4DAD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80" w:type="dxa"/>
            <w:vAlign w:val="center"/>
          </w:tcPr>
          <w:p w14:paraId="0E708202">
            <w:pPr>
              <w:pStyle w:val="43"/>
              <w:bidi w:val="0"/>
            </w:pPr>
            <w:r>
              <w:t>辅助工程</w:t>
            </w:r>
          </w:p>
        </w:tc>
        <w:tc>
          <w:tcPr>
            <w:tcW w:w="1463" w:type="dxa"/>
            <w:vAlign w:val="center"/>
          </w:tcPr>
          <w:p w14:paraId="6F52335A">
            <w:pPr>
              <w:pStyle w:val="43"/>
              <w:bidi w:val="0"/>
            </w:pPr>
            <w:r>
              <w:rPr>
                <w:rFonts w:hint="eastAsia"/>
              </w:rPr>
              <w:t>办公生活用房</w:t>
            </w:r>
          </w:p>
        </w:tc>
        <w:tc>
          <w:tcPr>
            <w:tcW w:w="6637" w:type="dxa"/>
            <w:vAlign w:val="center"/>
          </w:tcPr>
          <w:p w14:paraId="33F196E1">
            <w:pPr>
              <w:pStyle w:val="43"/>
              <w:bidi w:val="0"/>
            </w:pPr>
            <w:r>
              <w:rPr>
                <w:rFonts w:hint="eastAsia"/>
              </w:rPr>
              <w:t>占地面积为400m</w:t>
            </w:r>
            <w:r>
              <w:rPr>
                <w:rFonts w:hint="eastAsia"/>
                <w:vertAlign w:val="superscript"/>
              </w:rPr>
              <w:t>2</w:t>
            </w:r>
            <w:r>
              <w:rPr>
                <w:rFonts w:hint="eastAsia"/>
              </w:rPr>
              <w:t>，建筑面积为400m</w:t>
            </w:r>
            <w:r>
              <w:rPr>
                <w:rFonts w:hint="eastAsia"/>
                <w:vertAlign w:val="superscript"/>
              </w:rPr>
              <w:t>2</w:t>
            </w:r>
            <w:r>
              <w:rPr>
                <w:rFonts w:hint="eastAsia"/>
              </w:rPr>
              <w:t>（轻型钢结构）。</w:t>
            </w:r>
          </w:p>
        </w:tc>
      </w:tr>
      <w:tr w14:paraId="56C2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80" w:type="dxa"/>
            <w:vMerge w:val="restart"/>
            <w:vAlign w:val="center"/>
          </w:tcPr>
          <w:p w14:paraId="060115DB">
            <w:pPr>
              <w:pStyle w:val="43"/>
              <w:bidi w:val="0"/>
            </w:pPr>
            <w:r>
              <w:rPr>
                <w:rFonts w:hint="eastAsia"/>
              </w:rPr>
              <w:t>公用</w:t>
            </w:r>
            <w:r>
              <w:t>工程</w:t>
            </w:r>
          </w:p>
        </w:tc>
        <w:tc>
          <w:tcPr>
            <w:tcW w:w="1463" w:type="dxa"/>
            <w:vAlign w:val="center"/>
          </w:tcPr>
          <w:p w14:paraId="6438E891">
            <w:pPr>
              <w:pStyle w:val="43"/>
              <w:bidi w:val="0"/>
            </w:pPr>
            <w:r>
              <w:t>给水</w:t>
            </w:r>
            <w:r>
              <w:rPr>
                <w:rFonts w:hint="eastAsia"/>
              </w:rPr>
              <w:t>工程</w:t>
            </w:r>
          </w:p>
        </w:tc>
        <w:tc>
          <w:tcPr>
            <w:tcW w:w="6637" w:type="dxa"/>
            <w:vAlign w:val="center"/>
          </w:tcPr>
          <w:p w14:paraId="0541886C">
            <w:pPr>
              <w:pStyle w:val="43"/>
              <w:bidi w:val="0"/>
            </w:pPr>
            <w:r>
              <w:t>项目生产用水和生活用水全部</w:t>
            </w:r>
            <w:r>
              <w:rPr>
                <w:rFonts w:hint="eastAsia"/>
                <w:lang w:eastAsia="zh-CN"/>
              </w:rPr>
              <w:t>来自</w:t>
            </w:r>
            <w:r>
              <w:rPr>
                <w:rFonts w:hint="eastAsia"/>
              </w:rPr>
              <w:t>云南普阳煤化工有限责任公司电石厂（</w:t>
            </w:r>
            <w:r>
              <w:t>已建供水管网</w:t>
            </w:r>
            <w:r>
              <w:rPr>
                <w:rFonts w:hint="eastAsia"/>
              </w:rPr>
              <w:t>），</w:t>
            </w:r>
            <w:r>
              <w:t>通过铺设管线接入项目</w:t>
            </w:r>
            <w:r>
              <w:rPr>
                <w:rFonts w:hint="eastAsia"/>
              </w:rPr>
              <w:t>场区，提供给项目生产及生活使用。</w:t>
            </w:r>
          </w:p>
        </w:tc>
      </w:tr>
      <w:tr w14:paraId="1C84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21A15AFE">
            <w:pPr>
              <w:pStyle w:val="43"/>
              <w:bidi w:val="0"/>
            </w:pPr>
          </w:p>
        </w:tc>
        <w:tc>
          <w:tcPr>
            <w:tcW w:w="1463" w:type="dxa"/>
            <w:vAlign w:val="center"/>
          </w:tcPr>
          <w:p w14:paraId="393448E5">
            <w:pPr>
              <w:pStyle w:val="43"/>
              <w:bidi w:val="0"/>
            </w:pPr>
            <w:r>
              <w:t>排水</w:t>
            </w:r>
            <w:r>
              <w:rPr>
                <w:rFonts w:hint="eastAsia"/>
              </w:rPr>
              <w:t>工程</w:t>
            </w:r>
          </w:p>
        </w:tc>
        <w:tc>
          <w:tcPr>
            <w:tcW w:w="6637" w:type="dxa"/>
            <w:vAlign w:val="center"/>
          </w:tcPr>
          <w:p w14:paraId="3CBEF6E1">
            <w:pPr>
              <w:pStyle w:val="43"/>
              <w:bidi w:val="0"/>
            </w:pPr>
            <w:r>
              <w:rPr>
                <w:rFonts w:hint="eastAsia"/>
              </w:rPr>
              <w:t>工程严格实行雨污分流。项目区初期雨水经排水沟收集后排入项目区初期雨水收集池（50</w:t>
            </w:r>
            <w:r>
              <w:rPr>
                <w:rFonts w:hint="eastAsia"/>
                <w:lang w:eastAsia="zh-CN"/>
              </w:rPr>
              <w:t>m</w:t>
            </w:r>
            <w:r>
              <w:rPr>
                <w:rFonts w:hint="eastAsia"/>
                <w:vertAlign w:val="superscript"/>
                <w:lang w:eastAsia="zh-CN"/>
              </w:rPr>
              <w:t>3</w:t>
            </w:r>
            <w:r>
              <w:rPr>
                <w:rFonts w:hint="eastAsia"/>
              </w:rPr>
              <w:t>），经沉淀后用作场区降尘用水；</w:t>
            </w:r>
            <w:r>
              <w:rPr>
                <w:rFonts w:hint="eastAsia"/>
                <w:lang w:val="en-US" w:eastAsia="zh-CN"/>
              </w:rPr>
              <w:t>冲厕废水</w:t>
            </w:r>
            <w:r>
              <w:rPr>
                <w:rFonts w:hint="eastAsia"/>
              </w:rPr>
              <w:t>经</w:t>
            </w:r>
            <w:r>
              <w:rPr>
                <w:rFonts w:hint="eastAsia"/>
                <w:lang w:val="en-US" w:eastAsia="zh-CN"/>
              </w:rPr>
              <w:t>粪污收集池</w:t>
            </w:r>
            <w:r>
              <w:rPr>
                <w:rFonts w:hint="eastAsia"/>
              </w:rPr>
              <w:t>收集后，委托周边村民定期清掏用作农肥（其中，生活污水中的洗漱废水、厨房废水，经收集后用作场区洒水降尘）；</w:t>
            </w:r>
            <w:r>
              <w:t>项目矿区、</w:t>
            </w:r>
            <w:r>
              <w:rPr>
                <w:rFonts w:hint="eastAsia"/>
              </w:rPr>
              <w:t>砂石料场</w:t>
            </w:r>
            <w:r>
              <w:t>、生活区外侧设截洪沟用来阻截雨水进入场区</w:t>
            </w:r>
            <w:r>
              <w:rPr>
                <w:rFonts w:hint="eastAsia"/>
              </w:rPr>
              <w:t>。</w:t>
            </w:r>
          </w:p>
        </w:tc>
      </w:tr>
      <w:tr w14:paraId="10A7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80" w:type="dxa"/>
            <w:vMerge w:val="continue"/>
            <w:vAlign w:val="center"/>
          </w:tcPr>
          <w:p w14:paraId="695AE816">
            <w:pPr>
              <w:pStyle w:val="43"/>
              <w:bidi w:val="0"/>
            </w:pPr>
          </w:p>
        </w:tc>
        <w:tc>
          <w:tcPr>
            <w:tcW w:w="1463" w:type="dxa"/>
            <w:vAlign w:val="center"/>
          </w:tcPr>
          <w:p w14:paraId="600F2CED">
            <w:pPr>
              <w:pStyle w:val="43"/>
              <w:bidi w:val="0"/>
            </w:pPr>
            <w:r>
              <w:rPr>
                <w:rFonts w:hint="eastAsia"/>
              </w:rPr>
              <w:t>供电工程</w:t>
            </w:r>
          </w:p>
        </w:tc>
        <w:tc>
          <w:tcPr>
            <w:tcW w:w="6637" w:type="dxa"/>
            <w:vAlign w:val="center"/>
          </w:tcPr>
          <w:p w14:paraId="4FD811CA">
            <w:pPr>
              <w:pStyle w:val="43"/>
              <w:bidi w:val="0"/>
            </w:pPr>
            <w:r>
              <w:t>项目用电来自</w:t>
            </w:r>
            <w:r>
              <w:rPr>
                <w:rFonts w:hint="eastAsia"/>
              </w:rPr>
              <w:t>云南普阳煤化工有限责任公司电石厂供电电网</w:t>
            </w:r>
            <w:r>
              <w:t>，就近架空线引至</w:t>
            </w:r>
            <w:r>
              <w:rPr>
                <w:rFonts w:hint="eastAsia"/>
              </w:rPr>
              <w:t>项目区</w:t>
            </w:r>
            <w:r>
              <w:t>，</w:t>
            </w:r>
            <w:r>
              <w:rPr>
                <w:rFonts w:hint="eastAsia"/>
              </w:rPr>
              <w:t>项目区设有1台800</w:t>
            </w:r>
            <w:r>
              <w:t>kV</w:t>
            </w:r>
            <w:r>
              <w:rPr>
                <w:rFonts w:hint="eastAsia"/>
              </w:rPr>
              <w:t>A</w:t>
            </w:r>
            <w:r>
              <w:t>变压器</w:t>
            </w:r>
            <w:r>
              <w:rPr>
                <w:rFonts w:hint="eastAsia"/>
              </w:rPr>
              <w:t>，</w:t>
            </w:r>
            <w:r>
              <w:t>经变压器变压后供生产、生活用电</w:t>
            </w:r>
            <w:r>
              <w:rPr>
                <w:rFonts w:hint="eastAsia"/>
              </w:rPr>
              <w:t>。</w:t>
            </w:r>
          </w:p>
        </w:tc>
      </w:tr>
      <w:tr w14:paraId="2312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80" w:type="dxa"/>
            <w:vMerge w:val="continue"/>
            <w:vAlign w:val="center"/>
          </w:tcPr>
          <w:p w14:paraId="6B8F6A56">
            <w:pPr>
              <w:pStyle w:val="43"/>
              <w:bidi w:val="0"/>
            </w:pPr>
          </w:p>
        </w:tc>
        <w:tc>
          <w:tcPr>
            <w:tcW w:w="1463" w:type="dxa"/>
            <w:vAlign w:val="center"/>
          </w:tcPr>
          <w:p w14:paraId="119BEDD7">
            <w:pPr>
              <w:pStyle w:val="43"/>
              <w:bidi w:val="0"/>
            </w:pPr>
            <w:r>
              <w:rPr>
                <w:rFonts w:hint="eastAsia"/>
              </w:rPr>
              <w:t>通信工程</w:t>
            </w:r>
          </w:p>
        </w:tc>
        <w:tc>
          <w:tcPr>
            <w:tcW w:w="6637" w:type="dxa"/>
            <w:vAlign w:val="center"/>
          </w:tcPr>
          <w:p w14:paraId="61D1362D">
            <w:pPr>
              <w:pStyle w:val="43"/>
              <w:bidi w:val="0"/>
            </w:pPr>
            <w:r>
              <w:rPr>
                <w:rFonts w:hint="eastAsia"/>
              </w:rPr>
              <w:t>项目区域中国移动、中国联通、中国电信网络完备，主要生产工人、管理人员配备手机，可以保障在安全生产管理中通讯或联系畅通。</w:t>
            </w:r>
          </w:p>
        </w:tc>
      </w:tr>
      <w:tr w14:paraId="24A1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restart"/>
            <w:vAlign w:val="center"/>
          </w:tcPr>
          <w:p w14:paraId="1B6CB1BB">
            <w:pPr>
              <w:pStyle w:val="43"/>
              <w:bidi w:val="0"/>
            </w:pPr>
            <w:r>
              <w:t>环保工程</w:t>
            </w:r>
          </w:p>
        </w:tc>
        <w:tc>
          <w:tcPr>
            <w:tcW w:w="1463" w:type="dxa"/>
            <w:vMerge w:val="restart"/>
            <w:vAlign w:val="center"/>
          </w:tcPr>
          <w:p w14:paraId="64ADB956">
            <w:pPr>
              <w:pStyle w:val="43"/>
              <w:bidi w:val="0"/>
            </w:pPr>
            <w:r>
              <w:t>废水处理</w:t>
            </w:r>
          </w:p>
        </w:tc>
        <w:tc>
          <w:tcPr>
            <w:tcW w:w="6637" w:type="dxa"/>
            <w:vAlign w:val="center"/>
          </w:tcPr>
          <w:p w14:paraId="169FA740">
            <w:pPr>
              <w:pStyle w:val="43"/>
              <w:bidi w:val="0"/>
            </w:pPr>
            <w:r>
              <w:rPr>
                <w:spacing w:val="1"/>
              </w:rPr>
              <w:t>项目生活污水排入场内水冲厕后提供给周边的农户用</w:t>
            </w:r>
            <w:r>
              <w:t>作农肥，洗漱废水、厨房</w:t>
            </w:r>
            <w:r>
              <w:rPr>
                <w:spacing w:val="1"/>
              </w:rPr>
              <w:t>废水用于项目区洒水降尘。</w:t>
            </w:r>
          </w:p>
        </w:tc>
      </w:tr>
      <w:tr w14:paraId="1E75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4A7B197B">
            <w:pPr>
              <w:pStyle w:val="43"/>
              <w:bidi w:val="0"/>
            </w:pPr>
          </w:p>
        </w:tc>
        <w:tc>
          <w:tcPr>
            <w:tcW w:w="1463" w:type="dxa"/>
            <w:vMerge w:val="continue"/>
            <w:vAlign w:val="center"/>
          </w:tcPr>
          <w:p w14:paraId="13A6112B">
            <w:pPr>
              <w:pStyle w:val="43"/>
              <w:bidi w:val="0"/>
            </w:pPr>
          </w:p>
        </w:tc>
        <w:tc>
          <w:tcPr>
            <w:tcW w:w="6637" w:type="dxa"/>
            <w:vAlign w:val="center"/>
          </w:tcPr>
          <w:p w14:paraId="46710985">
            <w:pPr>
              <w:pStyle w:val="43"/>
              <w:bidi w:val="0"/>
            </w:pPr>
            <w:r>
              <w:rPr>
                <w:rFonts w:hint="eastAsia"/>
              </w:rPr>
              <w:t>项目设有</w:t>
            </w:r>
            <w:r>
              <w:t>截洪沟、排水沟</w:t>
            </w:r>
            <w:r>
              <w:rPr>
                <w:rFonts w:hint="eastAsia"/>
              </w:rPr>
              <w:t>，截洪沟用来阻截雨水进入场区，排水沟用来收集和引排场区内的积水。</w:t>
            </w:r>
          </w:p>
        </w:tc>
      </w:tr>
      <w:tr w14:paraId="47C7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7535483A">
            <w:pPr>
              <w:pStyle w:val="43"/>
              <w:bidi w:val="0"/>
            </w:pPr>
          </w:p>
        </w:tc>
        <w:tc>
          <w:tcPr>
            <w:tcW w:w="1463" w:type="dxa"/>
            <w:vMerge w:val="continue"/>
            <w:vAlign w:val="center"/>
          </w:tcPr>
          <w:p w14:paraId="4CFCC9E5">
            <w:pPr>
              <w:pStyle w:val="43"/>
              <w:bidi w:val="0"/>
            </w:pPr>
          </w:p>
        </w:tc>
        <w:tc>
          <w:tcPr>
            <w:tcW w:w="6637" w:type="dxa"/>
            <w:vAlign w:val="center"/>
          </w:tcPr>
          <w:p w14:paraId="4B20002E">
            <w:pPr>
              <w:pStyle w:val="43"/>
              <w:bidi w:val="0"/>
            </w:pPr>
            <w:r>
              <w:rPr>
                <w:rFonts w:hint="eastAsia"/>
              </w:rPr>
              <w:t>项目设有初期雨水收集池（50</w:t>
            </w:r>
            <w:r>
              <w:rPr>
                <w:rFonts w:hint="eastAsia"/>
                <w:lang w:eastAsia="zh-CN"/>
              </w:rPr>
              <w:t>m</w:t>
            </w:r>
            <w:r>
              <w:rPr>
                <w:rFonts w:hint="eastAsia"/>
                <w:vertAlign w:val="superscript"/>
                <w:lang w:eastAsia="zh-CN"/>
              </w:rPr>
              <w:t>3</w:t>
            </w:r>
            <w:r>
              <w:rPr>
                <w:rFonts w:hint="eastAsia"/>
              </w:rPr>
              <w:t>），用于收集场区内雨水，经沉淀后用作场区降尘用水。</w:t>
            </w:r>
          </w:p>
        </w:tc>
      </w:tr>
      <w:tr w14:paraId="475F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6A883819">
            <w:pPr>
              <w:pStyle w:val="43"/>
              <w:bidi w:val="0"/>
            </w:pPr>
          </w:p>
        </w:tc>
        <w:tc>
          <w:tcPr>
            <w:tcW w:w="1463" w:type="dxa"/>
            <w:vMerge w:val="restart"/>
            <w:vAlign w:val="center"/>
          </w:tcPr>
          <w:p w14:paraId="3BD43472">
            <w:pPr>
              <w:pStyle w:val="43"/>
              <w:bidi w:val="0"/>
            </w:pPr>
            <w:r>
              <w:t>废气处理</w:t>
            </w:r>
          </w:p>
        </w:tc>
        <w:tc>
          <w:tcPr>
            <w:tcW w:w="6637" w:type="dxa"/>
            <w:vAlign w:val="center"/>
          </w:tcPr>
          <w:p w14:paraId="65D1FC5B">
            <w:pPr>
              <w:pStyle w:val="43"/>
              <w:bidi w:val="0"/>
            </w:pPr>
            <w:r>
              <w:rPr>
                <w:rFonts w:hint="eastAsia"/>
              </w:rPr>
              <w:t>砂石料生产加工区</w:t>
            </w:r>
            <w:r>
              <w:t>：在</w:t>
            </w:r>
            <w:r>
              <w:rPr>
                <w:rFonts w:hint="eastAsia"/>
              </w:rPr>
              <w:t>破碎机</w:t>
            </w:r>
            <w:r>
              <w:t>喂料口和破碎环节设置喷雾洒水装置，并设置配套水箱；石料输送带</w:t>
            </w:r>
            <w:r>
              <w:rPr>
                <w:rFonts w:hint="eastAsia"/>
              </w:rPr>
              <w:t>设置彩钢瓦防护罩，下料口设置帆布或软管等防尘设施。</w:t>
            </w:r>
          </w:p>
        </w:tc>
      </w:tr>
      <w:tr w14:paraId="56C3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7D183487">
            <w:pPr>
              <w:pStyle w:val="43"/>
              <w:bidi w:val="0"/>
            </w:pPr>
          </w:p>
        </w:tc>
        <w:tc>
          <w:tcPr>
            <w:tcW w:w="1463" w:type="dxa"/>
            <w:vMerge w:val="continue"/>
            <w:vAlign w:val="center"/>
          </w:tcPr>
          <w:p w14:paraId="651ED166">
            <w:pPr>
              <w:pStyle w:val="43"/>
              <w:bidi w:val="0"/>
            </w:pPr>
          </w:p>
        </w:tc>
        <w:tc>
          <w:tcPr>
            <w:tcW w:w="6637" w:type="dxa"/>
            <w:vAlign w:val="center"/>
          </w:tcPr>
          <w:p w14:paraId="34E0AFA2">
            <w:pPr>
              <w:pStyle w:val="43"/>
              <w:bidi w:val="0"/>
            </w:pPr>
            <w:r>
              <w:rPr>
                <w:rFonts w:hint="eastAsia"/>
              </w:rPr>
              <w:t>项目砂石料场、场区道路等设置固定喷淋设施，喷洒适量水，以减少露天堆放扬尘排放量；</w:t>
            </w:r>
            <w:r>
              <w:t>石料运输环节不能装载过满，需对车厢进行覆盖</w:t>
            </w:r>
            <w:r>
              <w:rPr>
                <w:rFonts w:hint="eastAsia"/>
              </w:rPr>
              <w:t>。</w:t>
            </w:r>
          </w:p>
        </w:tc>
      </w:tr>
      <w:tr w14:paraId="7E60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09B6E732">
            <w:pPr>
              <w:pStyle w:val="43"/>
              <w:bidi w:val="0"/>
            </w:pPr>
          </w:p>
        </w:tc>
        <w:tc>
          <w:tcPr>
            <w:tcW w:w="1463" w:type="dxa"/>
            <w:vAlign w:val="center"/>
          </w:tcPr>
          <w:p w14:paraId="49040B4C">
            <w:pPr>
              <w:pStyle w:val="43"/>
              <w:bidi w:val="0"/>
            </w:pPr>
            <w:r>
              <w:t>噪声控制</w:t>
            </w:r>
          </w:p>
        </w:tc>
        <w:tc>
          <w:tcPr>
            <w:tcW w:w="6637" w:type="dxa"/>
            <w:vAlign w:val="center"/>
          </w:tcPr>
          <w:p w14:paraId="4BDBA75C">
            <w:pPr>
              <w:pStyle w:val="43"/>
              <w:bidi w:val="0"/>
            </w:pPr>
            <w:r>
              <w:rPr>
                <w:rFonts w:hint="eastAsia"/>
              </w:rPr>
              <w:t>对高噪声的设备安装减振垫、</w:t>
            </w:r>
            <w:r>
              <w:rPr>
                <w:rFonts w:hint="eastAsia"/>
                <w:lang w:eastAsia="zh-CN"/>
              </w:rPr>
              <w:t>消声器</w:t>
            </w:r>
            <w:r>
              <w:rPr>
                <w:rFonts w:hint="eastAsia"/>
              </w:rPr>
              <w:t>等措施；在厂区周围及道路两旁的空地种植树木，减少噪声对周围环境的影响。</w:t>
            </w:r>
          </w:p>
        </w:tc>
      </w:tr>
      <w:tr w14:paraId="419B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4E5FDDD6">
            <w:pPr>
              <w:pStyle w:val="43"/>
              <w:bidi w:val="0"/>
            </w:pPr>
          </w:p>
        </w:tc>
        <w:tc>
          <w:tcPr>
            <w:tcW w:w="1463" w:type="dxa"/>
            <w:vMerge w:val="restart"/>
            <w:tcMar>
              <w:left w:w="28" w:type="dxa"/>
              <w:right w:w="28" w:type="dxa"/>
            </w:tcMar>
            <w:vAlign w:val="center"/>
          </w:tcPr>
          <w:p w14:paraId="0B56B501">
            <w:pPr>
              <w:pStyle w:val="43"/>
              <w:bidi w:val="0"/>
            </w:pPr>
            <w:r>
              <w:rPr>
                <w:rFonts w:hint="eastAsia"/>
              </w:rPr>
              <w:t>固体废弃物处理</w:t>
            </w:r>
          </w:p>
        </w:tc>
        <w:tc>
          <w:tcPr>
            <w:tcW w:w="6637" w:type="dxa"/>
            <w:vAlign w:val="center"/>
          </w:tcPr>
          <w:p w14:paraId="38BE1D47">
            <w:pPr>
              <w:pStyle w:val="43"/>
              <w:bidi w:val="0"/>
            </w:pPr>
            <w:r>
              <w:rPr>
                <w:rFonts w:hint="eastAsia"/>
              </w:rPr>
              <w:t>项目矿山在开采过程中，会产生剥离废土石，这部分废土石运送至位于矿山东面</w:t>
            </w:r>
            <w:r>
              <w:t>后山洼</w:t>
            </w:r>
            <w:r>
              <w:rPr>
                <w:rFonts w:hint="eastAsia"/>
              </w:rPr>
              <w:t>的废土场堆存（废土场依托云南普阳煤化工有限责任公司砚山县红舍克东山石灰岩矿1号矿区的废土场）；项目生活办公区设有垃圾收集桶，生活垃圾集中收集后，统一处理。</w:t>
            </w:r>
          </w:p>
        </w:tc>
      </w:tr>
      <w:tr w14:paraId="7308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Merge w:val="continue"/>
            <w:vAlign w:val="center"/>
          </w:tcPr>
          <w:p w14:paraId="1A286F42">
            <w:pPr>
              <w:pStyle w:val="43"/>
              <w:bidi w:val="0"/>
            </w:pPr>
          </w:p>
        </w:tc>
        <w:tc>
          <w:tcPr>
            <w:tcW w:w="1463" w:type="dxa"/>
            <w:vMerge w:val="continue"/>
            <w:tcMar>
              <w:left w:w="28" w:type="dxa"/>
              <w:right w:w="28" w:type="dxa"/>
            </w:tcMar>
            <w:vAlign w:val="center"/>
          </w:tcPr>
          <w:p w14:paraId="654E8E50">
            <w:pPr>
              <w:pStyle w:val="43"/>
              <w:bidi w:val="0"/>
            </w:pPr>
          </w:p>
        </w:tc>
        <w:tc>
          <w:tcPr>
            <w:tcW w:w="6637" w:type="dxa"/>
            <w:vAlign w:val="center"/>
          </w:tcPr>
          <w:p w14:paraId="7D7DCD58">
            <w:pPr>
              <w:pStyle w:val="43"/>
              <w:bidi w:val="0"/>
            </w:pPr>
            <w:r>
              <w:rPr>
                <w:rFonts w:hint="eastAsia"/>
              </w:rPr>
              <w:t>项目设置危险废物暂存间，项目产生的危险废物（废机油）经专用收集桶收集后，存于危险废物暂存间内，</w:t>
            </w:r>
            <w:r>
              <w:t>委托文山同磊再生资源回收有限公司定期处置</w:t>
            </w:r>
            <w:r>
              <w:rPr>
                <w:rFonts w:hint="eastAsia"/>
              </w:rPr>
              <w:t>。</w:t>
            </w:r>
          </w:p>
        </w:tc>
      </w:tr>
    </w:tbl>
    <w:p w14:paraId="328923FD">
      <w:pPr>
        <w:pStyle w:val="4"/>
        <w:bidi w:val="0"/>
        <w:rPr>
          <w:rFonts w:hint="default"/>
          <w:lang w:val="en-US" w:eastAsia="zh-CN"/>
        </w:rPr>
      </w:pPr>
      <w:bookmarkStart w:id="131" w:name="_Toc20795"/>
      <w:r>
        <w:rPr>
          <w:rFonts w:hint="eastAsia"/>
          <w:lang w:val="en-US" w:eastAsia="zh-CN"/>
        </w:rPr>
        <w:t>原项目</w:t>
      </w:r>
      <w:r>
        <w:rPr>
          <w:rFonts w:hint="default"/>
          <w:lang w:val="en-US" w:eastAsia="zh-CN"/>
        </w:rPr>
        <w:t>产品方案</w:t>
      </w:r>
      <w:bookmarkEnd w:id="131"/>
    </w:p>
    <w:p w14:paraId="11A820DC">
      <w:pPr>
        <w:pStyle w:val="41"/>
        <w:bidi w:val="0"/>
        <w:rPr>
          <w:rFonts w:hint="default"/>
        </w:rPr>
      </w:pPr>
      <w:r>
        <w:rPr>
          <w:rFonts w:hint="eastAsia"/>
          <w:lang w:val="en-US" w:eastAsia="zh-CN"/>
        </w:rPr>
        <w:t>原项目开采砂石直接运至工业场地进行破碎、筛分、制砂等工序加工成30—60mm的石子作为电石厂原料，其他30mm以下的碎石、沙子外售。项目产品方案及规模如下表所示：</w:t>
      </w:r>
    </w:p>
    <w:p w14:paraId="36ECC034">
      <w:pPr>
        <w:pStyle w:val="45"/>
        <w:bidi w:val="0"/>
        <w:rPr>
          <w:rFonts w:hint="default"/>
          <w:lang w:val="en-US" w:eastAsia="zh-CN"/>
        </w:rPr>
      </w:pPr>
      <w:r>
        <w:rPr>
          <w:rFonts w:hint="default"/>
        </w:rPr>
        <w:t>表</w:t>
      </w:r>
      <w:r>
        <w:rPr>
          <w:rFonts w:hint="eastAsia"/>
          <w:lang w:val="en-US" w:eastAsia="zh-CN"/>
        </w:rPr>
        <w:t>2.2-2 项目产品方案一览表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9"/>
        <w:gridCol w:w="1606"/>
        <w:gridCol w:w="1569"/>
        <w:gridCol w:w="2019"/>
        <w:gridCol w:w="2276"/>
      </w:tblGrid>
      <w:tr w14:paraId="2DD1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00E9">
            <w:pPr>
              <w:pStyle w:val="43"/>
              <w:bidi w:val="0"/>
              <w:rPr>
                <w:rFonts w:hint="eastAsia"/>
                <w:b/>
                <w:bCs/>
              </w:rPr>
            </w:pPr>
            <w:bookmarkStart w:id="132" w:name="_Toc7173"/>
            <w:r>
              <w:rPr>
                <w:rFonts w:hint="eastAsia"/>
                <w:b/>
                <w:bCs/>
                <w:lang w:val="en-US" w:eastAsia="zh-CN"/>
              </w:rPr>
              <w:t>序号</w:t>
            </w:r>
          </w:p>
        </w:tc>
        <w:tc>
          <w:tcPr>
            <w:tcW w:w="9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707C">
            <w:pPr>
              <w:pStyle w:val="43"/>
              <w:bidi w:val="0"/>
              <w:rPr>
                <w:rFonts w:hint="eastAsia"/>
                <w:b/>
                <w:bCs/>
              </w:rPr>
            </w:pPr>
            <w:r>
              <w:rPr>
                <w:rFonts w:hint="eastAsia"/>
                <w:b/>
                <w:bCs/>
                <w:lang w:val="en-US" w:eastAsia="zh-CN"/>
              </w:rPr>
              <w:t>产品品种</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9566">
            <w:pPr>
              <w:pStyle w:val="43"/>
              <w:bidi w:val="0"/>
              <w:rPr>
                <w:rFonts w:hint="eastAsia"/>
                <w:b/>
                <w:bCs/>
              </w:rPr>
            </w:pPr>
            <w:r>
              <w:rPr>
                <w:rFonts w:hint="eastAsia"/>
                <w:b/>
                <w:bCs/>
                <w:lang w:val="en-US" w:eastAsia="zh-CN"/>
              </w:rPr>
              <w:t>规格</w:t>
            </w:r>
            <w:r>
              <w:rPr>
                <w:b/>
                <w:bCs/>
                <w:lang w:val="en-US" w:eastAsia="zh-CN"/>
              </w:rPr>
              <w:t>/粒径</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3B080">
            <w:pPr>
              <w:pStyle w:val="43"/>
              <w:bidi w:val="0"/>
              <w:rPr>
                <w:rFonts w:hint="eastAsia"/>
                <w:b/>
                <w:bCs/>
              </w:rPr>
            </w:pPr>
            <w:r>
              <w:rPr>
                <w:rFonts w:hint="eastAsia"/>
                <w:b/>
                <w:bCs/>
                <w:lang w:val="en-US" w:eastAsia="zh-CN"/>
              </w:rPr>
              <w:t>产能（万</w:t>
            </w:r>
            <w:r>
              <w:rPr>
                <w:b/>
                <w:bCs/>
                <w:lang w:val="en-US" w:eastAsia="zh-CN"/>
              </w:rPr>
              <w:t>t/a）</w:t>
            </w:r>
          </w:p>
        </w:tc>
        <w:tc>
          <w:tcPr>
            <w:tcW w:w="1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79BD">
            <w:pPr>
              <w:pStyle w:val="43"/>
              <w:bidi w:val="0"/>
              <w:rPr>
                <w:rFonts w:hint="eastAsia"/>
                <w:b/>
                <w:bCs/>
              </w:rPr>
            </w:pPr>
            <w:r>
              <w:rPr>
                <w:rFonts w:hint="eastAsia"/>
                <w:b/>
                <w:bCs/>
                <w:lang w:val="en-US" w:eastAsia="zh-CN"/>
              </w:rPr>
              <w:t>备注</w:t>
            </w:r>
          </w:p>
        </w:tc>
      </w:tr>
      <w:tr w14:paraId="4169A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61AF">
            <w:pPr>
              <w:pStyle w:val="43"/>
              <w:bidi w:val="0"/>
              <w:rPr>
                <w:rFonts w:hint="default"/>
              </w:rPr>
            </w:pPr>
            <w:r>
              <w:rPr>
                <w:rFonts w:hint="default"/>
                <w:lang w:val="en-US" w:eastAsia="zh-CN"/>
              </w:rPr>
              <w:t>1</w:t>
            </w:r>
          </w:p>
        </w:tc>
        <w:tc>
          <w:tcPr>
            <w:tcW w:w="9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341DF">
            <w:pPr>
              <w:pStyle w:val="43"/>
              <w:bidi w:val="0"/>
              <w:rPr>
                <w:rFonts w:hint="eastAsia"/>
              </w:rPr>
            </w:pPr>
            <w:r>
              <w:rPr>
                <w:rFonts w:hint="eastAsia"/>
                <w:lang w:val="en-US" w:eastAsia="zh-CN"/>
              </w:rPr>
              <w:t>石子</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C8200">
            <w:pPr>
              <w:pStyle w:val="43"/>
              <w:bidi w:val="0"/>
              <w:rPr>
                <w:rFonts w:hint="default"/>
              </w:rPr>
            </w:pPr>
            <w:r>
              <w:rPr>
                <w:rFonts w:hint="default"/>
                <w:lang w:val="en-US" w:eastAsia="zh-CN"/>
              </w:rPr>
              <w:t>30</w:t>
            </w:r>
            <w:r>
              <w:rPr>
                <w:rFonts w:hint="eastAsia"/>
                <w:lang w:val="en-US" w:eastAsia="zh-CN"/>
              </w:rPr>
              <w:t>—</w:t>
            </w:r>
            <w:r>
              <w:rPr>
                <w:rFonts w:hint="default"/>
                <w:lang w:val="en-US" w:eastAsia="zh-CN"/>
              </w:rPr>
              <w:t>60mm</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277E">
            <w:pPr>
              <w:pStyle w:val="43"/>
              <w:bidi w:val="0"/>
              <w:rPr>
                <w:rFonts w:hint="default"/>
              </w:rPr>
            </w:pPr>
            <w:r>
              <w:rPr>
                <w:rFonts w:hint="default"/>
                <w:lang w:val="en-US" w:eastAsia="zh-CN"/>
              </w:rPr>
              <w:t>14</w:t>
            </w:r>
          </w:p>
        </w:tc>
        <w:tc>
          <w:tcPr>
            <w:tcW w:w="1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BF3D">
            <w:pPr>
              <w:pStyle w:val="43"/>
              <w:bidi w:val="0"/>
              <w:rPr>
                <w:rFonts w:hint="eastAsia"/>
              </w:rPr>
            </w:pPr>
            <w:r>
              <w:rPr>
                <w:rFonts w:hint="eastAsia"/>
                <w:lang w:val="en-US" w:eastAsia="zh-CN"/>
              </w:rPr>
              <w:t>项目电石厂原料</w:t>
            </w:r>
          </w:p>
        </w:tc>
      </w:tr>
      <w:tr w14:paraId="10C4A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FCECD">
            <w:pPr>
              <w:pStyle w:val="43"/>
              <w:bidi w:val="0"/>
              <w:rPr>
                <w:rFonts w:hint="default"/>
              </w:rPr>
            </w:pPr>
            <w:r>
              <w:rPr>
                <w:rFonts w:hint="default"/>
                <w:lang w:val="en-US" w:eastAsia="zh-CN"/>
              </w:rPr>
              <w:t>2</w:t>
            </w:r>
          </w:p>
        </w:tc>
        <w:tc>
          <w:tcPr>
            <w:tcW w:w="9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0AAD">
            <w:pPr>
              <w:pStyle w:val="43"/>
              <w:bidi w:val="0"/>
              <w:rPr>
                <w:rFonts w:hint="eastAsia"/>
              </w:rPr>
            </w:pPr>
            <w:r>
              <w:rPr>
                <w:rFonts w:hint="eastAsia"/>
                <w:lang w:val="en-US" w:eastAsia="zh-CN"/>
              </w:rPr>
              <w:t>碎石、沙子</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45662">
            <w:pPr>
              <w:pStyle w:val="43"/>
              <w:bidi w:val="0"/>
              <w:rPr>
                <w:rFonts w:hint="default"/>
              </w:rPr>
            </w:pPr>
            <w:r>
              <w:rPr>
                <w:rFonts w:hint="default"/>
                <w:lang w:val="en-US" w:eastAsia="zh-CN"/>
              </w:rPr>
              <w:t>30mm</w:t>
            </w:r>
            <w:r>
              <w:rPr>
                <w:lang w:val="en-US" w:eastAsia="zh-CN"/>
              </w:rPr>
              <w:t>以下</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F111">
            <w:pPr>
              <w:pStyle w:val="43"/>
              <w:bidi w:val="0"/>
              <w:rPr>
                <w:rFonts w:hint="default"/>
              </w:rPr>
            </w:pPr>
            <w:r>
              <w:rPr>
                <w:rFonts w:hint="default"/>
                <w:lang w:val="en-US" w:eastAsia="zh-CN"/>
              </w:rPr>
              <w:t>6</w:t>
            </w:r>
          </w:p>
        </w:tc>
        <w:tc>
          <w:tcPr>
            <w:tcW w:w="1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7EAD">
            <w:pPr>
              <w:pStyle w:val="43"/>
              <w:bidi w:val="0"/>
              <w:rPr>
                <w:rFonts w:hint="eastAsia"/>
              </w:rPr>
            </w:pPr>
            <w:r>
              <w:rPr>
                <w:rFonts w:hint="eastAsia"/>
                <w:lang w:val="en-US" w:eastAsia="zh-CN"/>
              </w:rPr>
              <w:t>外售</w:t>
            </w:r>
          </w:p>
        </w:tc>
      </w:tr>
      <w:tr w14:paraId="5962A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9993">
            <w:pPr>
              <w:pStyle w:val="43"/>
              <w:bidi w:val="0"/>
              <w:rPr>
                <w:rFonts w:hint="eastAsia"/>
                <w:b/>
                <w:bCs/>
              </w:rPr>
            </w:pPr>
            <w:r>
              <w:rPr>
                <w:rFonts w:hint="eastAsia"/>
                <w:b/>
                <w:bCs/>
                <w:lang w:val="en-US" w:eastAsia="zh-CN"/>
              </w:rPr>
              <w:t>合计</w:t>
            </w:r>
          </w:p>
        </w:tc>
        <w:tc>
          <w:tcPr>
            <w:tcW w:w="9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C8B6">
            <w:pPr>
              <w:pStyle w:val="43"/>
              <w:bidi w:val="0"/>
              <w:rPr>
                <w:rFonts w:hint="default"/>
                <w:b/>
                <w:bCs/>
              </w:rPr>
            </w:pPr>
            <w:r>
              <w:rPr>
                <w:rFonts w:hint="default"/>
                <w:b/>
                <w:bCs/>
                <w:lang w:val="en-US" w:eastAsia="zh-CN"/>
              </w:rPr>
              <w:t>/</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CAD59">
            <w:pPr>
              <w:pStyle w:val="43"/>
              <w:bidi w:val="0"/>
              <w:rPr>
                <w:rFonts w:hint="default"/>
                <w:b/>
                <w:bCs/>
              </w:rPr>
            </w:pPr>
            <w:r>
              <w:rPr>
                <w:rFonts w:hint="default"/>
                <w:b/>
                <w:bCs/>
                <w:lang w:val="en-US" w:eastAsia="zh-CN"/>
              </w:rPr>
              <w:t>/</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F5F0A">
            <w:pPr>
              <w:pStyle w:val="43"/>
              <w:bidi w:val="0"/>
              <w:rPr>
                <w:rFonts w:hint="default"/>
                <w:b/>
                <w:bCs/>
              </w:rPr>
            </w:pPr>
            <w:r>
              <w:rPr>
                <w:rFonts w:hint="default"/>
                <w:b/>
                <w:bCs/>
                <w:lang w:val="en-US" w:eastAsia="zh-CN"/>
              </w:rPr>
              <w:t>20</w:t>
            </w:r>
          </w:p>
        </w:tc>
        <w:tc>
          <w:tcPr>
            <w:tcW w:w="1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BBC3">
            <w:pPr>
              <w:pStyle w:val="43"/>
              <w:bidi w:val="0"/>
              <w:rPr>
                <w:rFonts w:hint="eastAsia"/>
                <w:b/>
                <w:bCs/>
              </w:rPr>
            </w:pPr>
          </w:p>
        </w:tc>
      </w:tr>
    </w:tbl>
    <w:p w14:paraId="5EE8300B">
      <w:pPr>
        <w:pStyle w:val="4"/>
        <w:bidi w:val="0"/>
        <w:rPr>
          <w:rFonts w:hint="default"/>
        </w:rPr>
      </w:pPr>
      <w:bookmarkStart w:id="133" w:name="_Toc3237"/>
      <w:r>
        <w:rPr>
          <w:rFonts w:hint="eastAsia"/>
          <w:lang w:val="en-US" w:eastAsia="zh-CN"/>
        </w:rPr>
        <w:t>原项目</w:t>
      </w:r>
      <w:r>
        <w:rPr>
          <w:rFonts w:hint="default"/>
        </w:rPr>
        <w:t>原辅材料消耗量</w:t>
      </w:r>
      <w:bookmarkEnd w:id="132"/>
      <w:bookmarkEnd w:id="133"/>
    </w:p>
    <w:p w14:paraId="25793171">
      <w:pPr>
        <w:pStyle w:val="41"/>
        <w:bidi w:val="0"/>
      </w:pPr>
      <w:r>
        <w:rPr>
          <w:rFonts w:hint="eastAsia"/>
          <w:lang w:val="en-US" w:eastAsia="zh-CN"/>
        </w:rPr>
        <w:t xml:space="preserve">本项目开采使用的主要原材料为炸药及雷管，部分机械设备会使用柴油。本项目不单独设置炸药库，爆破工作均有当地公安部门批准的专业爆破公司实施，生产设备用油均到附近加油站采购后储存于矿区油库内，工业场地不设置机修间。 </w:t>
      </w:r>
    </w:p>
    <w:p w14:paraId="3BE1CC01">
      <w:pPr>
        <w:pStyle w:val="41"/>
        <w:bidi w:val="0"/>
        <w:rPr>
          <w:rFonts w:hint="default"/>
        </w:rPr>
      </w:pPr>
      <w:r>
        <w:rPr>
          <w:rFonts w:hint="eastAsia"/>
          <w:lang w:val="en-US" w:eastAsia="zh-CN"/>
        </w:rPr>
        <w:t>项目主</w:t>
      </w:r>
      <w:r>
        <w:rPr>
          <w:rFonts w:hint="default"/>
          <w:lang w:val="en-US" w:eastAsia="zh-CN"/>
        </w:rPr>
        <w:t>要原辅材料消耗情况见表</w:t>
      </w:r>
      <w:r>
        <w:rPr>
          <w:rFonts w:hint="eastAsia"/>
          <w:lang w:val="en-US" w:eastAsia="zh-CN"/>
        </w:rPr>
        <w:t>2.2-3</w:t>
      </w:r>
      <w:r>
        <w:rPr>
          <w:rFonts w:hint="default"/>
          <w:lang w:val="en-US" w:eastAsia="zh-CN"/>
        </w:rPr>
        <w:t>。</w:t>
      </w:r>
    </w:p>
    <w:p w14:paraId="432D8396">
      <w:pPr>
        <w:pStyle w:val="45"/>
        <w:bidi w:val="0"/>
        <w:rPr>
          <w:rFonts w:hint="default"/>
        </w:rPr>
      </w:pPr>
      <w:r>
        <w:rPr>
          <w:rFonts w:hint="default"/>
        </w:rPr>
        <w:t>表</w:t>
      </w:r>
      <w:r>
        <w:rPr>
          <w:rFonts w:hint="eastAsia"/>
          <w:lang w:val="en-US" w:eastAsia="zh-CN"/>
        </w:rPr>
        <w:t>2.2-3</w:t>
      </w:r>
      <w:r>
        <w:rPr>
          <w:rFonts w:hint="default"/>
        </w:rPr>
        <w:t xml:space="preserve"> 主要原辅材料消耗一览表</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2198"/>
        <w:gridCol w:w="4872"/>
      </w:tblGrid>
      <w:tr w14:paraId="5C24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pct"/>
            <w:tcBorders>
              <w:tl2br w:val="nil"/>
              <w:tr2bl w:val="nil"/>
            </w:tcBorders>
            <w:noWrap/>
            <w:vAlign w:val="center"/>
          </w:tcPr>
          <w:p w14:paraId="2FD5D4CB">
            <w:pPr>
              <w:pStyle w:val="43"/>
              <w:bidi w:val="0"/>
              <w:rPr>
                <w:rFonts w:hint="default"/>
                <w:b/>
                <w:bCs/>
              </w:rPr>
            </w:pPr>
            <w:r>
              <w:rPr>
                <w:rFonts w:hint="default"/>
                <w:b/>
                <w:bCs/>
              </w:rPr>
              <w:t>名称</w:t>
            </w:r>
          </w:p>
        </w:tc>
        <w:tc>
          <w:tcPr>
            <w:tcW w:w="1290" w:type="pct"/>
            <w:tcBorders>
              <w:tl2br w:val="nil"/>
              <w:tr2bl w:val="nil"/>
            </w:tcBorders>
            <w:noWrap/>
            <w:vAlign w:val="center"/>
          </w:tcPr>
          <w:p w14:paraId="247420D4">
            <w:pPr>
              <w:pStyle w:val="43"/>
              <w:bidi w:val="0"/>
              <w:rPr>
                <w:rFonts w:hint="eastAsia"/>
                <w:b/>
                <w:bCs/>
                <w:lang w:val="en-US" w:eastAsia="zh-CN"/>
              </w:rPr>
            </w:pPr>
            <w:r>
              <w:rPr>
                <w:rFonts w:hint="eastAsia"/>
                <w:b/>
                <w:bCs/>
                <w:lang w:val="en-US" w:eastAsia="zh-CN"/>
              </w:rPr>
              <w:t>消耗量</w:t>
            </w:r>
          </w:p>
        </w:tc>
        <w:tc>
          <w:tcPr>
            <w:tcW w:w="2860" w:type="pct"/>
            <w:tcBorders>
              <w:tl2br w:val="nil"/>
              <w:tr2bl w:val="nil"/>
            </w:tcBorders>
            <w:noWrap/>
            <w:vAlign w:val="center"/>
          </w:tcPr>
          <w:p w14:paraId="4A568690">
            <w:pPr>
              <w:pStyle w:val="43"/>
              <w:bidi w:val="0"/>
              <w:rPr>
                <w:rFonts w:hint="default"/>
                <w:b/>
                <w:bCs/>
              </w:rPr>
            </w:pPr>
            <w:r>
              <w:rPr>
                <w:rFonts w:hint="default"/>
                <w:b/>
                <w:bCs/>
              </w:rPr>
              <w:t>备注</w:t>
            </w:r>
          </w:p>
        </w:tc>
      </w:tr>
      <w:tr w14:paraId="23BB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pct"/>
            <w:tcBorders>
              <w:tl2br w:val="nil"/>
              <w:tr2bl w:val="nil"/>
            </w:tcBorders>
            <w:noWrap/>
            <w:vAlign w:val="center"/>
          </w:tcPr>
          <w:p w14:paraId="27F6CF52">
            <w:pPr>
              <w:pStyle w:val="43"/>
              <w:bidi w:val="0"/>
              <w:rPr>
                <w:rFonts w:hint="eastAsia"/>
                <w:lang w:val="en-US" w:eastAsia="zh-CN"/>
              </w:rPr>
            </w:pPr>
            <w:r>
              <w:rPr>
                <w:rFonts w:hint="eastAsia"/>
                <w:lang w:val="en-US" w:eastAsia="zh-CN"/>
              </w:rPr>
              <w:t>炸药</w:t>
            </w:r>
          </w:p>
        </w:tc>
        <w:tc>
          <w:tcPr>
            <w:tcW w:w="1290" w:type="pct"/>
            <w:tcBorders>
              <w:tl2br w:val="nil"/>
              <w:tr2bl w:val="nil"/>
            </w:tcBorders>
            <w:noWrap/>
            <w:vAlign w:val="center"/>
          </w:tcPr>
          <w:p w14:paraId="7D539BC1">
            <w:pPr>
              <w:pStyle w:val="43"/>
              <w:bidi w:val="0"/>
              <w:rPr>
                <w:rFonts w:hint="default"/>
                <w:lang w:val="en-US" w:eastAsia="zh-CN"/>
              </w:rPr>
            </w:pPr>
            <w:r>
              <w:rPr>
                <w:rFonts w:hint="eastAsia"/>
                <w:lang w:val="en-US" w:eastAsia="zh-CN"/>
              </w:rPr>
              <w:t>60吨</w:t>
            </w:r>
          </w:p>
        </w:tc>
        <w:tc>
          <w:tcPr>
            <w:tcW w:w="2860" w:type="pct"/>
            <w:vMerge w:val="restart"/>
            <w:tcBorders>
              <w:tl2br w:val="nil"/>
              <w:tr2bl w:val="nil"/>
            </w:tcBorders>
            <w:noWrap/>
            <w:vAlign w:val="center"/>
          </w:tcPr>
          <w:p w14:paraId="7BA4E06B">
            <w:pPr>
              <w:pStyle w:val="43"/>
              <w:bidi w:val="0"/>
              <w:rPr>
                <w:rFonts w:hint="default"/>
              </w:rPr>
            </w:pPr>
            <w:r>
              <w:t>由民爆公司提供，爆破工作委托民爆公司负责，每次所用炸药和爆破器材由民爆公司统一运输到现场，每次爆破完毕后所剩炸药及爆破器材由民爆队运回管理，矿区范围不设炸药库。</w:t>
            </w:r>
          </w:p>
        </w:tc>
      </w:tr>
      <w:tr w14:paraId="5871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pct"/>
            <w:tcBorders>
              <w:tl2br w:val="nil"/>
              <w:tr2bl w:val="nil"/>
            </w:tcBorders>
            <w:noWrap/>
            <w:vAlign w:val="center"/>
          </w:tcPr>
          <w:p w14:paraId="737883B3">
            <w:pPr>
              <w:pStyle w:val="43"/>
              <w:bidi w:val="0"/>
              <w:rPr>
                <w:rFonts w:hint="eastAsia"/>
                <w:lang w:val="en-US" w:eastAsia="zh-CN"/>
              </w:rPr>
            </w:pPr>
            <w:r>
              <w:rPr>
                <w:rFonts w:hint="eastAsia"/>
                <w:lang w:val="en-US" w:eastAsia="zh-CN"/>
              </w:rPr>
              <w:t>雷管</w:t>
            </w:r>
          </w:p>
        </w:tc>
        <w:tc>
          <w:tcPr>
            <w:tcW w:w="1290" w:type="pct"/>
            <w:tcBorders>
              <w:tl2br w:val="nil"/>
              <w:tr2bl w:val="nil"/>
            </w:tcBorders>
            <w:noWrap/>
            <w:vAlign w:val="center"/>
          </w:tcPr>
          <w:p w14:paraId="75FAABC8">
            <w:pPr>
              <w:pStyle w:val="43"/>
              <w:bidi w:val="0"/>
              <w:rPr>
                <w:rFonts w:hint="default"/>
                <w:lang w:val="en-US" w:eastAsia="zh-CN"/>
              </w:rPr>
            </w:pPr>
            <w:r>
              <w:rPr>
                <w:rFonts w:hint="eastAsia"/>
                <w:lang w:val="en-US" w:eastAsia="zh-CN"/>
              </w:rPr>
              <w:t>3000发</w:t>
            </w:r>
          </w:p>
        </w:tc>
        <w:tc>
          <w:tcPr>
            <w:tcW w:w="2860" w:type="pct"/>
            <w:vMerge w:val="continue"/>
            <w:tcBorders>
              <w:tl2br w:val="nil"/>
              <w:tr2bl w:val="nil"/>
            </w:tcBorders>
            <w:noWrap/>
            <w:vAlign w:val="center"/>
          </w:tcPr>
          <w:p w14:paraId="467FC597">
            <w:pPr>
              <w:pStyle w:val="43"/>
              <w:bidi w:val="0"/>
              <w:rPr>
                <w:rFonts w:hint="default"/>
              </w:rPr>
            </w:pPr>
          </w:p>
        </w:tc>
      </w:tr>
      <w:tr w14:paraId="21B8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pct"/>
            <w:tcBorders>
              <w:tl2br w:val="nil"/>
              <w:tr2bl w:val="nil"/>
            </w:tcBorders>
            <w:noWrap/>
            <w:vAlign w:val="center"/>
          </w:tcPr>
          <w:p w14:paraId="477F1562">
            <w:pPr>
              <w:pStyle w:val="43"/>
              <w:bidi w:val="0"/>
              <w:rPr>
                <w:rFonts w:hint="default"/>
              </w:rPr>
            </w:pPr>
            <w:r>
              <w:rPr>
                <w:rFonts w:hint="default"/>
              </w:rPr>
              <w:t>柴油</w:t>
            </w:r>
          </w:p>
        </w:tc>
        <w:tc>
          <w:tcPr>
            <w:tcW w:w="1290" w:type="pct"/>
            <w:tcBorders>
              <w:tl2br w:val="nil"/>
              <w:tr2bl w:val="nil"/>
            </w:tcBorders>
            <w:noWrap/>
            <w:vAlign w:val="center"/>
          </w:tcPr>
          <w:p w14:paraId="58880BF5">
            <w:pPr>
              <w:pStyle w:val="43"/>
              <w:bidi w:val="0"/>
              <w:rPr>
                <w:rFonts w:hint="default"/>
                <w:lang w:val="en-US" w:eastAsia="zh-CN"/>
              </w:rPr>
            </w:pPr>
            <w:r>
              <w:rPr>
                <w:rFonts w:hint="eastAsia"/>
                <w:lang w:val="en-US" w:eastAsia="zh-CN"/>
              </w:rPr>
              <w:t>240吨</w:t>
            </w:r>
          </w:p>
        </w:tc>
        <w:tc>
          <w:tcPr>
            <w:tcW w:w="2860" w:type="pct"/>
            <w:tcBorders>
              <w:tl2br w:val="nil"/>
              <w:tr2bl w:val="nil"/>
            </w:tcBorders>
            <w:noWrap/>
            <w:vAlign w:val="center"/>
          </w:tcPr>
          <w:p w14:paraId="04F86AB6">
            <w:pPr>
              <w:pStyle w:val="43"/>
              <w:bidi w:val="0"/>
              <w:rPr>
                <w:rFonts w:hint="default"/>
                <w:lang w:val="en-US" w:eastAsia="zh-CN"/>
              </w:rPr>
            </w:pPr>
            <w:r>
              <w:rPr>
                <w:rFonts w:hint="eastAsia"/>
                <w:lang w:val="en-US" w:eastAsia="zh-CN"/>
              </w:rPr>
              <w:t>砚山县购买，场区内不设柴油库。</w:t>
            </w:r>
          </w:p>
        </w:tc>
      </w:tr>
      <w:tr w14:paraId="4DAB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9" w:type="pct"/>
            <w:tcBorders>
              <w:tl2br w:val="nil"/>
              <w:tr2bl w:val="nil"/>
            </w:tcBorders>
            <w:noWrap/>
            <w:vAlign w:val="center"/>
          </w:tcPr>
          <w:p w14:paraId="7B3DCA29">
            <w:pPr>
              <w:pStyle w:val="43"/>
              <w:bidi w:val="0"/>
              <w:rPr>
                <w:rFonts w:hint="eastAsia"/>
                <w:lang w:val="en-US" w:eastAsia="zh-CN"/>
              </w:rPr>
            </w:pPr>
            <w:bookmarkStart w:id="134" w:name="_Toc5695"/>
            <w:r>
              <w:rPr>
                <w:rFonts w:hint="eastAsia"/>
                <w:lang w:val="en-US" w:eastAsia="zh-CN"/>
              </w:rPr>
              <w:t>水</w:t>
            </w:r>
          </w:p>
        </w:tc>
        <w:tc>
          <w:tcPr>
            <w:tcW w:w="1290" w:type="pct"/>
            <w:tcBorders>
              <w:tl2br w:val="nil"/>
              <w:tr2bl w:val="nil"/>
            </w:tcBorders>
            <w:noWrap/>
            <w:vAlign w:val="center"/>
          </w:tcPr>
          <w:p w14:paraId="3614AC3C">
            <w:pPr>
              <w:pStyle w:val="43"/>
              <w:bidi w:val="0"/>
              <w:rPr>
                <w:rFonts w:hint="default"/>
                <w:lang w:val="en-US" w:eastAsia="zh-CN"/>
              </w:rPr>
            </w:pPr>
            <w:r>
              <w:rPr>
                <w:rFonts w:hint="eastAsia"/>
                <w:lang w:val="en-US" w:eastAsia="zh-CN"/>
              </w:rPr>
              <w:t>600m</w:t>
            </w:r>
            <w:r>
              <w:rPr>
                <w:rFonts w:hint="eastAsia"/>
                <w:vertAlign w:val="superscript"/>
                <w:lang w:val="en-US" w:eastAsia="zh-CN"/>
              </w:rPr>
              <w:t>3</w:t>
            </w:r>
            <w:r>
              <w:rPr>
                <w:rFonts w:hint="eastAsia"/>
                <w:lang w:val="en-US" w:eastAsia="zh-CN"/>
              </w:rPr>
              <w:t>/a</w:t>
            </w:r>
          </w:p>
        </w:tc>
        <w:tc>
          <w:tcPr>
            <w:tcW w:w="2860" w:type="pct"/>
            <w:tcBorders>
              <w:tl2br w:val="nil"/>
              <w:tr2bl w:val="nil"/>
            </w:tcBorders>
            <w:noWrap/>
            <w:vAlign w:val="center"/>
          </w:tcPr>
          <w:p w14:paraId="4E6F5337">
            <w:pPr>
              <w:pStyle w:val="43"/>
              <w:bidi w:val="0"/>
              <w:rPr>
                <w:rFonts w:hint="eastAsia"/>
                <w:lang w:val="en-US" w:eastAsia="zh-CN"/>
              </w:rPr>
            </w:pPr>
            <w:r>
              <w:t>项目生产用水和生活用水来自</w:t>
            </w:r>
            <w:r>
              <w:rPr>
                <w:rFonts w:hint="eastAsia"/>
              </w:rPr>
              <w:t>于云南普阳煤化工有限责任公司电石厂（</w:t>
            </w:r>
            <w:r>
              <w:t>已建供水管网</w:t>
            </w:r>
            <w:r>
              <w:rPr>
                <w:rFonts w:hint="eastAsia"/>
              </w:rPr>
              <w:t>），</w:t>
            </w:r>
            <w:r>
              <w:t>通过铺设管线接入项目</w:t>
            </w:r>
            <w:r>
              <w:rPr>
                <w:rFonts w:hint="eastAsia"/>
              </w:rPr>
              <w:t>场区，提供给项目生产及生活使用。</w:t>
            </w:r>
          </w:p>
        </w:tc>
      </w:tr>
    </w:tbl>
    <w:p w14:paraId="6CC764B8">
      <w:pPr>
        <w:pStyle w:val="4"/>
        <w:bidi w:val="0"/>
        <w:rPr>
          <w:rFonts w:hint="default"/>
        </w:rPr>
      </w:pPr>
      <w:bookmarkStart w:id="135" w:name="_Toc3002"/>
      <w:r>
        <w:rPr>
          <w:rFonts w:hint="eastAsia"/>
          <w:lang w:val="en-US" w:eastAsia="zh-CN"/>
        </w:rPr>
        <w:t>原项目</w:t>
      </w:r>
      <w:r>
        <w:rPr>
          <w:rFonts w:hint="default"/>
        </w:rPr>
        <w:t>主要设备</w:t>
      </w:r>
      <w:bookmarkEnd w:id="134"/>
      <w:bookmarkEnd w:id="135"/>
    </w:p>
    <w:p w14:paraId="1AD25446">
      <w:pPr>
        <w:pStyle w:val="41"/>
        <w:bidi w:val="0"/>
        <w:rPr>
          <w:rFonts w:hint="default"/>
          <w:lang w:val="en-US" w:eastAsia="zh-CN"/>
        </w:rPr>
      </w:pPr>
      <w:r>
        <w:rPr>
          <w:rFonts w:hint="eastAsia"/>
          <w:lang w:val="en-US" w:eastAsia="zh-CN"/>
        </w:rPr>
        <w:t>原项目开采所需设备见表2.2-4。</w:t>
      </w:r>
    </w:p>
    <w:p w14:paraId="6993847E">
      <w:pPr>
        <w:pStyle w:val="45"/>
        <w:bidi w:val="0"/>
        <w:rPr>
          <w:rFonts w:hint="default"/>
        </w:rPr>
      </w:pPr>
      <w:r>
        <w:rPr>
          <w:rFonts w:hint="default"/>
        </w:rPr>
        <w:t>表</w:t>
      </w:r>
      <w:r>
        <w:rPr>
          <w:rFonts w:hint="eastAsia"/>
          <w:lang w:val="en-US" w:eastAsia="zh-CN"/>
        </w:rPr>
        <w:t>2.2-4</w:t>
      </w:r>
      <w:r>
        <w:rPr>
          <w:rFonts w:hint="default"/>
        </w:rPr>
        <w:t xml:space="preserve"> 主要设备一览表</w:t>
      </w:r>
    </w:p>
    <w:tbl>
      <w:tblPr>
        <w:tblStyle w:val="54"/>
        <w:tblW w:w="50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9"/>
        <w:gridCol w:w="1840"/>
        <w:gridCol w:w="937"/>
        <w:gridCol w:w="1227"/>
        <w:gridCol w:w="2404"/>
        <w:gridCol w:w="1164"/>
      </w:tblGrid>
      <w:tr w14:paraId="3D34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613BBA5D">
            <w:pPr>
              <w:pStyle w:val="43"/>
              <w:bidi w:val="0"/>
              <w:jc w:val="center"/>
              <w:rPr>
                <w:b/>
                <w:bCs/>
              </w:rPr>
            </w:pPr>
            <w:r>
              <w:rPr>
                <w:b/>
                <w:bCs/>
              </w:rPr>
              <w:t>序号</w:t>
            </w:r>
          </w:p>
        </w:tc>
        <w:tc>
          <w:tcPr>
            <w:tcW w:w="1092" w:type="pct"/>
            <w:vAlign w:val="center"/>
          </w:tcPr>
          <w:p w14:paraId="02502FA5">
            <w:pPr>
              <w:pStyle w:val="43"/>
              <w:bidi w:val="0"/>
              <w:jc w:val="center"/>
              <w:rPr>
                <w:b/>
                <w:bCs/>
              </w:rPr>
            </w:pPr>
            <w:r>
              <w:rPr>
                <w:b/>
                <w:bCs/>
              </w:rPr>
              <w:t>名称</w:t>
            </w:r>
          </w:p>
        </w:tc>
        <w:tc>
          <w:tcPr>
            <w:tcW w:w="556" w:type="pct"/>
            <w:vAlign w:val="center"/>
          </w:tcPr>
          <w:p w14:paraId="73F9CF06">
            <w:pPr>
              <w:pStyle w:val="43"/>
              <w:bidi w:val="0"/>
              <w:jc w:val="center"/>
              <w:rPr>
                <w:b/>
                <w:bCs/>
              </w:rPr>
            </w:pPr>
            <w:r>
              <w:rPr>
                <w:b/>
                <w:bCs/>
              </w:rPr>
              <w:t>数量</w:t>
            </w:r>
          </w:p>
        </w:tc>
        <w:tc>
          <w:tcPr>
            <w:tcW w:w="728" w:type="pct"/>
            <w:vAlign w:val="center"/>
          </w:tcPr>
          <w:p w14:paraId="76527B8C">
            <w:pPr>
              <w:pStyle w:val="43"/>
              <w:bidi w:val="0"/>
              <w:jc w:val="center"/>
              <w:rPr>
                <w:b/>
                <w:bCs/>
              </w:rPr>
            </w:pPr>
            <w:r>
              <w:rPr>
                <w:b/>
                <w:bCs/>
              </w:rPr>
              <w:t>单位</w:t>
            </w:r>
          </w:p>
        </w:tc>
        <w:tc>
          <w:tcPr>
            <w:tcW w:w="1427" w:type="pct"/>
            <w:vAlign w:val="center"/>
          </w:tcPr>
          <w:p w14:paraId="7FF928E2">
            <w:pPr>
              <w:pStyle w:val="43"/>
              <w:bidi w:val="0"/>
              <w:jc w:val="center"/>
              <w:rPr>
                <w:b/>
                <w:bCs/>
              </w:rPr>
            </w:pPr>
            <w:r>
              <w:rPr>
                <w:b/>
                <w:bCs/>
              </w:rPr>
              <w:t>型号</w:t>
            </w:r>
          </w:p>
        </w:tc>
        <w:tc>
          <w:tcPr>
            <w:tcW w:w="691" w:type="pct"/>
            <w:vAlign w:val="center"/>
          </w:tcPr>
          <w:p w14:paraId="0BE287C8">
            <w:pPr>
              <w:pStyle w:val="43"/>
              <w:bidi w:val="0"/>
              <w:jc w:val="center"/>
              <w:rPr>
                <w:b/>
                <w:bCs/>
              </w:rPr>
            </w:pPr>
            <w:r>
              <w:rPr>
                <w:b/>
                <w:bCs/>
              </w:rPr>
              <w:t>备注</w:t>
            </w:r>
          </w:p>
        </w:tc>
      </w:tr>
      <w:tr w14:paraId="7C16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4350C0BC">
            <w:pPr>
              <w:pStyle w:val="43"/>
              <w:bidi w:val="0"/>
              <w:jc w:val="center"/>
            </w:pPr>
            <w:r>
              <w:t>1</w:t>
            </w:r>
          </w:p>
        </w:tc>
        <w:tc>
          <w:tcPr>
            <w:tcW w:w="1092" w:type="pct"/>
            <w:vAlign w:val="center"/>
          </w:tcPr>
          <w:p w14:paraId="5D37262A">
            <w:pPr>
              <w:pStyle w:val="43"/>
              <w:bidi w:val="0"/>
              <w:jc w:val="center"/>
            </w:pPr>
            <w:r>
              <w:t>颚式破碎机</w:t>
            </w:r>
          </w:p>
        </w:tc>
        <w:tc>
          <w:tcPr>
            <w:tcW w:w="556" w:type="pct"/>
            <w:vAlign w:val="center"/>
          </w:tcPr>
          <w:p w14:paraId="1E37D82B">
            <w:pPr>
              <w:pStyle w:val="43"/>
              <w:bidi w:val="0"/>
              <w:jc w:val="center"/>
            </w:pPr>
            <w:r>
              <w:t>2</w:t>
            </w:r>
          </w:p>
        </w:tc>
        <w:tc>
          <w:tcPr>
            <w:tcW w:w="728" w:type="pct"/>
            <w:vAlign w:val="center"/>
          </w:tcPr>
          <w:p w14:paraId="5BA274EE">
            <w:pPr>
              <w:pStyle w:val="43"/>
              <w:bidi w:val="0"/>
              <w:jc w:val="center"/>
            </w:pPr>
            <w:r>
              <w:t>台</w:t>
            </w:r>
          </w:p>
        </w:tc>
        <w:tc>
          <w:tcPr>
            <w:tcW w:w="1427" w:type="pct"/>
            <w:vAlign w:val="center"/>
          </w:tcPr>
          <w:p w14:paraId="2CA7C39C">
            <w:pPr>
              <w:pStyle w:val="43"/>
              <w:bidi w:val="0"/>
              <w:jc w:val="center"/>
            </w:pPr>
            <w:r>
              <w:t>PE800×1060型</w:t>
            </w:r>
          </w:p>
        </w:tc>
        <w:tc>
          <w:tcPr>
            <w:tcW w:w="691" w:type="pct"/>
            <w:vMerge w:val="restart"/>
            <w:vAlign w:val="center"/>
          </w:tcPr>
          <w:p w14:paraId="1C06C676">
            <w:pPr>
              <w:pStyle w:val="43"/>
              <w:bidi w:val="0"/>
              <w:jc w:val="center"/>
            </w:pPr>
            <w:r>
              <w:t>运用于矿山开采及产品生产</w:t>
            </w:r>
          </w:p>
        </w:tc>
      </w:tr>
      <w:tr w14:paraId="66D1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3D2F3B14">
            <w:pPr>
              <w:pStyle w:val="43"/>
              <w:bidi w:val="0"/>
              <w:jc w:val="center"/>
            </w:pPr>
            <w:r>
              <w:t>2</w:t>
            </w:r>
          </w:p>
        </w:tc>
        <w:tc>
          <w:tcPr>
            <w:tcW w:w="1092" w:type="pct"/>
            <w:vAlign w:val="center"/>
          </w:tcPr>
          <w:p w14:paraId="1EBDAE6A">
            <w:pPr>
              <w:pStyle w:val="43"/>
              <w:bidi w:val="0"/>
              <w:jc w:val="center"/>
            </w:pPr>
            <w:r>
              <w:t>返击破</w:t>
            </w:r>
          </w:p>
        </w:tc>
        <w:tc>
          <w:tcPr>
            <w:tcW w:w="556" w:type="pct"/>
            <w:vAlign w:val="center"/>
          </w:tcPr>
          <w:p w14:paraId="49A78ECB">
            <w:pPr>
              <w:pStyle w:val="43"/>
              <w:bidi w:val="0"/>
              <w:jc w:val="center"/>
            </w:pPr>
            <w:r>
              <w:t>2</w:t>
            </w:r>
          </w:p>
        </w:tc>
        <w:tc>
          <w:tcPr>
            <w:tcW w:w="728" w:type="pct"/>
            <w:vAlign w:val="center"/>
          </w:tcPr>
          <w:p w14:paraId="4811A7F6">
            <w:pPr>
              <w:pStyle w:val="43"/>
              <w:bidi w:val="0"/>
              <w:jc w:val="center"/>
            </w:pPr>
            <w:r>
              <w:t>台</w:t>
            </w:r>
          </w:p>
        </w:tc>
        <w:tc>
          <w:tcPr>
            <w:tcW w:w="1427" w:type="pct"/>
            <w:vAlign w:val="center"/>
          </w:tcPr>
          <w:p w14:paraId="50CC4219">
            <w:pPr>
              <w:pStyle w:val="43"/>
              <w:bidi w:val="0"/>
              <w:jc w:val="center"/>
            </w:pPr>
            <w:r>
              <w:t>PF-1315</w:t>
            </w:r>
          </w:p>
        </w:tc>
        <w:tc>
          <w:tcPr>
            <w:tcW w:w="691" w:type="pct"/>
            <w:vMerge w:val="continue"/>
            <w:vAlign w:val="center"/>
          </w:tcPr>
          <w:p w14:paraId="2AA4D92A">
            <w:pPr>
              <w:pStyle w:val="43"/>
              <w:bidi w:val="0"/>
              <w:jc w:val="center"/>
            </w:pPr>
          </w:p>
        </w:tc>
      </w:tr>
      <w:tr w14:paraId="78A2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0886EBF4">
            <w:pPr>
              <w:pStyle w:val="43"/>
              <w:bidi w:val="0"/>
              <w:jc w:val="center"/>
            </w:pPr>
            <w:r>
              <w:t>3</w:t>
            </w:r>
          </w:p>
        </w:tc>
        <w:tc>
          <w:tcPr>
            <w:tcW w:w="1092" w:type="pct"/>
            <w:vAlign w:val="center"/>
          </w:tcPr>
          <w:p w14:paraId="5C57892B">
            <w:pPr>
              <w:pStyle w:val="43"/>
              <w:bidi w:val="0"/>
              <w:jc w:val="center"/>
            </w:pPr>
            <w:r>
              <w:t>锤破</w:t>
            </w:r>
          </w:p>
        </w:tc>
        <w:tc>
          <w:tcPr>
            <w:tcW w:w="556" w:type="pct"/>
            <w:vAlign w:val="center"/>
          </w:tcPr>
          <w:p w14:paraId="0B89E3EF">
            <w:pPr>
              <w:pStyle w:val="43"/>
              <w:bidi w:val="0"/>
              <w:jc w:val="center"/>
            </w:pPr>
            <w:r>
              <w:t>1</w:t>
            </w:r>
          </w:p>
        </w:tc>
        <w:tc>
          <w:tcPr>
            <w:tcW w:w="728" w:type="pct"/>
            <w:vAlign w:val="center"/>
          </w:tcPr>
          <w:p w14:paraId="399CA386">
            <w:pPr>
              <w:pStyle w:val="43"/>
              <w:bidi w:val="0"/>
              <w:jc w:val="center"/>
            </w:pPr>
            <w:r>
              <w:t>台</w:t>
            </w:r>
          </w:p>
        </w:tc>
        <w:tc>
          <w:tcPr>
            <w:tcW w:w="1427" w:type="pct"/>
            <w:vAlign w:val="center"/>
          </w:tcPr>
          <w:p w14:paraId="52E4985F">
            <w:pPr>
              <w:pStyle w:val="43"/>
              <w:bidi w:val="0"/>
              <w:jc w:val="center"/>
            </w:pPr>
            <w:r>
              <w:t>ZG-1214</w:t>
            </w:r>
          </w:p>
        </w:tc>
        <w:tc>
          <w:tcPr>
            <w:tcW w:w="691" w:type="pct"/>
            <w:vMerge w:val="continue"/>
            <w:vAlign w:val="center"/>
          </w:tcPr>
          <w:p w14:paraId="5FC7BA76">
            <w:pPr>
              <w:pStyle w:val="43"/>
              <w:bidi w:val="0"/>
              <w:jc w:val="center"/>
            </w:pPr>
          </w:p>
        </w:tc>
      </w:tr>
      <w:tr w14:paraId="3C4E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57CA870F">
            <w:pPr>
              <w:pStyle w:val="43"/>
              <w:bidi w:val="0"/>
              <w:jc w:val="center"/>
            </w:pPr>
            <w:r>
              <w:t>4</w:t>
            </w:r>
          </w:p>
        </w:tc>
        <w:tc>
          <w:tcPr>
            <w:tcW w:w="1092" w:type="pct"/>
            <w:vAlign w:val="center"/>
          </w:tcPr>
          <w:p w14:paraId="390C1091">
            <w:pPr>
              <w:pStyle w:val="43"/>
              <w:bidi w:val="0"/>
              <w:jc w:val="center"/>
            </w:pPr>
            <w:r>
              <w:t>砂机</w:t>
            </w:r>
          </w:p>
        </w:tc>
        <w:tc>
          <w:tcPr>
            <w:tcW w:w="556" w:type="pct"/>
            <w:vAlign w:val="center"/>
          </w:tcPr>
          <w:p w14:paraId="50FECC66">
            <w:pPr>
              <w:pStyle w:val="43"/>
              <w:bidi w:val="0"/>
              <w:jc w:val="center"/>
            </w:pPr>
            <w:r>
              <w:t>4</w:t>
            </w:r>
          </w:p>
        </w:tc>
        <w:tc>
          <w:tcPr>
            <w:tcW w:w="728" w:type="pct"/>
            <w:vAlign w:val="center"/>
          </w:tcPr>
          <w:p w14:paraId="3F929D57">
            <w:pPr>
              <w:pStyle w:val="43"/>
              <w:bidi w:val="0"/>
              <w:jc w:val="center"/>
            </w:pPr>
            <w:r>
              <w:t>台</w:t>
            </w:r>
          </w:p>
        </w:tc>
        <w:tc>
          <w:tcPr>
            <w:tcW w:w="1427" w:type="pct"/>
            <w:vAlign w:val="center"/>
          </w:tcPr>
          <w:p w14:paraId="2ACE820A">
            <w:pPr>
              <w:pStyle w:val="43"/>
              <w:bidi w:val="0"/>
              <w:jc w:val="center"/>
            </w:pPr>
            <w:r>
              <w:t>JN5号</w:t>
            </w:r>
          </w:p>
        </w:tc>
        <w:tc>
          <w:tcPr>
            <w:tcW w:w="691" w:type="pct"/>
            <w:vMerge w:val="continue"/>
            <w:vAlign w:val="center"/>
          </w:tcPr>
          <w:p w14:paraId="64C37516">
            <w:pPr>
              <w:pStyle w:val="43"/>
              <w:bidi w:val="0"/>
              <w:jc w:val="center"/>
            </w:pPr>
          </w:p>
        </w:tc>
      </w:tr>
      <w:tr w14:paraId="0544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617FE009">
            <w:pPr>
              <w:pStyle w:val="43"/>
              <w:bidi w:val="0"/>
              <w:jc w:val="center"/>
            </w:pPr>
            <w:r>
              <w:t>5</w:t>
            </w:r>
          </w:p>
        </w:tc>
        <w:tc>
          <w:tcPr>
            <w:tcW w:w="1092" w:type="pct"/>
            <w:vAlign w:val="center"/>
          </w:tcPr>
          <w:p w14:paraId="7F4B984F">
            <w:pPr>
              <w:pStyle w:val="43"/>
              <w:bidi w:val="0"/>
              <w:jc w:val="center"/>
            </w:pPr>
            <w:r>
              <w:rPr>
                <w:rFonts w:hint="eastAsia"/>
                <w:lang w:eastAsia="zh-CN"/>
              </w:rPr>
              <w:t>振动</w:t>
            </w:r>
            <w:r>
              <w:t>分级筛</w:t>
            </w:r>
          </w:p>
        </w:tc>
        <w:tc>
          <w:tcPr>
            <w:tcW w:w="556" w:type="pct"/>
            <w:vAlign w:val="center"/>
          </w:tcPr>
          <w:p w14:paraId="433A94BA">
            <w:pPr>
              <w:pStyle w:val="43"/>
              <w:bidi w:val="0"/>
              <w:jc w:val="center"/>
            </w:pPr>
            <w:r>
              <w:t>5</w:t>
            </w:r>
          </w:p>
        </w:tc>
        <w:tc>
          <w:tcPr>
            <w:tcW w:w="728" w:type="pct"/>
            <w:vAlign w:val="center"/>
          </w:tcPr>
          <w:p w14:paraId="730D998C">
            <w:pPr>
              <w:pStyle w:val="43"/>
              <w:bidi w:val="0"/>
              <w:jc w:val="center"/>
            </w:pPr>
            <w:r>
              <w:t>台</w:t>
            </w:r>
          </w:p>
        </w:tc>
        <w:tc>
          <w:tcPr>
            <w:tcW w:w="1427" w:type="pct"/>
            <w:vAlign w:val="center"/>
          </w:tcPr>
          <w:p w14:paraId="504DFF06">
            <w:pPr>
              <w:pStyle w:val="43"/>
              <w:bidi w:val="0"/>
              <w:jc w:val="center"/>
            </w:pPr>
            <w:r>
              <w:t>2YK2465</w:t>
            </w:r>
          </w:p>
        </w:tc>
        <w:tc>
          <w:tcPr>
            <w:tcW w:w="691" w:type="pct"/>
            <w:vMerge w:val="continue"/>
            <w:vAlign w:val="center"/>
          </w:tcPr>
          <w:p w14:paraId="263E927D">
            <w:pPr>
              <w:pStyle w:val="43"/>
              <w:bidi w:val="0"/>
              <w:jc w:val="center"/>
            </w:pPr>
          </w:p>
        </w:tc>
      </w:tr>
      <w:tr w14:paraId="71C1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4A8C7CE1">
            <w:pPr>
              <w:pStyle w:val="43"/>
              <w:bidi w:val="0"/>
              <w:jc w:val="center"/>
            </w:pPr>
            <w:r>
              <w:t>6</w:t>
            </w:r>
          </w:p>
        </w:tc>
        <w:tc>
          <w:tcPr>
            <w:tcW w:w="1092" w:type="pct"/>
            <w:vAlign w:val="center"/>
          </w:tcPr>
          <w:p w14:paraId="57C1F505">
            <w:pPr>
              <w:pStyle w:val="43"/>
              <w:bidi w:val="0"/>
              <w:jc w:val="center"/>
            </w:pPr>
            <w:r>
              <w:t>潜孔钻机</w:t>
            </w:r>
          </w:p>
        </w:tc>
        <w:tc>
          <w:tcPr>
            <w:tcW w:w="556" w:type="pct"/>
            <w:vAlign w:val="center"/>
          </w:tcPr>
          <w:p w14:paraId="3FA5A0DC">
            <w:pPr>
              <w:pStyle w:val="43"/>
              <w:bidi w:val="0"/>
              <w:jc w:val="center"/>
            </w:pPr>
            <w:r>
              <w:t>2</w:t>
            </w:r>
          </w:p>
        </w:tc>
        <w:tc>
          <w:tcPr>
            <w:tcW w:w="728" w:type="pct"/>
            <w:vAlign w:val="center"/>
          </w:tcPr>
          <w:p w14:paraId="402690BB">
            <w:pPr>
              <w:pStyle w:val="43"/>
              <w:bidi w:val="0"/>
              <w:jc w:val="center"/>
            </w:pPr>
            <w:r>
              <w:t>台</w:t>
            </w:r>
          </w:p>
        </w:tc>
        <w:tc>
          <w:tcPr>
            <w:tcW w:w="1427" w:type="pct"/>
            <w:vAlign w:val="center"/>
          </w:tcPr>
          <w:p w14:paraId="3F94E745">
            <w:pPr>
              <w:pStyle w:val="43"/>
              <w:bidi w:val="0"/>
              <w:jc w:val="center"/>
            </w:pPr>
            <w:r>
              <w:t>KG130-孔径115mm</w:t>
            </w:r>
          </w:p>
        </w:tc>
        <w:tc>
          <w:tcPr>
            <w:tcW w:w="691" w:type="pct"/>
            <w:vMerge w:val="continue"/>
            <w:vAlign w:val="center"/>
          </w:tcPr>
          <w:p w14:paraId="03A17231">
            <w:pPr>
              <w:pStyle w:val="43"/>
              <w:bidi w:val="0"/>
              <w:jc w:val="center"/>
            </w:pPr>
          </w:p>
        </w:tc>
      </w:tr>
      <w:tr w14:paraId="0371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73BD7C89">
            <w:pPr>
              <w:pStyle w:val="43"/>
              <w:bidi w:val="0"/>
              <w:jc w:val="center"/>
            </w:pPr>
            <w:r>
              <w:t>7</w:t>
            </w:r>
          </w:p>
        </w:tc>
        <w:tc>
          <w:tcPr>
            <w:tcW w:w="1092" w:type="pct"/>
            <w:vAlign w:val="center"/>
          </w:tcPr>
          <w:p w14:paraId="35C30754">
            <w:pPr>
              <w:pStyle w:val="43"/>
              <w:bidi w:val="0"/>
              <w:jc w:val="center"/>
            </w:pPr>
            <w:r>
              <w:t>凿岩机</w:t>
            </w:r>
          </w:p>
        </w:tc>
        <w:tc>
          <w:tcPr>
            <w:tcW w:w="556" w:type="pct"/>
            <w:vAlign w:val="center"/>
          </w:tcPr>
          <w:p w14:paraId="0466B74E">
            <w:pPr>
              <w:pStyle w:val="43"/>
              <w:bidi w:val="0"/>
              <w:jc w:val="center"/>
            </w:pPr>
            <w:r>
              <w:t>1</w:t>
            </w:r>
          </w:p>
        </w:tc>
        <w:tc>
          <w:tcPr>
            <w:tcW w:w="728" w:type="pct"/>
            <w:vAlign w:val="center"/>
          </w:tcPr>
          <w:p w14:paraId="71B497A6">
            <w:pPr>
              <w:pStyle w:val="43"/>
              <w:bidi w:val="0"/>
              <w:jc w:val="center"/>
            </w:pPr>
            <w:r>
              <w:t>台</w:t>
            </w:r>
          </w:p>
        </w:tc>
        <w:tc>
          <w:tcPr>
            <w:tcW w:w="1427" w:type="pct"/>
            <w:vAlign w:val="center"/>
          </w:tcPr>
          <w:p w14:paraId="2A451F2A">
            <w:pPr>
              <w:pStyle w:val="43"/>
              <w:bidi w:val="0"/>
              <w:jc w:val="center"/>
            </w:pPr>
            <w:r>
              <w:t>CCM680</w:t>
            </w:r>
          </w:p>
        </w:tc>
        <w:tc>
          <w:tcPr>
            <w:tcW w:w="691" w:type="pct"/>
            <w:vMerge w:val="continue"/>
            <w:vAlign w:val="center"/>
          </w:tcPr>
          <w:p w14:paraId="08AD7D5B">
            <w:pPr>
              <w:pStyle w:val="43"/>
              <w:bidi w:val="0"/>
              <w:jc w:val="center"/>
            </w:pPr>
          </w:p>
        </w:tc>
      </w:tr>
      <w:tr w14:paraId="5635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74CE9077">
            <w:pPr>
              <w:pStyle w:val="43"/>
              <w:bidi w:val="0"/>
              <w:jc w:val="center"/>
            </w:pPr>
            <w:r>
              <w:t>8</w:t>
            </w:r>
          </w:p>
        </w:tc>
        <w:tc>
          <w:tcPr>
            <w:tcW w:w="1092" w:type="pct"/>
            <w:vAlign w:val="center"/>
          </w:tcPr>
          <w:p w14:paraId="63595988">
            <w:pPr>
              <w:pStyle w:val="43"/>
              <w:bidi w:val="0"/>
              <w:jc w:val="center"/>
            </w:pPr>
            <w:r>
              <w:t>皮带机</w:t>
            </w:r>
          </w:p>
        </w:tc>
        <w:tc>
          <w:tcPr>
            <w:tcW w:w="556" w:type="pct"/>
            <w:vAlign w:val="center"/>
          </w:tcPr>
          <w:p w14:paraId="24860858">
            <w:pPr>
              <w:pStyle w:val="43"/>
              <w:bidi w:val="0"/>
              <w:jc w:val="center"/>
            </w:pPr>
            <w:r>
              <w:t>8</w:t>
            </w:r>
          </w:p>
        </w:tc>
        <w:tc>
          <w:tcPr>
            <w:tcW w:w="728" w:type="pct"/>
            <w:vAlign w:val="center"/>
          </w:tcPr>
          <w:p w14:paraId="1C5585B0">
            <w:pPr>
              <w:pStyle w:val="43"/>
              <w:bidi w:val="0"/>
              <w:jc w:val="center"/>
            </w:pPr>
            <w:r>
              <w:t>套</w:t>
            </w:r>
          </w:p>
        </w:tc>
        <w:tc>
          <w:tcPr>
            <w:tcW w:w="1427" w:type="pct"/>
            <w:vAlign w:val="center"/>
          </w:tcPr>
          <w:p w14:paraId="5A9783DD">
            <w:pPr>
              <w:pStyle w:val="43"/>
              <w:bidi w:val="0"/>
              <w:jc w:val="center"/>
            </w:pPr>
            <w:r>
              <w:t>-</w:t>
            </w:r>
          </w:p>
        </w:tc>
        <w:tc>
          <w:tcPr>
            <w:tcW w:w="691" w:type="pct"/>
            <w:vMerge w:val="continue"/>
            <w:vAlign w:val="center"/>
          </w:tcPr>
          <w:p w14:paraId="0DCF9A8E">
            <w:pPr>
              <w:pStyle w:val="43"/>
              <w:bidi w:val="0"/>
              <w:jc w:val="center"/>
            </w:pPr>
          </w:p>
        </w:tc>
      </w:tr>
      <w:tr w14:paraId="641F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22192545">
            <w:pPr>
              <w:pStyle w:val="43"/>
              <w:bidi w:val="0"/>
              <w:jc w:val="center"/>
            </w:pPr>
            <w:r>
              <w:t>9</w:t>
            </w:r>
          </w:p>
        </w:tc>
        <w:tc>
          <w:tcPr>
            <w:tcW w:w="1092" w:type="pct"/>
            <w:vAlign w:val="center"/>
          </w:tcPr>
          <w:p w14:paraId="189B6222">
            <w:pPr>
              <w:pStyle w:val="43"/>
              <w:bidi w:val="0"/>
              <w:jc w:val="center"/>
            </w:pPr>
            <w:r>
              <w:t>空气压缩机</w:t>
            </w:r>
          </w:p>
        </w:tc>
        <w:tc>
          <w:tcPr>
            <w:tcW w:w="556" w:type="pct"/>
            <w:vAlign w:val="center"/>
          </w:tcPr>
          <w:p w14:paraId="1674BC2E">
            <w:pPr>
              <w:pStyle w:val="43"/>
              <w:bidi w:val="0"/>
              <w:jc w:val="center"/>
            </w:pPr>
            <w:r>
              <w:t>2</w:t>
            </w:r>
          </w:p>
        </w:tc>
        <w:tc>
          <w:tcPr>
            <w:tcW w:w="728" w:type="pct"/>
            <w:vAlign w:val="center"/>
          </w:tcPr>
          <w:p w14:paraId="784CA71B">
            <w:pPr>
              <w:pStyle w:val="43"/>
              <w:bidi w:val="0"/>
              <w:jc w:val="center"/>
            </w:pPr>
            <w:r>
              <w:t>台</w:t>
            </w:r>
          </w:p>
        </w:tc>
        <w:tc>
          <w:tcPr>
            <w:tcW w:w="1427" w:type="pct"/>
            <w:vAlign w:val="center"/>
          </w:tcPr>
          <w:p w14:paraId="3F22EE70">
            <w:pPr>
              <w:pStyle w:val="43"/>
              <w:bidi w:val="0"/>
              <w:jc w:val="center"/>
            </w:pPr>
            <w:r>
              <w:t>P900E</w:t>
            </w:r>
          </w:p>
        </w:tc>
        <w:tc>
          <w:tcPr>
            <w:tcW w:w="691" w:type="pct"/>
            <w:vMerge w:val="continue"/>
            <w:vAlign w:val="center"/>
          </w:tcPr>
          <w:p w14:paraId="5C439BF6">
            <w:pPr>
              <w:pStyle w:val="43"/>
              <w:bidi w:val="0"/>
              <w:jc w:val="center"/>
            </w:pPr>
          </w:p>
        </w:tc>
      </w:tr>
      <w:tr w14:paraId="3162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2B133F65">
            <w:pPr>
              <w:pStyle w:val="43"/>
              <w:bidi w:val="0"/>
              <w:jc w:val="center"/>
            </w:pPr>
            <w:r>
              <w:t>10</w:t>
            </w:r>
          </w:p>
        </w:tc>
        <w:tc>
          <w:tcPr>
            <w:tcW w:w="1092" w:type="pct"/>
            <w:vAlign w:val="center"/>
          </w:tcPr>
          <w:p w14:paraId="57CA2A76">
            <w:pPr>
              <w:pStyle w:val="43"/>
              <w:bidi w:val="0"/>
              <w:jc w:val="center"/>
            </w:pPr>
            <w:r>
              <w:t>挖掘机</w:t>
            </w:r>
          </w:p>
        </w:tc>
        <w:tc>
          <w:tcPr>
            <w:tcW w:w="556" w:type="pct"/>
            <w:vAlign w:val="center"/>
          </w:tcPr>
          <w:p w14:paraId="3BED751C">
            <w:pPr>
              <w:pStyle w:val="43"/>
              <w:bidi w:val="0"/>
              <w:jc w:val="center"/>
            </w:pPr>
            <w:r>
              <w:t>3</w:t>
            </w:r>
          </w:p>
        </w:tc>
        <w:tc>
          <w:tcPr>
            <w:tcW w:w="728" w:type="pct"/>
            <w:vAlign w:val="center"/>
          </w:tcPr>
          <w:p w14:paraId="1B11EDE4">
            <w:pPr>
              <w:pStyle w:val="43"/>
              <w:bidi w:val="0"/>
              <w:jc w:val="center"/>
            </w:pPr>
            <w:r>
              <w:t>台</w:t>
            </w:r>
          </w:p>
        </w:tc>
        <w:tc>
          <w:tcPr>
            <w:tcW w:w="1427" w:type="pct"/>
            <w:vAlign w:val="center"/>
          </w:tcPr>
          <w:p w14:paraId="0B34C07C">
            <w:pPr>
              <w:pStyle w:val="43"/>
              <w:bidi w:val="0"/>
              <w:jc w:val="center"/>
            </w:pPr>
            <w:r>
              <w:t>SY245</w:t>
            </w:r>
          </w:p>
        </w:tc>
        <w:tc>
          <w:tcPr>
            <w:tcW w:w="691" w:type="pct"/>
            <w:vMerge w:val="continue"/>
            <w:vAlign w:val="center"/>
          </w:tcPr>
          <w:p w14:paraId="39903814">
            <w:pPr>
              <w:pStyle w:val="43"/>
              <w:bidi w:val="0"/>
              <w:jc w:val="center"/>
            </w:pPr>
          </w:p>
        </w:tc>
      </w:tr>
      <w:tr w14:paraId="67DA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54B87DF5">
            <w:pPr>
              <w:pStyle w:val="43"/>
              <w:bidi w:val="0"/>
              <w:jc w:val="center"/>
            </w:pPr>
            <w:r>
              <w:t>11</w:t>
            </w:r>
          </w:p>
        </w:tc>
        <w:tc>
          <w:tcPr>
            <w:tcW w:w="1092" w:type="pct"/>
            <w:vAlign w:val="center"/>
          </w:tcPr>
          <w:p w14:paraId="5B555735">
            <w:pPr>
              <w:pStyle w:val="43"/>
              <w:bidi w:val="0"/>
              <w:jc w:val="center"/>
            </w:pPr>
            <w:r>
              <w:t>装载机</w:t>
            </w:r>
          </w:p>
        </w:tc>
        <w:tc>
          <w:tcPr>
            <w:tcW w:w="556" w:type="pct"/>
            <w:vAlign w:val="center"/>
          </w:tcPr>
          <w:p w14:paraId="7C6A037B">
            <w:pPr>
              <w:pStyle w:val="43"/>
              <w:bidi w:val="0"/>
              <w:jc w:val="center"/>
            </w:pPr>
            <w:r>
              <w:t>4</w:t>
            </w:r>
          </w:p>
        </w:tc>
        <w:tc>
          <w:tcPr>
            <w:tcW w:w="728" w:type="pct"/>
            <w:vAlign w:val="center"/>
          </w:tcPr>
          <w:p w14:paraId="43FAF8A2">
            <w:pPr>
              <w:pStyle w:val="43"/>
              <w:bidi w:val="0"/>
              <w:jc w:val="center"/>
            </w:pPr>
            <w:r>
              <w:t>台</w:t>
            </w:r>
          </w:p>
        </w:tc>
        <w:tc>
          <w:tcPr>
            <w:tcW w:w="1427" w:type="pct"/>
            <w:vAlign w:val="center"/>
          </w:tcPr>
          <w:p w14:paraId="22E5522C">
            <w:pPr>
              <w:pStyle w:val="43"/>
              <w:bidi w:val="0"/>
              <w:jc w:val="center"/>
            </w:pPr>
            <w:r>
              <w:t>LG956L</w:t>
            </w:r>
          </w:p>
        </w:tc>
        <w:tc>
          <w:tcPr>
            <w:tcW w:w="691" w:type="pct"/>
            <w:vMerge w:val="continue"/>
            <w:vAlign w:val="center"/>
          </w:tcPr>
          <w:p w14:paraId="027369AD">
            <w:pPr>
              <w:pStyle w:val="43"/>
              <w:bidi w:val="0"/>
              <w:jc w:val="center"/>
            </w:pPr>
          </w:p>
        </w:tc>
      </w:tr>
      <w:tr w14:paraId="6D76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4480CB2A">
            <w:pPr>
              <w:pStyle w:val="43"/>
              <w:bidi w:val="0"/>
              <w:jc w:val="center"/>
            </w:pPr>
            <w:r>
              <w:t>12</w:t>
            </w:r>
          </w:p>
        </w:tc>
        <w:tc>
          <w:tcPr>
            <w:tcW w:w="1092" w:type="pct"/>
            <w:vAlign w:val="center"/>
          </w:tcPr>
          <w:p w14:paraId="40471D13">
            <w:pPr>
              <w:pStyle w:val="43"/>
              <w:bidi w:val="0"/>
              <w:jc w:val="center"/>
            </w:pPr>
            <w:r>
              <w:t>自卸汽车</w:t>
            </w:r>
          </w:p>
        </w:tc>
        <w:tc>
          <w:tcPr>
            <w:tcW w:w="556" w:type="pct"/>
            <w:vAlign w:val="center"/>
          </w:tcPr>
          <w:p w14:paraId="11EFDABF">
            <w:pPr>
              <w:pStyle w:val="43"/>
              <w:bidi w:val="0"/>
              <w:jc w:val="center"/>
            </w:pPr>
            <w:r>
              <w:t>8</w:t>
            </w:r>
          </w:p>
        </w:tc>
        <w:tc>
          <w:tcPr>
            <w:tcW w:w="728" w:type="pct"/>
            <w:vAlign w:val="center"/>
          </w:tcPr>
          <w:p w14:paraId="2ABAF3CA">
            <w:pPr>
              <w:pStyle w:val="43"/>
              <w:bidi w:val="0"/>
              <w:jc w:val="center"/>
            </w:pPr>
            <w:r>
              <w:t>台</w:t>
            </w:r>
          </w:p>
        </w:tc>
        <w:tc>
          <w:tcPr>
            <w:tcW w:w="1427" w:type="pct"/>
            <w:vAlign w:val="center"/>
          </w:tcPr>
          <w:p w14:paraId="21399D02">
            <w:pPr>
              <w:pStyle w:val="43"/>
              <w:bidi w:val="0"/>
              <w:jc w:val="center"/>
            </w:pPr>
            <w:r>
              <w:t>-</w:t>
            </w:r>
          </w:p>
        </w:tc>
        <w:tc>
          <w:tcPr>
            <w:tcW w:w="691" w:type="pct"/>
            <w:vMerge w:val="continue"/>
            <w:vAlign w:val="center"/>
          </w:tcPr>
          <w:p w14:paraId="6463D482">
            <w:pPr>
              <w:pStyle w:val="43"/>
              <w:bidi w:val="0"/>
              <w:jc w:val="center"/>
            </w:pPr>
          </w:p>
        </w:tc>
      </w:tr>
      <w:tr w14:paraId="4DC8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4F3D4588">
            <w:pPr>
              <w:pStyle w:val="43"/>
              <w:bidi w:val="0"/>
              <w:jc w:val="center"/>
            </w:pPr>
            <w:r>
              <w:t>13</w:t>
            </w:r>
          </w:p>
        </w:tc>
        <w:tc>
          <w:tcPr>
            <w:tcW w:w="1092" w:type="pct"/>
            <w:vAlign w:val="center"/>
          </w:tcPr>
          <w:p w14:paraId="33262537">
            <w:pPr>
              <w:pStyle w:val="43"/>
              <w:bidi w:val="0"/>
              <w:jc w:val="center"/>
            </w:pPr>
            <w:r>
              <w:t>洒水车</w:t>
            </w:r>
          </w:p>
        </w:tc>
        <w:tc>
          <w:tcPr>
            <w:tcW w:w="556" w:type="pct"/>
            <w:vAlign w:val="center"/>
          </w:tcPr>
          <w:p w14:paraId="00572EB6">
            <w:pPr>
              <w:pStyle w:val="43"/>
              <w:bidi w:val="0"/>
              <w:jc w:val="center"/>
            </w:pPr>
            <w:r>
              <w:t>1</w:t>
            </w:r>
          </w:p>
        </w:tc>
        <w:tc>
          <w:tcPr>
            <w:tcW w:w="728" w:type="pct"/>
            <w:vAlign w:val="center"/>
          </w:tcPr>
          <w:p w14:paraId="068FB3EA">
            <w:pPr>
              <w:pStyle w:val="43"/>
              <w:bidi w:val="0"/>
              <w:jc w:val="center"/>
            </w:pPr>
            <w:r>
              <w:t>台</w:t>
            </w:r>
          </w:p>
        </w:tc>
        <w:tc>
          <w:tcPr>
            <w:tcW w:w="1427" w:type="pct"/>
            <w:vAlign w:val="center"/>
          </w:tcPr>
          <w:p w14:paraId="136DA256">
            <w:pPr>
              <w:pStyle w:val="43"/>
              <w:bidi w:val="0"/>
              <w:jc w:val="center"/>
            </w:pPr>
            <w:r>
              <w:t>-</w:t>
            </w:r>
          </w:p>
        </w:tc>
        <w:tc>
          <w:tcPr>
            <w:tcW w:w="691" w:type="pct"/>
            <w:vMerge w:val="continue"/>
            <w:vAlign w:val="center"/>
          </w:tcPr>
          <w:p w14:paraId="5040265A">
            <w:pPr>
              <w:pStyle w:val="43"/>
              <w:bidi w:val="0"/>
              <w:jc w:val="center"/>
            </w:pPr>
          </w:p>
        </w:tc>
      </w:tr>
      <w:tr w14:paraId="66DD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4" w:type="pct"/>
            <w:vAlign w:val="center"/>
          </w:tcPr>
          <w:p w14:paraId="42E76A30">
            <w:pPr>
              <w:pStyle w:val="43"/>
              <w:bidi w:val="0"/>
              <w:jc w:val="center"/>
            </w:pPr>
            <w:r>
              <w:t>14</w:t>
            </w:r>
          </w:p>
        </w:tc>
        <w:tc>
          <w:tcPr>
            <w:tcW w:w="1092" w:type="pct"/>
            <w:vAlign w:val="center"/>
          </w:tcPr>
          <w:p w14:paraId="4DD39614">
            <w:pPr>
              <w:pStyle w:val="43"/>
              <w:bidi w:val="0"/>
              <w:jc w:val="center"/>
            </w:pPr>
            <w:r>
              <w:t>变压器</w:t>
            </w:r>
          </w:p>
        </w:tc>
        <w:tc>
          <w:tcPr>
            <w:tcW w:w="556" w:type="pct"/>
            <w:vAlign w:val="center"/>
          </w:tcPr>
          <w:p w14:paraId="2EA4C592">
            <w:pPr>
              <w:pStyle w:val="43"/>
              <w:bidi w:val="0"/>
              <w:jc w:val="center"/>
            </w:pPr>
            <w:r>
              <w:t>2</w:t>
            </w:r>
          </w:p>
        </w:tc>
        <w:tc>
          <w:tcPr>
            <w:tcW w:w="728" w:type="pct"/>
            <w:vAlign w:val="center"/>
          </w:tcPr>
          <w:p w14:paraId="05895EA6">
            <w:pPr>
              <w:pStyle w:val="43"/>
              <w:bidi w:val="0"/>
              <w:jc w:val="center"/>
            </w:pPr>
            <w:r>
              <w:t>台</w:t>
            </w:r>
          </w:p>
        </w:tc>
        <w:tc>
          <w:tcPr>
            <w:tcW w:w="1427" w:type="pct"/>
            <w:vAlign w:val="center"/>
          </w:tcPr>
          <w:p w14:paraId="0AF231DC">
            <w:pPr>
              <w:pStyle w:val="43"/>
              <w:bidi w:val="0"/>
              <w:jc w:val="center"/>
            </w:pPr>
            <w:r>
              <w:t>800kVA</w:t>
            </w:r>
          </w:p>
        </w:tc>
        <w:tc>
          <w:tcPr>
            <w:tcW w:w="691" w:type="pct"/>
            <w:vMerge w:val="continue"/>
            <w:vAlign w:val="center"/>
          </w:tcPr>
          <w:p w14:paraId="7D089E19">
            <w:pPr>
              <w:pStyle w:val="43"/>
              <w:bidi w:val="0"/>
              <w:jc w:val="center"/>
            </w:pPr>
          </w:p>
        </w:tc>
      </w:tr>
    </w:tbl>
    <w:p w14:paraId="25C127E5">
      <w:pPr>
        <w:pStyle w:val="45"/>
        <w:bidi w:val="0"/>
        <w:rPr>
          <w:rFonts w:hint="default"/>
        </w:rPr>
      </w:pPr>
    </w:p>
    <w:p w14:paraId="53017812">
      <w:pPr>
        <w:pStyle w:val="4"/>
        <w:bidi w:val="0"/>
        <w:rPr>
          <w:rFonts w:hint="default"/>
        </w:rPr>
      </w:pPr>
      <w:bookmarkStart w:id="136" w:name="_Toc1010"/>
      <w:bookmarkStart w:id="137" w:name="_Toc5681"/>
      <w:r>
        <w:rPr>
          <w:rFonts w:hint="eastAsia"/>
          <w:lang w:val="en-US" w:eastAsia="zh-CN"/>
        </w:rPr>
        <w:t>原劳动定员及工作制度</w:t>
      </w:r>
      <w:bookmarkEnd w:id="136"/>
      <w:bookmarkEnd w:id="137"/>
    </w:p>
    <w:p w14:paraId="58CBBC3B">
      <w:pPr>
        <w:pStyle w:val="41"/>
        <w:bidi w:val="0"/>
        <w:rPr>
          <w:b/>
          <w:bCs/>
        </w:rPr>
      </w:pPr>
      <w:r>
        <w:rPr>
          <w:rFonts w:hint="eastAsia"/>
          <w:b/>
          <w:bCs/>
          <w:lang w:eastAsia="zh-CN"/>
        </w:rPr>
        <w:t>（</w:t>
      </w:r>
      <w:r>
        <w:rPr>
          <w:rFonts w:hint="eastAsia"/>
          <w:b/>
          <w:bCs/>
          <w:lang w:val="en-US" w:eastAsia="zh-CN"/>
        </w:rPr>
        <w:t>1）</w:t>
      </w:r>
      <w:r>
        <w:rPr>
          <w:b/>
          <w:bCs/>
        </w:rPr>
        <w:t>劳动定员</w:t>
      </w:r>
    </w:p>
    <w:p w14:paraId="11861271">
      <w:pPr>
        <w:pStyle w:val="41"/>
        <w:bidi w:val="0"/>
      </w:pPr>
      <w:r>
        <w:t>项目劳动定员为2</w:t>
      </w:r>
      <w:r>
        <w:rPr>
          <w:rFonts w:hint="eastAsia"/>
          <w:lang w:val="en-US" w:eastAsia="zh-CN"/>
        </w:rPr>
        <w:t>0</w:t>
      </w:r>
      <w:r>
        <w:t>人，</w:t>
      </w:r>
      <w:r>
        <w:rPr>
          <w:rFonts w:hint="eastAsia"/>
          <w:lang w:val="en-US" w:eastAsia="zh-CN"/>
        </w:rPr>
        <w:t>在厂内食宿</w:t>
      </w:r>
      <w:r>
        <w:t>。</w:t>
      </w:r>
    </w:p>
    <w:p w14:paraId="2A0C9746">
      <w:pPr>
        <w:pStyle w:val="41"/>
        <w:bidi w:val="0"/>
        <w:rPr>
          <w:b/>
          <w:bCs/>
        </w:rPr>
      </w:pPr>
      <w:r>
        <w:rPr>
          <w:rFonts w:hint="eastAsia"/>
          <w:b/>
          <w:bCs/>
          <w:lang w:eastAsia="zh-CN"/>
        </w:rPr>
        <w:t>（</w:t>
      </w:r>
      <w:r>
        <w:rPr>
          <w:b/>
          <w:bCs/>
        </w:rPr>
        <w:t>2</w:t>
      </w:r>
      <w:r>
        <w:rPr>
          <w:rFonts w:hint="eastAsia"/>
          <w:b/>
          <w:bCs/>
          <w:lang w:eastAsia="zh-CN"/>
        </w:rPr>
        <w:t>）</w:t>
      </w:r>
      <w:r>
        <w:rPr>
          <w:b/>
          <w:bCs/>
        </w:rPr>
        <w:t>工作制度</w:t>
      </w:r>
    </w:p>
    <w:p w14:paraId="5843061F">
      <w:pPr>
        <w:pStyle w:val="41"/>
        <w:bidi w:val="0"/>
        <w:rPr>
          <w:spacing w:val="-1"/>
        </w:rPr>
      </w:pPr>
      <w:r>
        <w:rPr>
          <w:spacing w:val="1"/>
        </w:rPr>
        <w:t>项目年均工作时间为10个月</w:t>
      </w:r>
      <w:r>
        <w:rPr>
          <w:rFonts w:hint="eastAsia"/>
          <w:spacing w:val="1"/>
          <w:lang w:eastAsia="zh-CN"/>
        </w:rPr>
        <w:t>（</w:t>
      </w:r>
      <w:r>
        <w:rPr>
          <w:spacing w:val="1"/>
        </w:rPr>
        <w:t>3</w:t>
      </w:r>
      <w:r>
        <w:t>00d</w:t>
      </w:r>
      <w:r>
        <w:rPr>
          <w:rFonts w:hint="eastAsia"/>
          <w:lang w:eastAsia="zh-CN"/>
        </w:rPr>
        <w:t>），</w:t>
      </w:r>
      <w:r>
        <w:t>每天1班</w:t>
      </w:r>
      <w:r>
        <w:rPr>
          <w:rFonts w:hint="eastAsia"/>
          <w:lang w:eastAsia="zh-CN"/>
        </w:rPr>
        <w:t>（</w:t>
      </w:r>
      <w:r>
        <w:t>8h</w:t>
      </w:r>
      <w:r>
        <w:rPr>
          <w:rFonts w:hint="eastAsia"/>
          <w:lang w:eastAsia="zh-CN"/>
        </w:rPr>
        <w:t>），</w:t>
      </w:r>
      <w:r>
        <w:t>夜间</w:t>
      </w:r>
      <w:r>
        <w:rPr>
          <w:spacing w:val="-1"/>
        </w:rPr>
        <w:t>不生产。</w:t>
      </w:r>
    </w:p>
    <w:p w14:paraId="7D00D901">
      <w:pPr>
        <w:pStyle w:val="3"/>
        <w:bidi w:val="0"/>
        <w:ind w:left="575" w:leftChars="0" w:hanging="575" w:firstLineChars="0"/>
      </w:pPr>
      <w:bookmarkStart w:id="138" w:name="_Toc19608"/>
      <w:r>
        <w:t>原</w:t>
      </w:r>
      <w:r>
        <w:rPr>
          <w:rFonts w:hint="eastAsia"/>
          <w:lang w:val="en-US" w:eastAsia="zh-CN"/>
        </w:rPr>
        <w:t>项目工程分析</w:t>
      </w:r>
      <w:bookmarkEnd w:id="138"/>
    </w:p>
    <w:p w14:paraId="5716CE47">
      <w:pPr>
        <w:pStyle w:val="4"/>
        <w:bidi w:val="0"/>
        <w:rPr>
          <w:rFonts w:hint="default"/>
          <w:lang w:val="en-US" w:eastAsia="zh-CN"/>
        </w:rPr>
      </w:pPr>
      <w:bookmarkStart w:id="139" w:name="_Toc8493"/>
      <w:r>
        <w:rPr>
          <w:rFonts w:hint="eastAsia"/>
          <w:lang w:val="en-US" w:eastAsia="zh-CN"/>
        </w:rPr>
        <w:t>原项目工艺流程及产污节点</w:t>
      </w:r>
      <w:bookmarkEnd w:id="139"/>
    </w:p>
    <w:p w14:paraId="7C9FA087">
      <w:pPr>
        <w:spacing w:line="360" w:lineRule="auto"/>
        <w:ind w:firstLine="480" w:firstLineChars="200"/>
        <w:rPr>
          <w:sz w:val="24"/>
        </w:rPr>
      </w:pPr>
      <w:r>
        <w:rPr>
          <w:rFonts w:hint="eastAsia"/>
          <w:sz w:val="24"/>
        </w:rPr>
        <w:t>运营期生产环节污染物产生节点的工艺流程如图</w:t>
      </w:r>
      <w:r>
        <w:rPr>
          <w:rFonts w:hint="eastAsia"/>
          <w:sz w:val="24"/>
          <w:lang w:val="en-US" w:eastAsia="zh-CN"/>
        </w:rPr>
        <w:t>2.3-1</w:t>
      </w:r>
      <w:r>
        <w:rPr>
          <w:rFonts w:hint="eastAsia"/>
          <w:sz w:val="24"/>
        </w:rPr>
        <w:t>所示。</w:t>
      </w:r>
    </w:p>
    <w:p w14:paraId="22E088EE">
      <w:pPr>
        <w:rPr>
          <w:rFonts w:eastAsiaTheme="minorEastAsia"/>
          <w:szCs w:val="21"/>
        </w:rPr>
      </w:pPr>
      <w:r>
        <w:rPr>
          <w:rFonts w:eastAsiaTheme="minorEastAsia"/>
          <w:szCs w:val="21"/>
        </w:rPr>
        <mc:AlternateContent>
          <mc:Choice Requires="wpc">
            <w:drawing>
              <wp:inline distT="0" distB="0" distL="114300" distR="114300">
                <wp:extent cx="5274310" cy="4229100"/>
                <wp:effectExtent l="4445" t="4445" r="9525" b="18415"/>
                <wp:docPr id="67" name="画布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bg2">
                              <a:lumMod val="25000"/>
                            </a:schemeClr>
                          </a:solidFill>
                        </a:ln>
                      </wpc:whole>
                      <wps:wsp>
                        <wps:cNvPr id="3" name="文本框 3"/>
                        <wps:cNvSpPr txBox="1"/>
                        <wps:spPr>
                          <a:xfrm>
                            <a:off x="914400" y="1144270"/>
                            <a:ext cx="685800" cy="22860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0C50177D">
                              <w:pPr>
                                <w:jc w:val="center"/>
                                <w:rPr>
                                  <w:rFonts w:asciiTheme="minorEastAsia" w:hAnsiTheme="minorEastAsia" w:eastAsiaTheme="minorEastAsia"/>
                                  <w:szCs w:val="21"/>
                                </w:rPr>
                              </w:pPr>
                              <w:r>
                                <w:rPr>
                                  <w:rFonts w:hint="eastAsia" w:asciiTheme="minorEastAsia" w:hAnsiTheme="minorEastAsia" w:eastAsiaTheme="minorEastAsia"/>
                                  <w:szCs w:val="21"/>
                                </w:rPr>
                                <w:t>表层剥离</w:t>
                              </w:r>
                            </w:p>
                          </w:txbxContent>
                        </wps:txbx>
                        <wps:bodyPr lIns="0" tIns="0" rIns="0" bIns="0" anchor="ctr" anchorCtr="0" upright="1"/>
                      </wps:wsp>
                      <wps:wsp>
                        <wps:cNvPr id="4" name="文本框 4"/>
                        <wps:cNvSpPr txBox="1"/>
                        <wps:spPr>
                          <a:xfrm>
                            <a:off x="1943100" y="1144270"/>
                            <a:ext cx="137350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639C0799">
                              <w:pPr>
                                <w:jc w:val="center"/>
                                <w:rPr>
                                  <w:rFonts w:asciiTheme="minorEastAsia" w:hAnsiTheme="minorEastAsia" w:eastAsiaTheme="minorEastAsia"/>
                                  <w:szCs w:val="21"/>
                                </w:rPr>
                              </w:pPr>
                              <w:r>
                                <w:rPr>
                                  <w:rFonts w:hint="eastAsia" w:asciiTheme="minorEastAsia" w:hAnsiTheme="minorEastAsia" w:eastAsiaTheme="minorEastAsia"/>
                                  <w:szCs w:val="21"/>
                                </w:rPr>
                                <w:t>钻孔爆破、挖机采掘</w:t>
                              </w:r>
                            </w:p>
                          </w:txbxContent>
                        </wps:txbx>
                        <wps:bodyPr lIns="0" tIns="0" rIns="0" bIns="0" anchor="ctr" anchorCtr="0" upright="1"/>
                      </wps:wsp>
                      <wps:wsp>
                        <wps:cNvPr id="5" name="直接箭头连接符 5"/>
                        <wps:cNvCnPr/>
                        <wps:spPr>
                          <a:xfrm flipV="1">
                            <a:off x="1371600" y="915035"/>
                            <a:ext cx="635" cy="229235"/>
                          </a:xfrm>
                          <a:prstGeom prst="straightConnector1">
                            <a:avLst/>
                          </a:prstGeom>
                          <a:ln w="3175" cap="flat" cmpd="sng">
                            <a:solidFill>
                              <a:srgbClr val="000000"/>
                            </a:solidFill>
                            <a:prstDash val="dashDot"/>
                            <a:headEnd type="none" w="med" len="med"/>
                            <a:tailEnd type="triangle" w="med" len="med"/>
                          </a:ln>
                        </wps:spPr>
                        <wps:bodyPr/>
                      </wps:wsp>
                      <wps:wsp>
                        <wps:cNvPr id="6" name="文本框 6"/>
                        <wps:cNvSpPr txBox="1">
                          <a:spLocks noChangeAspect="1"/>
                        </wps:cNvSpPr>
                        <wps:spPr>
                          <a:xfrm>
                            <a:off x="4688205" y="1143635"/>
                            <a:ext cx="455295" cy="229235"/>
                          </a:xfrm>
                          <a:prstGeom prst="rect">
                            <a:avLst/>
                          </a:prstGeom>
                          <a:solidFill>
                            <a:srgbClr val="FFFFFF">
                              <a:alpha val="0"/>
                            </a:srgbClr>
                          </a:solidFill>
                          <a:ln w="3175" cap="flat" cmpd="sng">
                            <a:solidFill>
                              <a:srgbClr val="000000"/>
                            </a:solidFill>
                            <a:prstDash val="solid"/>
                            <a:miter/>
                            <a:headEnd type="none" w="med" len="med"/>
                            <a:tailEnd type="none" w="med" len="med"/>
                          </a:ln>
                        </wps:spPr>
                        <wps:txbx>
                          <w:txbxContent>
                            <w:p w14:paraId="22AE4FCB">
                              <w:pPr>
                                <w:jc w:val="center"/>
                                <w:rPr>
                                  <w:rFonts w:asciiTheme="minorEastAsia" w:hAnsiTheme="minorEastAsia" w:eastAsiaTheme="minorEastAsia"/>
                                  <w:szCs w:val="21"/>
                                </w:rPr>
                              </w:pPr>
                              <w:r>
                                <w:rPr>
                                  <w:rFonts w:hint="eastAsia" w:eastAsiaTheme="minorEastAsia"/>
                                  <w:szCs w:val="21"/>
                                </w:rPr>
                                <w:t>毛石</w:t>
                              </w:r>
                            </w:p>
                          </w:txbxContent>
                        </wps:txbx>
                        <wps:bodyPr lIns="0" tIns="18000" rIns="0" bIns="0" anchor="ctr" anchorCtr="0" upright="1"/>
                      </wps:wsp>
                      <wps:wsp>
                        <wps:cNvPr id="7" name="文本框 7"/>
                        <wps:cNvSpPr txBox="1">
                          <a:spLocks noChangeAspect="1"/>
                        </wps:cNvSpPr>
                        <wps:spPr>
                          <a:xfrm>
                            <a:off x="113665" y="1142365"/>
                            <a:ext cx="457835" cy="229235"/>
                          </a:xfrm>
                          <a:prstGeom prst="rect">
                            <a:avLst/>
                          </a:prstGeom>
                          <a:solidFill>
                            <a:srgbClr val="FFFFFF">
                              <a:alpha val="0"/>
                            </a:srgbClr>
                          </a:solidFill>
                          <a:ln w="3175">
                            <a:noFill/>
                          </a:ln>
                        </wps:spPr>
                        <wps:txbx>
                          <w:txbxContent>
                            <w:p w14:paraId="4E8E9617">
                              <w:pPr>
                                <w:jc w:val="center"/>
                                <w:rPr>
                                  <w:rFonts w:asciiTheme="minorEastAsia" w:hAnsiTheme="minorEastAsia" w:eastAsiaTheme="minorEastAsia"/>
                                  <w:szCs w:val="21"/>
                                </w:rPr>
                              </w:pPr>
                              <w:r>
                                <w:rPr>
                                  <w:rFonts w:hint="eastAsia" w:eastAsiaTheme="minorEastAsia"/>
                                  <w:szCs w:val="21"/>
                                </w:rPr>
                                <w:t>矿山</w:t>
                              </w:r>
                            </w:p>
                          </w:txbxContent>
                        </wps:txbx>
                        <wps:bodyPr lIns="0" tIns="18000" rIns="0" bIns="0" anchor="ctr" anchorCtr="0" upright="1"/>
                      </wps:wsp>
                      <wps:wsp>
                        <wps:cNvPr id="9" name="文本框 9"/>
                        <wps:cNvSpPr txBox="1">
                          <a:spLocks noChangeAspect="1"/>
                        </wps:cNvSpPr>
                        <wps:spPr>
                          <a:xfrm>
                            <a:off x="1143000" y="682625"/>
                            <a:ext cx="457200" cy="229235"/>
                          </a:xfrm>
                          <a:prstGeom prst="rect">
                            <a:avLst/>
                          </a:prstGeom>
                          <a:solidFill>
                            <a:srgbClr val="FFFFFF">
                              <a:alpha val="0"/>
                            </a:srgbClr>
                          </a:solidFill>
                          <a:ln w="3175">
                            <a:noFill/>
                          </a:ln>
                        </wps:spPr>
                        <wps:txbx>
                          <w:txbxContent>
                            <w:p w14:paraId="41C49309">
                              <w:pPr>
                                <w:jc w:val="center"/>
                                <w:rPr>
                                  <w:rFonts w:asciiTheme="minorEastAsia" w:hAnsiTheme="minorEastAsia" w:eastAsiaTheme="minorEastAsia"/>
                                  <w:szCs w:val="21"/>
                                </w:rPr>
                              </w:pPr>
                              <w:r>
                                <w:rPr>
                                  <w:rFonts w:hint="eastAsia" w:eastAsiaTheme="minorEastAsia"/>
                                  <w:szCs w:val="21"/>
                                </w:rPr>
                                <w:t>N、G</w:t>
                              </w:r>
                            </w:p>
                          </w:txbxContent>
                        </wps:txbx>
                        <wps:bodyPr lIns="0" tIns="18000" rIns="0" bIns="0" anchor="ctr" anchorCtr="0" upright="1"/>
                      </wps:wsp>
                      <wps:wsp>
                        <wps:cNvPr id="11" name="直接箭头连接符 11"/>
                        <wps:cNvCnPr/>
                        <wps:spPr>
                          <a:xfrm flipH="1">
                            <a:off x="4915535" y="1372870"/>
                            <a:ext cx="635" cy="681990"/>
                          </a:xfrm>
                          <a:prstGeom prst="straightConnector1">
                            <a:avLst/>
                          </a:prstGeom>
                          <a:ln w="3175" cap="flat" cmpd="sng">
                            <a:solidFill>
                              <a:srgbClr val="000000"/>
                            </a:solidFill>
                            <a:prstDash val="solid"/>
                            <a:headEnd type="none" w="med" len="med"/>
                            <a:tailEnd type="triangle" w="med" len="med"/>
                          </a:ln>
                        </wps:spPr>
                        <wps:bodyPr/>
                      </wps:wsp>
                      <wps:wsp>
                        <wps:cNvPr id="13" name="直接箭头连接符 13"/>
                        <wps:cNvCnPr/>
                        <wps:spPr>
                          <a:xfrm>
                            <a:off x="581660" y="1257300"/>
                            <a:ext cx="332740" cy="635"/>
                          </a:xfrm>
                          <a:prstGeom prst="straightConnector1">
                            <a:avLst/>
                          </a:prstGeom>
                          <a:ln w="3175" cap="flat" cmpd="sng">
                            <a:solidFill>
                              <a:srgbClr val="000000"/>
                            </a:solidFill>
                            <a:prstDash val="solid"/>
                            <a:headEnd type="none" w="med" len="med"/>
                            <a:tailEnd type="triangle" w="med" len="med"/>
                          </a:ln>
                        </wps:spPr>
                        <wps:bodyPr/>
                      </wps:wsp>
                      <wps:wsp>
                        <wps:cNvPr id="15" name="文本框 15"/>
                        <wps:cNvSpPr txBox="1"/>
                        <wps:spPr>
                          <a:xfrm>
                            <a:off x="3662680" y="1143000"/>
                            <a:ext cx="69151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0CCAE36B">
                              <w:pPr>
                                <w:jc w:val="center"/>
                                <w:rPr>
                                  <w:rFonts w:asciiTheme="minorEastAsia" w:hAnsiTheme="minorEastAsia" w:eastAsiaTheme="minorEastAsia"/>
                                  <w:szCs w:val="21"/>
                                </w:rPr>
                              </w:pPr>
                              <w:r>
                                <w:rPr>
                                  <w:rFonts w:hint="eastAsia" w:asciiTheme="minorEastAsia" w:hAnsiTheme="minorEastAsia" w:eastAsiaTheme="minorEastAsia"/>
                                  <w:szCs w:val="21"/>
                                </w:rPr>
                                <w:t>土石分离</w:t>
                              </w:r>
                            </w:p>
                          </w:txbxContent>
                        </wps:txbx>
                        <wps:bodyPr lIns="0" tIns="0" rIns="0" bIns="0" anchor="ctr" anchorCtr="0" upright="1"/>
                      </wps:wsp>
                      <wps:wsp>
                        <wps:cNvPr id="17" name="文本框 17"/>
                        <wps:cNvSpPr txBox="1"/>
                        <wps:spPr>
                          <a:xfrm>
                            <a:off x="4572000" y="2052955"/>
                            <a:ext cx="69278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4FCDD3A9">
                              <w:pPr>
                                <w:jc w:val="center"/>
                                <w:rPr>
                                  <w:rFonts w:asciiTheme="minorEastAsia" w:hAnsiTheme="minorEastAsia" w:eastAsiaTheme="minorEastAsia"/>
                                  <w:szCs w:val="21"/>
                                </w:rPr>
                              </w:pPr>
                              <w:r>
                                <w:rPr>
                                  <w:rFonts w:hint="eastAsia" w:asciiTheme="minorEastAsia" w:hAnsiTheme="minorEastAsia" w:eastAsiaTheme="minorEastAsia"/>
                                  <w:szCs w:val="21"/>
                                </w:rPr>
                                <w:t>一级破碎</w:t>
                              </w:r>
                            </w:p>
                          </w:txbxContent>
                        </wps:txbx>
                        <wps:bodyPr lIns="0" tIns="0" rIns="0" bIns="0" anchor="ctr" anchorCtr="0" upright="1"/>
                      </wps:wsp>
                      <wps:wsp>
                        <wps:cNvPr id="19" name="文本框 19"/>
                        <wps:cNvSpPr txBox="1"/>
                        <wps:spPr>
                          <a:xfrm>
                            <a:off x="3552825" y="2055495"/>
                            <a:ext cx="67627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0C6E5B4C">
                              <w:pPr>
                                <w:jc w:val="center"/>
                                <w:rPr>
                                  <w:rFonts w:asciiTheme="minorEastAsia" w:hAnsiTheme="minorEastAsia" w:eastAsiaTheme="minorEastAsia"/>
                                  <w:szCs w:val="21"/>
                                </w:rPr>
                              </w:pPr>
                              <w:r>
                                <w:rPr>
                                  <w:rFonts w:hint="eastAsia" w:asciiTheme="minorEastAsia" w:hAnsiTheme="minorEastAsia" w:eastAsiaTheme="minorEastAsia"/>
                                  <w:szCs w:val="21"/>
                                </w:rPr>
                                <w:t>振动筛分</w:t>
                              </w:r>
                            </w:p>
                          </w:txbxContent>
                        </wps:txbx>
                        <wps:bodyPr lIns="0" tIns="0" rIns="0" bIns="0" anchor="ctr" anchorCtr="0" upright="1"/>
                      </wps:wsp>
                      <wps:wsp>
                        <wps:cNvPr id="20" name="文本框 20"/>
                        <wps:cNvSpPr txBox="1"/>
                        <wps:spPr>
                          <a:xfrm>
                            <a:off x="2056765" y="1942465"/>
                            <a:ext cx="1143000" cy="45783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333B0353">
                              <w:pPr>
                                <w:jc w:val="center"/>
                                <w:rPr>
                                  <w:rFonts w:asciiTheme="minorEastAsia" w:hAnsiTheme="minorEastAsia" w:eastAsiaTheme="minorEastAsia"/>
                                  <w:szCs w:val="21"/>
                                </w:rPr>
                              </w:pPr>
                              <w:r>
                                <w:rPr>
                                  <w:rFonts w:hint="eastAsia" w:asciiTheme="minorEastAsia" w:hAnsiTheme="minorEastAsia" w:eastAsiaTheme="minorEastAsia"/>
                                  <w:szCs w:val="21"/>
                                </w:rPr>
                                <w:t>石子</w:t>
                              </w:r>
                            </w:p>
                            <w:p w14:paraId="0E28DA76">
                              <w:pPr>
                                <w:jc w:val="center"/>
                                <w:rPr>
                                  <w:rFonts w:asciiTheme="minorEastAsia" w:hAnsiTheme="minorEastAsia" w:eastAsiaTheme="minorEastAsia"/>
                                  <w:szCs w:val="21"/>
                                </w:rPr>
                              </w:pPr>
                              <w:r>
                                <w:rPr>
                                  <w:rFonts w:hint="eastAsia" w:asciiTheme="minorEastAsia" w:hAnsiTheme="minorEastAsia" w:eastAsiaTheme="minorEastAsia"/>
                                  <w:szCs w:val="21"/>
                                </w:rPr>
                                <w:t>（粒径</w:t>
                              </w:r>
                              <w:r>
                                <w:rPr>
                                  <w:rFonts w:eastAsiaTheme="minorEastAsia"/>
                                  <w:szCs w:val="21"/>
                                </w:rPr>
                                <w:t>30</w:t>
                              </w:r>
                              <w:r>
                                <w:rPr>
                                  <w:rFonts w:hint="eastAsia" w:eastAsiaTheme="minorEastAsia"/>
                                  <w:szCs w:val="21"/>
                                </w:rPr>
                                <w:t>~</w:t>
                              </w:r>
                              <w:r>
                                <w:rPr>
                                  <w:rFonts w:eastAsiaTheme="minorEastAsia"/>
                                  <w:szCs w:val="21"/>
                                </w:rPr>
                                <w:t>60mm</w:t>
                              </w:r>
                              <w:r>
                                <w:rPr>
                                  <w:rFonts w:hint="eastAsia" w:asciiTheme="minorEastAsia" w:hAnsiTheme="minorEastAsia" w:eastAsiaTheme="minorEastAsia"/>
                                  <w:szCs w:val="21"/>
                                </w:rPr>
                                <w:t>）</w:t>
                              </w:r>
                            </w:p>
                          </w:txbxContent>
                        </wps:txbx>
                        <wps:bodyPr lIns="0" tIns="0" rIns="0" bIns="0" anchor="ctr" anchorCtr="0" upright="1"/>
                      </wps:wsp>
                      <wps:wsp>
                        <wps:cNvPr id="21" name="直接箭头连接符 21"/>
                        <wps:cNvCnPr/>
                        <wps:spPr>
                          <a:xfrm flipH="1" flipV="1">
                            <a:off x="4229100" y="2171065"/>
                            <a:ext cx="342900" cy="635"/>
                          </a:xfrm>
                          <a:prstGeom prst="straightConnector1">
                            <a:avLst/>
                          </a:prstGeom>
                          <a:ln w="3175" cap="flat" cmpd="sng">
                            <a:solidFill>
                              <a:srgbClr val="000000"/>
                            </a:solidFill>
                            <a:prstDash val="solid"/>
                            <a:headEnd type="none" w="med" len="med"/>
                            <a:tailEnd type="triangle" w="med" len="med"/>
                          </a:ln>
                        </wps:spPr>
                        <wps:bodyPr/>
                      </wps:wsp>
                      <wps:wsp>
                        <wps:cNvPr id="22" name="直接箭头连接符 22"/>
                        <wps:cNvCnPr/>
                        <wps:spPr>
                          <a:xfrm>
                            <a:off x="4356100" y="1257300"/>
                            <a:ext cx="332740" cy="635"/>
                          </a:xfrm>
                          <a:prstGeom prst="straightConnector1">
                            <a:avLst/>
                          </a:prstGeom>
                          <a:ln w="3175" cap="flat" cmpd="sng">
                            <a:solidFill>
                              <a:srgbClr val="000000"/>
                            </a:solidFill>
                            <a:prstDash val="solid"/>
                            <a:headEnd type="none" w="med" len="med"/>
                            <a:tailEnd type="triangle" w="med" len="med"/>
                          </a:ln>
                        </wps:spPr>
                        <wps:bodyPr/>
                      </wps:wsp>
                      <wps:wsp>
                        <wps:cNvPr id="23" name="直接箭头连接符 23"/>
                        <wps:cNvCnPr/>
                        <wps:spPr>
                          <a:xfrm>
                            <a:off x="3316605" y="1259840"/>
                            <a:ext cx="332740" cy="635"/>
                          </a:xfrm>
                          <a:prstGeom prst="straightConnector1">
                            <a:avLst/>
                          </a:prstGeom>
                          <a:ln w="3175" cap="flat" cmpd="sng">
                            <a:solidFill>
                              <a:srgbClr val="000000"/>
                            </a:solidFill>
                            <a:prstDash val="solid"/>
                            <a:headEnd type="none" w="med" len="med"/>
                            <a:tailEnd type="triangle" w="med" len="med"/>
                          </a:ln>
                        </wps:spPr>
                        <wps:bodyPr/>
                      </wps:wsp>
                      <wps:wsp>
                        <wps:cNvPr id="25" name="直接箭头连接符 25"/>
                        <wps:cNvCnPr/>
                        <wps:spPr>
                          <a:xfrm>
                            <a:off x="1600200" y="1259205"/>
                            <a:ext cx="332740" cy="635"/>
                          </a:xfrm>
                          <a:prstGeom prst="straightConnector1">
                            <a:avLst/>
                          </a:prstGeom>
                          <a:ln w="3175" cap="flat" cmpd="sng">
                            <a:solidFill>
                              <a:srgbClr val="000000"/>
                            </a:solidFill>
                            <a:prstDash val="solid"/>
                            <a:headEnd type="none" w="med" len="med"/>
                            <a:tailEnd type="triangle" w="med" len="med"/>
                          </a:ln>
                        </wps:spPr>
                        <wps:bodyPr/>
                      </wps:wsp>
                      <wps:wsp>
                        <wps:cNvPr id="26" name="直接箭头连接符 26"/>
                        <wps:cNvCnPr/>
                        <wps:spPr>
                          <a:xfrm flipH="1">
                            <a:off x="3200400" y="2171700"/>
                            <a:ext cx="352425" cy="635"/>
                          </a:xfrm>
                          <a:prstGeom prst="straightConnector1">
                            <a:avLst/>
                          </a:prstGeom>
                          <a:ln w="3175" cap="flat" cmpd="sng">
                            <a:solidFill>
                              <a:srgbClr val="000000"/>
                            </a:solidFill>
                            <a:prstDash val="solid"/>
                            <a:headEnd type="none" w="med" len="med"/>
                            <a:tailEnd type="triangle" w="med" len="med"/>
                          </a:ln>
                        </wps:spPr>
                        <wps:bodyPr/>
                      </wps:wsp>
                      <wps:wsp>
                        <wps:cNvPr id="27" name="直接箭头连接符 27"/>
                        <wps:cNvCnPr/>
                        <wps:spPr>
                          <a:xfrm flipV="1">
                            <a:off x="1370965" y="340995"/>
                            <a:ext cx="635" cy="229235"/>
                          </a:xfrm>
                          <a:prstGeom prst="straightConnector1">
                            <a:avLst/>
                          </a:prstGeom>
                          <a:ln w="3175" cap="flat" cmpd="sng">
                            <a:solidFill>
                              <a:srgbClr val="000000"/>
                            </a:solidFill>
                            <a:prstDash val="solid"/>
                            <a:headEnd type="none" w="med" len="med"/>
                            <a:tailEnd type="triangle" w="med" len="med"/>
                          </a:ln>
                        </wps:spPr>
                        <wps:bodyPr/>
                      </wps:wsp>
                      <wps:wsp>
                        <wps:cNvPr id="28" name="直接箭头连接符 28"/>
                        <wps:cNvCnPr/>
                        <wps:spPr>
                          <a:xfrm flipV="1">
                            <a:off x="2628265" y="914400"/>
                            <a:ext cx="635" cy="229235"/>
                          </a:xfrm>
                          <a:prstGeom prst="straightConnector1">
                            <a:avLst/>
                          </a:prstGeom>
                          <a:ln w="3175" cap="flat" cmpd="sng">
                            <a:solidFill>
                              <a:srgbClr val="000000"/>
                            </a:solidFill>
                            <a:prstDash val="dashDot"/>
                            <a:headEnd type="none" w="med" len="med"/>
                            <a:tailEnd type="triangle" w="med" len="med"/>
                          </a:ln>
                        </wps:spPr>
                        <wps:bodyPr/>
                      </wps:wsp>
                      <wps:wsp>
                        <wps:cNvPr id="29" name="直接箭头连接符 29"/>
                        <wps:cNvCnPr/>
                        <wps:spPr>
                          <a:xfrm flipV="1">
                            <a:off x="4114800" y="911860"/>
                            <a:ext cx="635" cy="229235"/>
                          </a:xfrm>
                          <a:prstGeom prst="straightConnector1">
                            <a:avLst/>
                          </a:prstGeom>
                          <a:ln w="3175" cap="flat" cmpd="sng">
                            <a:solidFill>
                              <a:srgbClr val="000000"/>
                            </a:solidFill>
                            <a:prstDash val="dashDot"/>
                            <a:headEnd type="none" w="med" len="med"/>
                            <a:tailEnd type="triangle" w="med" len="med"/>
                          </a:ln>
                        </wps:spPr>
                        <wps:bodyPr/>
                      </wps:wsp>
                      <wps:wsp>
                        <wps:cNvPr id="30" name="直接箭头连接符 30"/>
                        <wps:cNvCnPr/>
                        <wps:spPr>
                          <a:xfrm flipV="1">
                            <a:off x="3886200" y="1823720"/>
                            <a:ext cx="635" cy="229235"/>
                          </a:xfrm>
                          <a:prstGeom prst="straightConnector1">
                            <a:avLst/>
                          </a:prstGeom>
                          <a:ln w="3175" cap="flat" cmpd="sng">
                            <a:solidFill>
                              <a:srgbClr val="000000"/>
                            </a:solidFill>
                            <a:prstDash val="dashDot"/>
                            <a:headEnd type="none" w="med" len="med"/>
                            <a:tailEnd type="triangle" w="med" len="med"/>
                          </a:ln>
                        </wps:spPr>
                        <wps:bodyPr/>
                      </wps:wsp>
                      <wps:wsp>
                        <wps:cNvPr id="31" name="文本框 31"/>
                        <wps:cNvSpPr txBox="1">
                          <a:spLocks noChangeAspect="1"/>
                        </wps:cNvSpPr>
                        <wps:spPr>
                          <a:xfrm>
                            <a:off x="3885565" y="685800"/>
                            <a:ext cx="457835" cy="229235"/>
                          </a:xfrm>
                          <a:prstGeom prst="rect">
                            <a:avLst/>
                          </a:prstGeom>
                          <a:solidFill>
                            <a:srgbClr val="FFFFFF">
                              <a:alpha val="0"/>
                            </a:srgbClr>
                          </a:solidFill>
                          <a:ln w="3175">
                            <a:noFill/>
                          </a:ln>
                        </wps:spPr>
                        <wps:txbx>
                          <w:txbxContent>
                            <w:p w14:paraId="1244FFFC">
                              <w:pPr>
                                <w:jc w:val="center"/>
                                <w:rPr>
                                  <w:rFonts w:asciiTheme="minorEastAsia" w:hAnsiTheme="minorEastAsia" w:eastAsiaTheme="minorEastAsia"/>
                                  <w:szCs w:val="21"/>
                                </w:rPr>
                              </w:pPr>
                              <w:r>
                                <w:rPr>
                                  <w:rFonts w:hint="eastAsia" w:eastAsiaTheme="minorEastAsia"/>
                                  <w:szCs w:val="21"/>
                                </w:rPr>
                                <w:t>N、G</w:t>
                              </w:r>
                            </w:p>
                            <w:p w14:paraId="29A7E725">
                              <w:pPr>
                                <w:jc w:val="center"/>
                                <w:rPr>
                                  <w:rFonts w:asciiTheme="minorEastAsia" w:hAnsiTheme="minorEastAsia" w:eastAsiaTheme="minorEastAsia"/>
                                  <w:szCs w:val="21"/>
                                </w:rPr>
                              </w:pPr>
                            </w:p>
                          </w:txbxContent>
                        </wps:txbx>
                        <wps:bodyPr lIns="0" tIns="18000" rIns="0" bIns="0" anchor="ctr" anchorCtr="0" upright="1"/>
                      </wps:wsp>
                      <wps:wsp>
                        <wps:cNvPr id="32" name="文本框 32"/>
                        <wps:cNvSpPr txBox="1">
                          <a:spLocks noChangeAspect="1"/>
                        </wps:cNvSpPr>
                        <wps:spPr>
                          <a:xfrm>
                            <a:off x="3543300" y="1595120"/>
                            <a:ext cx="1140460" cy="229235"/>
                          </a:xfrm>
                          <a:prstGeom prst="rect">
                            <a:avLst/>
                          </a:prstGeom>
                          <a:solidFill>
                            <a:srgbClr val="FFFFFF">
                              <a:alpha val="0"/>
                            </a:srgbClr>
                          </a:solidFill>
                          <a:ln w="3175">
                            <a:noFill/>
                          </a:ln>
                        </wps:spPr>
                        <wps:txbx>
                          <w:txbxContent>
                            <w:p w14:paraId="6C6BF15A">
                              <w:pPr>
                                <w:jc w:val="center"/>
                                <w:rPr>
                                  <w:rFonts w:asciiTheme="minorEastAsia" w:hAnsiTheme="minorEastAsia" w:eastAsiaTheme="minorEastAsia"/>
                                  <w:szCs w:val="21"/>
                                </w:rPr>
                              </w:pPr>
                              <w:r>
                                <w:rPr>
                                  <w:rFonts w:hint="eastAsia" w:eastAsiaTheme="minorEastAsia"/>
                                  <w:szCs w:val="21"/>
                                </w:rPr>
                                <w:t>N、G、振动</w:t>
                              </w:r>
                            </w:p>
                            <w:p w14:paraId="605A1931">
                              <w:pPr>
                                <w:jc w:val="center"/>
                                <w:rPr>
                                  <w:rFonts w:asciiTheme="minorEastAsia" w:hAnsiTheme="minorEastAsia" w:eastAsiaTheme="minorEastAsia"/>
                                  <w:szCs w:val="21"/>
                                </w:rPr>
                              </w:pPr>
                            </w:p>
                          </w:txbxContent>
                        </wps:txbx>
                        <wps:bodyPr lIns="0" tIns="18000" rIns="0" bIns="0" anchor="ctr" anchorCtr="0" upright="1"/>
                      </wps:wsp>
                      <wps:wsp>
                        <wps:cNvPr id="33" name="文本框 33"/>
                        <wps:cNvSpPr txBox="1">
                          <a:spLocks noChangeAspect="1"/>
                        </wps:cNvSpPr>
                        <wps:spPr>
                          <a:xfrm>
                            <a:off x="2171700" y="685800"/>
                            <a:ext cx="913130" cy="229235"/>
                          </a:xfrm>
                          <a:prstGeom prst="rect">
                            <a:avLst/>
                          </a:prstGeom>
                          <a:solidFill>
                            <a:srgbClr val="FFFFFF">
                              <a:alpha val="0"/>
                            </a:srgbClr>
                          </a:solidFill>
                          <a:ln w="3175">
                            <a:noFill/>
                          </a:ln>
                        </wps:spPr>
                        <wps:txbx>
                          <w:txbxContent>
                            <w:p w14:paraId="532E9513">
                              <w:pPr>
                                <w:jc w:val="center"/>
                                <w:rPr>
                                  <w:rFonts w:asciiTheme="minorEastAsia" w:hAnsiTheme="minorEastAsia" w:eastAsiaTheme="minorEastAsia"/>
                                  <w:szCs w:val="21"/>
                                </w:rPr>
                              </w:pPr>
                              <w:r>
                                <w:rPr>
                                  <w:rFonts w:hint="eastAsia" w:eastAsiaTheme="minorEastAsia"/>
                                  <w:szCs w:val="21"/>
                                </w:rPr>
                                <w:t>N、G、振动</w:t>
                              </w:r>
                            </w:p>
                          </w:txbxContent>
                        </wps:txbx>
                        <wps:bodyPr lIns="0" tIns="18000" rIns="0" bIns="0" anchor="ctr" anchorCtr="0" upright="1"/>
                      </wps:wsp>
                      <wps:wsp>
                        <wps:cNvPr id="34" name="直接箭头连接符 34"/>
                        <wps:cNvCnPr/>
                        <wps:spPr>
                          <a:xfrm flipV="1">
                            <a:off x="1038860" y="570230"/>
                            <a:ext cx="2733040" cy="1905"/>
                          </a:xfrm>
                          <a:prstGeom prst="straightConnector1">
                            <a:avLst/>
                          </a:prstGeom>
                          <a:ln w="3175" cap="flat" cmpd="sng">
                            <a:solidFill>
                              <a:srgbClr val="000000"/>
                            </a:solidFill>
                            <a:prstDash val="solid"/>
                            <a:headEnd type="none" w="med" len="med"/>
                            <a:tailEnd type="none" w="med" len="med"/>
                          </a:ln>
                        </wps:spPr>
                        <wps:bodyPr/>
                      </wps:wsp>
                      <wps:wsp>
                        <wps:cNvPr id="35" name="文本框 35"/>
                        <wps:cNvSpPr txBox="1">
                          <a:spLocks noChangeAspect="1"/>
                        </wps:cNvSpPr>
                        <wps:spPr>
                          <a:xfrm>
                            <a:off x="685800" y="113665"/>
                            <a:ext cx="1258570" cy="229235"/>
                          </a:xfrm>
                          <a:prstGeom prst="rect">
                            <a:avLst/>
                          </a:prstGeom>
                          <a:solidFill>
                            <a:srgbClr val="FFFFFF">
                              <a:alpha val="0"/>
                            </a:srgbClr>
                          </a:solidFill>
                          <a:ln w="3175" cap="flat" cmpd="sng">
                            <a:solidFill>
                              <a:srgbClr val="000000"/>
                            </a:solidFill>
                            <a:prstDash val="solid"/>
                            <a:miter/>
                            <a:headEnd type="none" w="med" len="med"/>
                            <a:tailEnd type="none" w="med" len="med"/>
                          </a:ln>
                        </wps:spPr>
                        <wps:txbx>
                          <w:txbxContent>
                            <w:p w14:paraId="203886C6">
                              <w:pPr>
                                <w:jc w:val="center"/>
                                <w:rPr>
                                  <w:rFonts w:asciiTheme="minorEastAsia" w:hAnsiTheme="minorEastAsia" w:eastAsiaTheme="minorEastAsia"/>
                                  <w:szCs w:val="21"/>
                                </w:rPr>
                              </w:pPr>
                              <w:r>
                                <w:rPr>
                                  <w:rFonts w:hint="eastAsia" w:eastAsiaTheme="minorEastAsia"/>
                                  <w:szCs w:val="21"/>
                                </w:rPr>
                                <w:t>表层覆土、废土石</w:t>
                              </w:r>
                            </w:p>
                            <w:p w14:paraId="380EAF78">
                              <w:pPr>
                                <w:jc w:val="center"/>
                                <w:rPr>
                                  <w:rFonts w:asciiTheme="minorEastAsia" w:hAnsiTheme="minorEastAsia" w:eastAsiaTheme="minorEastAsia"/>
                                  <w:szCs w:val="21"/>
                                </w:rPr>
                              </w:pPr>
                            </w:p>
                          </w:txbxContent>
                        </wps:txbx>
                        <wps:bodyPr lIns="0" tIns="18000" rIns="0" bIns="0" anchor="ctr" anchorCtr="0" upright="1"/>
                      </wps:wsp>
                      <wps:wsp>
                        <wps:cNvPr id="36" name="直接箭头连接符 36"/>
                        <wps:cNvCnPr/>
                        <wps:spPr>
                          <a:xfrm rot="-10800000" flipH="1">
                            <a:off x="1945005" y="228600"/>
                            <a:ext cx="332740" cy="635"/>
                          </a:xfrm>
                          <a:prstGeom prst="straightConnector1">
                            <a:avLst/>
                          </a:prstGeom>
                          <a:ln w="3175" cap="flat" cmpd="sng">
                            <a:solidFill>
                              <a:srgbClr val="000000"/>
                            </a:solidFill>
                            <a:prstDash val="solid"/>
                            <a:headEnd type="none" w="med" len="med"/>
                            <a:tailEnd type="triangle" w="med" len="med"/>
                          </a:ln>
                        </wps:spPr>
                        <wps:bodyPr/>
                      </wps:wsp>
                      <wps:wsp>
                        <wps:cNvPr id="37" name="文本框 37"/>
                        <wps:cNvSpPr txBox="1"/>
                        <wps:spPr>
                          <a:xfrm>
                            <a:off x="1487170" y="2626360"/>
                            <a:ext cx="455295"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638B8FBE">
                              <w:pPr>
                                <w:jc w:val="center"/>
                                <w:rPr>
                                  <w:rFonts w:asciiTheme="minorEastAsia" w:hAnsiTheme="minorEastAsia" w:eastAsiaTheme="minorEastAsia"/>
                                  <w:szCs w:val="21"/>
                                </w:rPr>
                              </w:pPr>
                              <w:r>
                                <w:rPr>
                                  <w:rFonts w:hint="eastAsia" w:asciiTheme="minorEastAsia" w:hAnsiTheme="minorEastAsia" w:eastAsiaTheme="minorEastAsia"/>
                                  <w:szCs w:val="21"/>
                                </w:rPr>
                                <w:t>堆场</w:t>
                              </w:r>
                            </w:p>
                          </w:txbxContent>
                        </wps:txbx>
                        <wps:bodyPr lIns="0" tIns="0" rIns="0" bIns="0" anchor="ctr" anchorCtr="0" upright="1"/>
                      </wps:wsp>
                      <wps:wsp>
                        <wps:cNvPr id="38" name="直接箭头连接符 38"/>
                        <wps:cNvCnPr/>
                        <wps:spPr>
                          <a:xfrm rot="10800000">
                            <a:off x="1153160" y="2740660"/>
                            <a:ext cx="332740" cy="635"/>
                          </a:xfrm>
                          <a:prstGeom prst="straightConnector1">
                            <a:avLst/>
                          </a:prstGeom>
                          <a:ln w="3175" cap="flat" cmpd="sng">
                            <a:solidFill>
                              <a:srgbClr val="000000"/>
                            </a:solidFill>
                            <a:prstDash val="solid"/>
                            <a:headEnd type="none" w="med" len="med"/>
                            <a:tailEnd type="triangle" w="med" len="med"/>
                          </a:ln>
                        </wps:spPr>
                        <wps:bodyPr/>
                      </wps:wsp>
                      <wps:wsp>
                        <wps:cNvPr id="39" name="直接箭头连接符 39"/>
                        <wps:cNvCnPr/>
                        <wps:spPr>
                          <a:xfrm flipH="1" flipV="1">
                            <a:off x="1943100" y="2740660"/>
                            <a:ext cx="685800" cy="1270"/>
                          </a:xfrm>
                          <a:prstGeom prst="straightConnector1">
                            <a:avLst/>
                          </a:prstGeom>
                          <a:ln w="3175" cap="flat" cmpd="sng">
                            <a:solidFill>
                              <a:srgbClr val="000000"/>
                            </a:solidFill>
                            <a:prstDash val="solid"/>
                            <a:headEnd type="none" w="med" len="med"/>
                            <a:tailEnd type="triangle" w="med" len="med"/>
                          </a:ln>
                        </wps:spPr>
                        <wps:bodyPr/>
                      </wps:wsp>
                      <wps:wsp>
                        <wps:cNvPr id="40" name="文本框 40"/>
                        <wps:cNvSpPr txBox="1"/>
                        <wps:spPr>
                          <a:xfrm>
                            <a:off x="0" y="2514600"/>
                            <a:ext cx="1153160" cy="45720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F9B3BD6">
                              <w:pPr>
                                <w:jc w:val="center"/>
                                <w:rPr>
                                  <w:rFonts w:asciiTheme="minorEastAsia" w:hAnsiTheme="minorEastAsia" w:eastAsiaTheme="minorEastAsia"/>
                                  <w:szCs w:val="21"/>
                                </w:rPr>
                              </w:pPr>
                              <w:r>
                                <w:rPr>
                                  <w:rFonts w:hint="eastAsia" w:asciiTheme="minorEastAsia" w:hAnsiTheme="minorEastAsia" w:eastAsiaTheme="minorEastAsia"/>
                                  <w:szCs w:val="21"/>
                                </w:rPr>
                                <w:t>云南普阳煤化工有限责任公司电石厂</w:t>
                              </w:r>
                            </w:p>
                          </w:txbxContent>
                        </wps:txbx>
                        <wps:bodyPr lIns="0" tIns="0" rIns="0" bIns="0" anchor="ctr" anchorCtr="0" upright="1"/>
                      </wps:wsp>
                      <wps:wsp>
                        <wps:cNvPr id="41" name="直接箭头连接符 41"/>
                        <wps:cNvCnPr/>
                        <wps:spPr>
                          <a:xfrm flipV="1">
                            <a:off x="1713865" y="2400300"/>
                            <a:ext cx="635" cy="229235"/>
                          </a:xfrm>
                          <a:prstGeom prst="straightConnector1">
                            <a:avLst/>
                          </a:prstGeom>
                          <a:ln w="3175" cap="flat" cmpd="sng">
                            <a:solidFill>
                              <a:srgbClr val="000000"/>
                            </a:solidFill>
                            <a:prstDash val="dashDot"/>
                            <a:headEnd type="none" w="med" len="med"/>
                            <a:tailEnd type="triangle" w="med" len="med"/>
                          </a:ln>
                        </wps:spPr>
                        <wps:bodyPr/>
                      </wps:wsp>
                      <wps:wsp>
                        <wps:cNvPr id="42" name="文本框 42"/>
                        <wps:cNvSpPr txBox="1">
                          <a:spLocks noChangeAspect="1"/>
                        </wps:cNvSpPr>
                        <wps:spPr>
                          <a:xfrm>
                            <a:off x="1485265" y="2171700"/>
                            <a:ext cx="457835" cy="229235"/>
                          </a:xfrm>
                          <a:prstGeom prst="rect">
                            <a:avLst/>
                          </a:prstGeom>
                          <a:solidFill>
                            <a:srgbClr val="FFFFFF">
                              <a:alpha val="0"/>
                            </a:srgbClr>
                          </a:solidFill>
                          <a:ln w="3175">
                            <a:noFill/>
                          </a:ln>
                        </wps:spPr>
                        <wps:txbx>
                          <w:txbxContent>
                            <w:p w14:paraId="3BB74F6A">
                              <w:pPr>
                                <w:jc w:val="center"/>
                                <w:rPr>
                                  <w:rFonts w:asciiTheme="minorEastAsia" w:hAnsiTheme="minorEastAsia" w:eastAsiaTheme="minorEastAsia"/>
                                  <w:szCs w:val="21"/>
                                </w:rPr>
                              </w:pPr>
                              <w:r>
                                <w:rPr>
                                  <w:rFonts w:hint="eastAsia" w:eastAsiaTheme="minorEastAsia"/>
                                  <w:szCs w:val="21"/>
                                </w:rPr>
                                <w:t>G</w:t>
                              </w:r>
                            </w:p>
                            <w:p w14:paraId="74931BA0">
                              <w:pPr>
                                <w:jc w:val="center"/>
                                <w:rPr>
                                  <w:rFonts w:asciiTheme="minorEastAsia" w:hAnsiTheme="minorEastAsia" w:eastAsiaTheme="minorEastAsia"/>
                                  <w:szCs w:val="21"/>
                                </w:rPr>
                              </w:pPr>
                            </w:p>
                          </w:txbxContent>
                        </wps:txbx>
                        <wps:bodyPr lIns="0" tIns="18000" rIns="0" bIns="0" anchor="ctr" anchorCtr="0" upright="1"/>
                      </wps:wsp>
                      <wps:wsp>
                        <wps:cNvPr id="43" name="直接箭头连接符 43"/>
                        <wps:cNvCnPr/>
                        <wps:spPr>
                          <a:xfrm flipH="1" flipV="1">
                            <a:off x="4572000" y="1828800"/>
                            <a:ext cx="238125" cy="224155"/>
                          </a:xfrm>
                          <a:prstGeom prst="straightConnector1">
                            <a:avLst/>
                          </a:prstGeom>
                          <a:ln w="3175" cap="flat" cmpd="sng">
                            <a:solidFill>
                              <a:srgbClr val="000000"/>
                            </a:solidFill>
                            <a:prstDash val="dashDot"/>
                            <a:headEnd type="none" w="med" len="med"/>
                            <a:tailEnd type="triangle" w="med" len="med"/>
                          </a:ln>
                        </wps:spPr>
                        <wps:bodyPr/>
                      </wps:wsp>
                      <wps:wsp>
                        <wps:cNvPr id="44" name="直接箭头连接符 44"/>
                        <wps:cNvCnPr/>
                        <wps:spPr>
                          <a:xfrm flipV="1">
                            <a:off x="1028700" y="570230"/>
                            <a:ext cx="635" cy="572770"/>
                          </a:xfrm>
                          <a:prstGeom prst="straightConnector1">
                            <a:avLst/>
                          </a:prstGeom>
                          <a:ln w="3175" cap="flat" cmpd="sng">
                            <a:solidFill>
                              <a:srgbClr val="000000"/>
                            </a:solidFill>
                            <a:prstDash val="solid"/>
                            <a:headEnd type="none" w="med" len="med"/>
                            <a:tailEnd type="none" w="med" len="med"/>
                          </a:ln>
                        </wps:spPr>
                        <wps:bodyPr/>
                      </wps:wsp>
                      <wps:wsp>
                        <wps:cNvPr id="45" name="直接箭头连接符 45"/>
                        <wps:cNvCnPr/>
                        <wps:spPr>
                          <a:xfrm flipH="1" flipV="1">
                            <a:off x="3771900" y="571500"/>
                            <a:ext cx="1270" cy="572135"/>
                          </a:xfrm>
                          <a:prstGeom prst="straightConnector1">
                            <a:avLst/>
                          </a:prstGeom>
                          <a:ln w="3175" cap="flat" cmpd="sng">
                            <a:solidFill>
                              <a:srgbClr val="000000"/>
                            </a:solidFill>
                            <a:prstDash val="solid"/>
                            <a:headEnd type="none" w="med" len="med"/>
                            <a:tailEnd type="none" w="med" len="med"/>
                          </a:ln>
                        </wps:spPr>
                        <wps:bodyPr/>
                      </wps:wsp>
                      <wps:wsp>
                        <wps:cNvPr id="46" name="文本框 46"/>
                        <wps:cNvSpPr txBox="1"/>
                        <wps:spPr>
                          <a:xfrm>
                            <a:off x="2287905" y="112395"/>
                            <a:ext cx="2170430"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4797711D">
                              <w:pPr>
                                <w:jc w:val="center"/>
                                <w:rPr>
                                  <w:rFonts w:asciiTheme="minorEastAsia" w:hAnsiTheme="minorEastAsia" w:eastAsiaTheme="minorEastAsia"/>
                                  <w:szCs w:val="21"/>
                                </w:rPr>
                              </w:pPr>
                              <w:r>
                                <w:rPr>
                                  <w:rFonts w:hint="eastAsia" w:asciiTheme="minorEastAsia" w:hAnsiTheme="minorEastAsia" w:eastAsiaTheme="minorEastAsia"/>
                                  <w:szCs w:val="21"/>
                                </w:rPr>
                                <w:t>清运至废石场堆存（依托1号矿区）</w:t>
                              </w:r>
                            </w:p>
                          </w:txbxContent>
                        </wps:txbx>
                        <wps:bodyPr lIns="0" tIns="0" rIns="0" bIns="0" anchor="ctr" anchorCtr="0" upright="1"/>
                      </wps:wsp>
                      <wps:wsp>
                        <wps:cNvPr id="47" name="直接箭头连接符 47"/>
                        <wps:cNvCnPr/>
                        <wps:spPr>
                          <a:xfrm flipH="1">
                            <a:off x="3886200" y="2286000"/>
                            <a:ext cx="1905" cy="342900"/>
                          </a:xfrm>
                          <a:prstGeom prst="straightConnector1">
                            <a:avLst/>
                          </a:prstGeom>
                          <a:ln w="3175" cap="flat" cmpd="sng">
                            <a:solidFill>
                              <a:srgbClr val="000000"/>
                            </a:solidFill>
                            <a:prstDash val="solid"/>
                            <a:headEnd type="none" w="med" len="med"/>
                            <a:tailEnd type="triangle" w="med" len="med"/>
                          </a:ln>
                        </wps:spPr>
                        <wps:bodyPr/>
                      </wps:wsp>
                      <wps:wsp>
                        <wps:cNvPr id="48" name="文本框 48"/>
                        <wps:cNvSpPr txBox="1"/>
                        <wps:spPr>
                          <a:xfrm>
                            <a:off x="3543300" y="2626995"/>
                            <a:ext cx="685800"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406FBEB4">
                              <w:pPr>
                                <w:jc w:val="center"/>
                                <w:rPr>
                                  <w:rFonts w:asciiTheme="minorEastAsia" w:hAnsiTheme="minorEastAsia" w:eastAsiaTheme="minorEastAsia"/>
                                  <w:szCs w:val="21"/>
                                </w:rPr>
                              </w:pPr>
                              <w:r>
                                <w:rPr>
                                  <w:rFonts w:hint="eastAsia" w:asciiTheme="minorEastAsia" w:hAnsiTheme="minorEastAsia" w:eastAsiaTheme="minorEastAsia"/>
                                  <w:szCs w:val="21"/>
                                </w:rPr>
                                <w:t>二级破碎</w:t>
                              </w:r>
                            </w:p>
                          </w:txbxContent>
                        </wps:txbx>
                        <wps:bodyPr lIns="0" tIns="0" rIns="0" bIns="0" anchor="ctr" anchorCtr="0" upright="1"/>
                      </wps:wsp>
                      <wps:wsp>
                        <wps:cNvPr id="49" name="直接箭头连接符 49"/>
                        <wps:cNvCnPr/>
                        <wps:spPr>
                          <a:xfrm flipH="1">
                            <a:off x="3886200" y="2857500"/>
                            <a:ext cx="1905" cy="342900"/>
                          </a:xfrm>
                          <a:prstGeom prst="straightConnector1">
                            <a:avLst/>
                          </a:prstGeom>
                          <a:ln w="3175" cap="flat" cmpd="sng">
                            <a:solidFill>
                              <a:srgbClr val="000000"/>
                            </a:solidFill>
                            <a:prstDash val="solid"/>
                            <a:headEnd type="none" w="med" len="med"/>
                            <a:tailEnd type="triangle" w="med" len="med"/>
                          </a:ln>
                        </wps:spPr>
                        <wps:bodyPr/>
                      </wps:wsp>
                      <wps:wsp>
                        <wps:cNvPr id="50" name="文本框 50"/>
                        <wps:cNvSpPr txBox="1"/>
                        <wps:spPr>
                          <a:xfrm>
                            <a:off x="3543300" y="3198495"/>
                            <a:ext cx="685800"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39F0F13C">
                              <w:pPr>
                                <w:jc w:val="center"/>
                                <w:rPr>
                                  <w:rFonts w:asciiTheme="minorEastAsia" w:hAnsiTheme="minorEastAsia" w:eastAsiaTheme="minorEastAsia"/>
                                  <w:szCs w:val="21"/>
                                </w:rPr>
                              </w:pPr>
                              <w:r>
                                <w:rPr>
                                  <w:rFonts w:hint="eastAsia" w:asciiTheme="minorEastAsia" w:hAnsiTheme="minorEastAsia" w:eastAsiaTheme="minorEastAsia"/>
                                  <w:szCs w:val="21"/>
                                </w:rPr>
                                <w:t>振动筛分</w:t>
                              </w:r>
                            </w:p>
                          </w:txbxContent>
                        </wps:txbx>
                        <wps:bodyPr lIns="0" tIns="0" rIns="0" bIns="0" anchor="ctr" anchorCtr="0" upright="1"/>
                      </wps:wsp>
                      <wps:wsp>
                        <wps:cNvPr id="51" name="文本框 51"/>
                        <wps:cNvSpPr txBox="1"/>
                        <wps:spPr>
                          <a:xfrm>
                            <a:off x="2057400" y="3085465"/>
                            <a:ext cx="1143000" cy="45783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F30874C">
                              <w:pPr>
                                <w:jc w:val="center"/>
                                <w:rPr>
                                  <w:rFonts w:asciiTheme="minorEastAsia" w:hAnsiTheme="minorEastAsia" w:eastAsiaTheme="minorEastAsia"/>
                                  <w:szCs w:val="21"/>
                                </w:rPr>
                              </w:pPr>
                              <w:r>
                                <w:rPr>
                                  <w:rFonts w:hint="eastAsia" w:asciiTheme="minorEastAsia" w:hAnsiTheme="minorEastAsia" w:eastAsiaTheme="minorEastAsia"/>
                                  <w:szCs w:val="21"/>
                                </w:rPr>
                                <w:t>石子</w:t>
                              </w:r>
                            </w:p>
                            <w:p w14:paraId="0DD809FF">
                              <w:pPr>
                                <w:jc w:val="center"/>
                                <w:rPr>
                                  <w:rFonts w:asciiTheme="minorEastAsia" w:hAnsiTheme="minorEastAsia" w:eastAsiaTheme="minorEastAsia"/>
                                  <w:szCs w:val="21"/>
                                </w:rPr>
                              </w:pPr>
                              <w:r>
                                <w:rPr>
                                  <w:rFonts w:hint="eastAsia" w:asciiTheme="minorEastAsia" w:hAnsiTheme="minorEastAsia" w:eastAsiaTheme="minorEastAsia"/>
                                  <w:szCs w:val="21"/>
                                </w:rPr>
                                <w:t>（粒径</w:t>
                              </w:r>
                              <w:r>
                                <w:rPr>
                                  <w:rFonts w:eastAsiaTheme="minorEastAsia"/>
                                  <w:szCs w:val="21"/>
                                </w:rPr>
                                <w:t>30</w:t>
                              </w:r>
                              <w:r>
                                <w:rPr>
                                  <w:rFonts w:hint="eastAsia" w:eastAsiaTheme="minorEastAsia"/>
                                  <w:szCs w:val="21"/>
                                </w:rPr>
                                <w:t>~</w:t>
                              </w:r>
                              <w:r>
                                <w:rPr>
                                  <w:rFonts w:eastAsiaTheme="minorEastAsia"/>
                                  <w:szCs w:val="21"/>
                                </w:rPr>
                                <w:t>60mm</w:t>
                              </w:r>
                              <w:r>
                                <w:rPr>
                                  <w:rFonts w:hint="eastAsia" w:asciiTheme="minorEastAsia" w:hAnsiTheme="minorEastAsia" w:eastAsiaTheme="minorEastAsia"/>
                                  <w:szCs w:val="21"/>
                                </w:rPr>
                                <w:t>）</w:t>
                              </w:r>
                            </w:p>
                          </w:txbxContent>
                        </wps:txbx>
                        <wps:bodyPr lIns="0" tIns="0" rIns="0" bIns="0" anchor="ctr" anchorCtr="0" upright="1"/>
                      </wps:wsp>
                      <wps:wsp>
                        <wps:cNvPr id="52" name="直接箭头连接符 52"/>
                        <wps:cNvCnPr/>
                        <wps:spPr>
                          <a:xfrm flipH="1">
                            <a:off x="3200400" y="3314700"/>
                            <a:ext cx="342900" cy="635"/>
                          </a:xfrm>
                          <a:prstGeom prst="straightConnector1">
                            <a:avLst/>
                          </a:prstGeom>
                          <a:ln w="3175" cap="flat" cmpd="sng">
                            <a:solidFill>
                              <a:srgbClr val="000000"/>
                            </a:solidFill>
                            <a:prstDash val="solid"/>
                            <a:headEnd type="none" w="med" len="med"/>
                            <a:tailEnd type="triangle" w="med" len="med"/>
                          </a:ln>
                        </wps:spPr>
                        <wps:bodyPr/>
                      </wps:wsp>
                      <wps:wsp>
                        <wps:cNvPr id="53" name="直接箭头连接符 53"/>
                        <wps:cNvCnPr/>
                        <wps:spPr>
                          <a:xfrm flipH="1">
                            <a:off x="3886200" y="3429000"/>
                            <a:ext cx="1905" cy="342900"/>
                          </a:xfrm>
                          <a:prstGeom prst="straightConnector1">
                            <a:avLst/>
                          </a:prstGeom>
                          <a:ln w="3175" cap="flat" cmpd="sng">
                            <a:solidFill>
                              <a:srgbClr val="000000"/>
                            </a:solidFill>
                            <a:prstDash val="solid"/>
                            <a:headEnd type="none" w="med" len="med"/>
                            <a:tailEnd type="triangle" w="med" len="med"/>
                          </a:ln>
                        </wps:spPr>
                        <wps:bodyPr/>
                      </wps:wsp>
                      <wps:wsp>
                        <wps:cNvPr id="54" name="直接箭头连接符 54"/>
                        <wps:cNvCnPr/>
                        <wps:spPr>
                          <a:xfrm flipH="1">
                            <a:off x="2628900" y="2400300"/>
                            <a:ext cx="1905" cy="342900"/>
                          </a:xfrm>
                          <a:prstGeom prst="straightConnector1">
                            <a:avLst/>
                          </a:prstGeom>
                          <a:ln w="3175" cap="flat" cmpd="sng">
                            <a:solidFill>
                              <a:srgbClr val="000000"/>
                            </a:solidFill>
                            <a:prstDash val="solid"/>
                            <a:headEnd type="none" w="med" len="med"/>
                            <a:tailEnd type="triangle" w="med" len="med"/>
                          </a:ln>
                        </wps:spPr>
                        <wps:bodyPr/>
                      </wps:wsp>
                      <wps:wsp>
                        <wps:cNvPr id="55" name="直接箭头连接符 55"/>
                        <wps:cNvCnPr/>
                        <wps:spPr>
                          <a:xfrm flipV="1">
                            <a:off x="2628900" y="2743200"/>
                            <a:ext cx="1905" cy="342265"/>
                          </a:xfrm>
                          <a:prstGeom prst="straightConnector1">
                            <a:avLst/>
                          </a:prstGeom>
                          <a:ln w="3175" cap="flat" cmpd="sng">
                            <a:solidFill>
                              <a:srgbClr val="000000"/>
                            </a:solidFill>
                            <a:prstDash val="solid"/>
                            <a:headEnd type="none" w="med" len="med"/>
                            <a:tailEnd type="triangle" w="med" len="med"/>
                          </a:ln>
                        </wps:spPr>
                        <wps:bodyPr/>
                      </wps:wsp>
                      <wps:wsp>
                        <wps:cNvPr id="56" name="文本框 56"/>
                        <wps:cNvSpPr txBox="1"/>
                        <wps:spPr>
                          <a:xfrm>
                            <a:off x="3314700" y="3771900"/>
                            <a:ext cx="1371600" cy="45720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7DD79F32">
                              <w:pPr>
                                <w:jc w:val="center"/>
                                <w:rPr>
                                  <w:rFonts w:asciiTheme="minorEastAsia" w:hAnsiTheme="minorEastAsia" w:eastAsiaTheme="minorEastAsia"/>
                                  <w:szCs w:val="21"/>
                                </w:rPr>
                              </w:pPr>
                              <w:r>
                                <w:rPr>
                                  <w:rFonts w:hint="eastAsia" w:asciiTheme="minorEastAsia" w:hAnsiTheme="minorEastAsia" w:eastAsiaTheme="minorEastAsia"/>
                                  <w:szCs w:val="21"/>
                                </w:rPr>
                                <w:t>石子（粒径﹤</w:t>
                              </w:r>
                              <w:r>
                                <w:rPr>
                                  <w:rFonts w:eastAsiaTheme="minorEastAsia"/>
                                  <w:szCs w:val="21"/>
                                </w:rPr>
                                <w:t>30mm</w:t>
                              </w:r>
                              <w:r>
                                <w:rPr>
                                  <w:rFonts w:hint="eastAsia" w:asciiTheme="minorEastAsia" w:hAnsiTheme="minorEastAsia" w:eastAsiaTheme="minorEastAsia"/>
                                  <w:szCs w:val="21"/>
                                </w:rPr>
                                <w:t>）</w:t>
                              </w:r>
                            </w:p>
                            <w:p w14:paraId="10184559">
                              <w:pPr>
                                <w:jc w:val="center"/>
                                <w:rPr>
                                  <w:rFonts w:asciiTheme="minorEastAsia" w:hAnsiTheme="minorEastAsia" w:eastAsiaTheme="minorEastAsia"/>
                                  <w:szCs w:val="21"/>
                                </w:rPr>
                              </w:pPr>
                              <w:r>
                                <w:rPr>
                                  <w:rFonts w:hint="eastAsia" w:asciiTheme="minorEastAsia" w:hAnsiTheme="minorEastAsia" w:eastAsiaTheme="minorEastAsia"/>
                                  <w:szCs w:val="21"/>
                                </w:rPr>
                                <w:t>占开采量</w:t>
                              </w:r>
                              <w:r>
                                <w:rPr>
                                  <w:rFonts w:eastAsiaTheme="minorEastAsia"/>
                                  <w:szCs w:val="21"/>
                                </w:rPr>
                                <w:t>30%</w:t>
                              </w:r>
                            </w:p>
                          </w:txbxContent>
                        </wps:txbx>
                        <wps:bodyPr lIns="0" tIns="0" rIns="0" bIns="0" anchor="ctr" anchorCtr="0" upright="1"/>
                      </wps:wsp>
                      <wps:wsp>
                        <wps:cNvPr id="57" name="文本框 57"/>
                        <wps:cNvSpPr txBox="1"/>
                        <wps:spPr>
                          <a:xfrm>
                            <a:off x="2515870" y="3883660"/>
                            <a:ext cx="455930" cy="230505"/>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3EB4722D">
                              <w:pPr>
                                <w:jc w:val="center"/>
                                <w:rPr>
                                  <w:rFonts w:asciiTheme="minorEastAsia" w:hAnsiTheme="minorEastAsia" w:eastAsiaTheme="minorEastAsia"/>
                                  <w:szCs w:val="21"/>
                                </w:rPr>
                              </w:pPr>
                              <w:r>
                                <w:rPr>
                                  <w:rFonts w:hint="eastAsia" w:asciiTheme="minorEastAsia" w:hAnsiTheme="minorEastAsia" w:eastAsiaTheme="minorEastAsia"/>
                                  <w:szCs w:val="21"/>
                                </w:rPr>
                                <w:t>堆场</w:t>
                              </w:r>
                            </w:p>
                          </w:txbxContent>
                        </wps:txbx>
                        <wps:bodyPr lIns="0" tIns="0" rIns="0" bIns="0" anchor="ctr" anchorCtr="0" upright="1"/>
                      </wps:wsp>
                      <wps:wsp>
                        <wps:cNvPr id="58" name="直接箭头连接符 58"/>
                        <wps:cNvCnPr/>
                        <wps:spPr>
                          <a:xfrm rot="10800000">
                            <a:off x="2181860" y="3998595"/>
                            <a:ext cx="332740" cy="635"/>
                          </a:xfrm>
                          <a:prstGeom prst="straightConnector1">
                            <a:avLst/>
                          </a:prstGeom>
                          <a:ln w="3175" cap="flat" cmpd="sng">
                            <a:solidFill>
                              <a:srgbClr val="000000"/>
                            </a:solidFill>
                            <a:prstDash val="solid"/>
                            <a:headEnd type="none" w="med" len="med"/>
                            <a:tailEnd type="triangle" w="med" len="med"/>
                          </a:ln>
                        </wps:spPr>
                        <wps:bodyPr/>
                      </wps:wsp>
                      <wps:wsp>
                        <wps:cNvPr id="59" name="直接箭头连接符 59"/>
                        <wps:cNvCnPr/>
                        <wps:spPr>
                          <a:xfrm flipH="1">
                            <a:off x="2971800" y="3999230"/>
                            <a:ext cx="342900" cy="635"/>
                          </a:xfrm>
                          <a:prstGeom prst="straightConnector1">
                            <a:avLst/>
                          </a:prstGeom>
                          <a:ln w="3175" cap="flat" cmpd="sng">
                            <a:solidFill>
                              <a:srgbClr val="000000"/>
                            </a:solidFill>
                            <a:prstDash val="solid"/>
                            <a:headEnd type="none" w="med" len="med"/>
                            <a:tailEnd type="triangle" w="med" len="med"/>
                          </a:ln>
                        </wps:spPr>
                        <wps:bodyPr/>
                      </wps:wsp>
                      <wps:wsp>
                        <wps:cNvPr id="60" name="文本框 60"/>
                        <wps:cNvSpPr txBox="1"/>
                        <wps:spPr>
                          <a:xfrm>
                            <a:off x="0" y="3883660"/>
                            <a:ext cx="2171700" cy="231140"/>
                          </a:xfrm>
                          <a:prstGeom prst="rect">
                            <a:avLst/>
                          </a:prstGeom>
                          <a:solidFill>
                            <a:srgbClr val="FFFFFF"/>
                          </a:solidFill>
                          <a:ln w="3175" cap="flat" cmpd="sng">
                            <a:solidFill>
                              <a:srgbClr val="000000"/>
                            </a:solidFill>
                            <a:prstDash val="solid"/>
                            <a:miter/>
                            <a:headEnd type="none" w="med" len="med"/>
                            <a:tailEnd type="none" w="med" len="med"/>
                          </a:ln>
                        </wps:spPr>
                        <wps:txbx>
                          <w:txbxContent>
                            <w:p w14:paraId="2425F362">
                              <w:pPr>
                                <w:jc w:val="center"/>
                                <w:rPr>
                                  <w:rFonts w:asciiTheme="minorEastAsia" w:hAnsiTheme="minorEastAsia" w:eastAsiaTheme="minorEastAsia"/>
                                  <w:szCs w:val="21"/>
                                </w:rPr>
                              </w:pPr>
                              <w:r>
                                <w:rPr>
                                  <w:rFonts w:hint="eastAsia" w:asciiTheme="minorEastAsia" w:hAnsiTheme="minorEastAsia" w:eastAsiaTheme="minorEastAsia"/>
                                  <w:szCs w:val="21"/>
                                </w:rPr>
                                <w:t>公分石、砂子等作为建筑材料外售</w:t>
                              </w:r>
                            </w:p>
                          </w:txbxContent>
                        </wps:txbx>
                        <wps:bodyPr lIns="0" tIns="0" rIns="0" bIns="0" anchor="ctr" anchorCtr="0" upright="1"/>
                      </wps:wsp>
                      <wps:wsp>
                        <wps:cNvPr id="61" name="直接箭头连接符 61"/>
                        <wps:cNvCnPr/>
                        <wps:spPr>
                          <a:xfrm flipH="1" flipV="1">
                            <a:off x="2628265" y="3657600"/>
                            <a:ext cx="114935" cy="226060"/>
                          </a:xfrm>
                          <a:prstGeom prst="straightConnector1">
                            <a:avLst/>
                          </a:prstGeom>
                          <a:ln w="3175" cap="flat" cmpd="sng">
                            <a:solidFill>
                              <a:srgbClr val="000000"/>
                            </a:solidFill>
                            <a:prstDash val="dashDot"/>
                            <a:headEnd type="none" w="med" len="med"/>
                            <a:tailEnd type="triangle" w="med" len="med"/>
                          </a:ln>
                        </wps:spPr>
                        <wps:bodyPr/>
                      </wps:wsp>
                      <wps:wsp>
                        <wps:cNvPr id="62" name="文本框 62"/>
                        <wps:cNvSpPr txBox="1">
                          <a:spLocks noChangeAspect="1"/>
                        </wps:cNvSpPr>
                        <wps:spPr>
                          <a:xfrm>
                            <a:off x="2400300" y="3543300"/>
                            <a:ext cx="239395" cy="229235"/>
                          </a:xfrm>
                          <a:prstGeom prst="rect">
                            <a:avLst/>
                          </a:prstGeom>
                          <a:solidFill>
                            <a:srgbClr val="FFFFFF">
                              <a:alpha val="0"/>
                            </a:srgbClr>
                          </a:solidFill>
                          <a:ln w="3175">
                            <a:noFill/>
                          </a:ln>
                        </wps:spPr>
                        <wps:txbx>
                          <w:txbxContent>
                            <w:p w14:paraId="3B1F2F9C">
                              <w:pPr>
                                <w:jc w:val="center"/>
                                <w:rPr>
                                  <w:rFonts w:asciiTheme="minorEastAsia" w:hAnsiTheme="minorEastAsia" w:eastAsiaTheme="minorEastAsia"/>
                                  <w:szCs w:val="21"/>
                                </w:rPr>
                              </w:pPr>
                              <w:r>
                                <w:rPr>
                                  <w:rFonts w:hint="eastAsia" w:eastAsiaTheme="minorEastAsia"/>
                                  <w:szCs w:val="21"/>
                                </w:rPr>
                                <w:t>G</w:t>
                              </w:r>
                            </w:p>
                            <w:p w14:paraId="2BDDBB91">
                              <w:pPr>
                                <w:jc w:val="center"/>
                                <w:rPr>
                                  <w:rFonts w:asciiTheme="minorEastAsia" w:hAnsiTheme="minorEastAsia" w:eastAsiaTheme="minorEastAsia"/>
                                  <w:szCs w:val="21"/>
                                </w:rPr>
                              </w:pPr>
                            </w:p>
                          </w:txbxContent>
                        </wps:txbx>
                        <wps:bodyPr lIns="0" tIns="18000" rIns="0" bIns="0" anchor="ctr" anchorCtr="0" upright="1"/>
                      </wps:wsp>
                      <wps:wsp>
                        <wps:cNvPr id="63" name="文本框 63"/>
                        <wps:cNvSpPr txBox="1">
                          <a:spLocks noChangeAspect="1"/>
                        </wps:cNvSpPr>
                        <wps:spPr>
                          <a:xfrm>
                            <a:off x="1637665" y="2324100"/>
                            <a:ext cx="457835" cy="229235"/>
                          </a:xfrm>
                          <a:prstGeom prst="rect">
                            <a:avLst/>
                          </a:prstGeom>
                          <a:solidFill>
                            <a:srgbClr val="FFFFFF">
                              <a:alpha val="0"/>
                            </a:srgbClr>
                          </a:solidFill>
                          <a:ln w="3175">
                            <a:noFill/>
                          </a:ln>
                        </wps:spPr>
                        <wps:txbx>
                          <w:txbxContent>
                            <w:p w14:paraId="13A60304"/>
                          </w:txbxContent>
                        </wps:txbx>
                        <wps:bodyPr lIns="0" tIns="18000" rIns="0" bIns="0" anchor="ctr" anchorCtr="0" upright="1"/>
                      </wps:wsp>
                      <wps:wsp>
                        <wps:cNvPr id="64" name="文本框 64"/>
                        <wps:cNvSpPr txBox="1">
                          <a:spLocks noChangeAspect="1"/>
                        </wps:cNvSpPr>
                        <wps:spPr>
                          <a:xfrm>
                            <a:off x="4457700" y="2857500"/>
                            <a:ext cx="800100" cy="342900"/>
                          </a:xfrm>
                          <a:prstGeom prst="rect">
                            <a:avLst/>
                          </a:prstGeom>
                          <a:solidFill>
                            <a:srgbClr val="FFFFFF">
                              <a:alpha val="0"/>
                            </a:srgbClr>
                          </a:solidFill>
                          <a:ln w="3175">
                            <a:noFill/>
                          </a:ln>
                        </wps:spPr>
                        <wps:txbx>
                          <w:txbxContent>
                            <w:p w14:paraId="51CE91D8">
                              <w:pPr>
                                <w:jc w:val="center"/>
                                <w:rPr>
                                  <w:rFonts w:asciiTheme="minorEastAsia" w:hAnsiTheme="minorEastAsia" w:eastAsiaTheme="minorEastAsia"/>
                                  <w:szCs w:val="21"/>
                                </w:rPr>
                              </w:pPr>
                              <w:r>
                                <w:rPr>
                                  <w:rFonts w:hint="eastAsia" w:eastAsiaTheme="minorEastAsia"/>
                                  <w:szCs w:val="21"/>
                                </w:rPr>
                                <w:t>N、G、振动</w:t>
                              </w:r>
                            </w:p>
                          </w:txbxContent>
                        </wps:txbx>
                        <wps:bodyPr lIns="0" tIns="18000" rIns="0" bIns="0" anchor="ctr" anchorCtr="0" upright="1"/>
                      </wps:wsp>
                      <wps:wsp>
                        <wps:cNvPr id="65" name="直接箭头连接符 65"/>
                        <wps:cNvCnPr/>
                        <wps:spPr>
                          <a:xfrm flipV="1">
                            <a:off x="4229100" y="3086100"/>
                            <a:ext cx="229235" cy="227965"/>
                          </a:xfrm>
                          <a:prstGeom prst="straightConnector1">
                            <a:avLst/>
                          </a:prstGeom>
                          <a:ln w="3175" cap="flat" cmpd="sng">
                            <a:solidFill>
                              <a:srgbClr val="000000"/>
                            </a:solidFill>
                            <a:prstDash val="dashDot"/>
                            <a:headEnd type="none" w="med" len="med"/>
                            <a:tailEnd type="triangle" w="med" len="med"/>
                          </a:ln>
                        </wps:spPr>
                        <wps:bodyPr/>
                      </wps:wsp>
                      <wps:wsp>
                        <wps:cNvPr id="66" name="直接箭头连接符 66"/>
                        <wps:cNvCnPr/>
                        <wps:spPr>
                          <a:xfrm>
                            <a:off x="4229100" y="2742565"/>
                            <a:ext cx="228600" cy="227965"/>
                          </a:xfrm>
                          <a:prstGeom prst="straightConnector1">
                            <a:avLst/>
                          </a:prstGeom>
                          <a:ln w="3175" cap="flat" cmpd="sng">
                            <a:solidFill>
                              <a:srgbClr val="000000"/>
                            </a:solidFill>
                            <a:prstDash val="dashDot"/>
                            <a:headEnd type="none" w="med" len="med"/>
                            <a:tailEnd type="triangle" w="med" len="med"/>
                          </a:ln>
                        </wps:spPr>
                        <wps:bodyPr/>
                      </wps:wsp>
                    </wpc:wpc>
                  </a:graphicData>
                </a:graphic>
              </wp:inline>
            </w:drawing>
          </mc:Choice>
          <mc:Fallback>
            <w:pict>
              <v:group id="_x0000_s1026" o:spid="_x0000_s1026" o:spt="203" style="height:333pt;width:415.3pt;" coordsize="5274310,4229100" editas="canvas" o:gfxdata="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AAAAAGRycy9QSwECFAAUAAAA&#10;CACHTuJAttQU4tYAAAAFAQAADwAAAAAAAAABACAAAAAiAAAAZHJzL2Rvd25yZXYueG1sUEsBAhQA&#10;FAAAAAgAh07iQPf0MgTACwAA7IcAAA4AAAAAAAAAAQAgAAAAJQEAAGRycy9lMm9Eb2MueG1sUEsF&#10;BgAAAAAGAAYAWQEAAFcPAAAAAA==&#10;">
                <o:lock v:ext="edit" aspectratio="f"/>
                <v:shape id="_x0000_s1026" o:spid="_x0000_s1026" style="position:absolute;left:0;top:0;height:4229100;width:5274310;" filled="f" stroked="t" coordsize="21600,21600" o:gfxdata="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">
                  <v:fill on="f" focussize="0,0"/>
                  <v:stroke color="#3B3838 [814]" joinstyle="round"/>
                  <v:imagedata o:title=""/>
                  <o:lock v:ext="edit" aspectratio="t"/>
                </v:shape>
                <v:shape id="_x0000_s1026" o:spid="_x0000_s1026" o:spt="202" type="#_x0000_t202" style="position:absolute;left:914400;top:1144270;height:228600;width:6858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EwIZtUAAAAFAQAADwAAAAAAAAABACAAAAAiAAAAZHJzL2Rvd25yZXYueG1sUEsBAhQA&#10;FAAAAAgAh07iQAAgd88uAgAAfwQAAA4AAAAAAAAAAQAgAAAAJAEAAGRycy9lMm9Eb2MueG1sUEsF&#10;BgAAAAAGAAYAWQEAAMQFAAAAAA==&#10;">
                  <v:fill on="t" focussize="0,0"/>
                  <v:stroke weight="0.25pt" color="#000000" joinstyle="miter"/>
                  <v:imagedata o:title=""/>
                  <o:lock v:ext="edit" aspectratio="f"/>
                  <v:textbox inset="0mm,0mm,0mm,0mm">
                    <w:txbxContent>
                      <w:p w14:paraId="0C50177D">
                        <w:pPr>
                          <w:jc w:val="center"/>
                          <w:rPr>
                            <w:rFonts w:asciiTheme="minorEastAsia" w:hAnsiTheme="minorEastAsia" w:eastAsiaTheme="minorEastAsia"/>
                            <w:szCs w:val="21"/>
                          </w:rPr>
                        </w:pPr>
                        <w:r>
                          <w:rPr>
                            <w:rFonts w:hint="eastAsia" w:asciiTheme="minorEastAsia" w:hAnsiTheme="minorEastAsia" w:eastAsiaTheme="minorEastAsia"/>
                            <w:szCs w:val="21"/>
                          </w:rPr>
                          <w:t>表层剥离</w:t>
                        </w:r>
                      </w:p>
                    </w:txbxContent>
                  </v:textbox>
                </v:shape>
                <v:shape id="_x0000_s1026" o:spid="_x0000_s1026" o:spt="202" type="#_x0000_t202" style="position:absolute;left:1943100;top:1144270;height:230505;width:1373505;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RMCGbVAAAABQEAAA8AAAAAAAAAAQAgAAAAIgAAAGRycy9kb3ducmV2LnhtbFBLAQIU&#10;ABQAAAAIAIdO4kBfd1fdLwIAAIEEAAAOAAAAAAAAAAEAIAAAACQBAABkcnMvZTJvRG9jLnhtbFBL&#10;BQYAAAAABgAGAFkBAADFBQAAAAA=&#10;">
                  <v:fill on="t" focussize="0,0"/>
                  <v:stroke weight="0.25pt" color="#000000" joinstyle="miter"/>
                  <v:imagedata o:title=""/>
                  <o:lock v:ext="edit" aspectratio="f"/>
                  <v:textbox inset="0mm,0mm,0mm,0mm">
                    <w:txbxContent>
                      <w:p w14:paraId="639C0799">
                        <w:pPr>
                          <w:jc w:val="center"/>
                          <w:rPr>
                            <w:rFonts w:asciiTheme="minorEastAsia" w:hAnsiTheme="minorEastAsia" w:eastAsiaTheme="minorEastAsia"/>
                            <w:szCs w:val="21"/>
                          </w:rPr>
                        </w:pPr>
                        <w:r>
                          <w:rPr>
                            <w:rFonts w:hint="eastAsia" w:asciiTheme="minorEastAsia" w:hAnsiTheme="minorEastAsia" w:eastAsiaTheme="minorEastAsia"/>
                            <w:szCs w:val="21"/>
                          </w:rPr>
                          <w:t>钻孔爆破、挖机采掘</w:t>
                        </w:r>
                      </w:p>
                    </w:txbxContent>
                  </v:textbox>
                </v:shape>
                <v:shape id="_x0000_s1026" o:spid="_x0000_s1026" o:spt="32" type="#_x0000_t32" style="position:absolute;left:1371600;top:915035;flip:y;height:229235;width:6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ZvdMNYAAAAFAQAA&#10;DwAAAAAAAAABACAAAAAiAAAAZHJzL2Rvd25yZXYueG1sUEsBAhQAFAAAAAgAh07iQIfRzNobAgAA&#10;CAQAAA4AAAAAAAAAAQAgAAAAJQEAAGRycy9lMm9Eb2MueG1sUEsFBgAAAAAGAAYAWQEAALIFAAAA&#10;AA==&#10;">
                  <v:fill on="f" focussize="0,0"/>
                  <v:stroke weight="0.25pt" color="#000000" joinstyle="round" dashstyle="dashDot" endarrow="block"/>
                  <v:imagedata o:title=""/>
                  <o:lock v:ext="edit" aspectratio="f"/>
                </v:shape>
                <v:shape id="_x0000_s1026" o:spid="_x0000_s1026" o:spt="202" type="#_x0000_t202" style="position:absolute;left:4688205;top:1143635;height:229235;width:455295;v-text-anchor:middle;" fillcolor="#FFFFFF" filled="t" stroked="t" coordsize="21600,21600" o:gfxdata="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J0v91QAAAAUB&#10;AAAPAAAAAAAAAAEAIAAAACIAAABkcnMvZG93bnJldi54bWxQSwECFAAUAAAACACHTuJASUBCnFcC&#10;AADNBAAADgAAAAAAAAABACAAAAAkAQAAZHJzL2Uyb0RvYy54bWxQSwUGAAAAAAYABgBZAQAA7QUA&#10;AAAA&#10;">
                  <v:fill on="t" opacity="0f" focussize="0,0"/>
                  <v:stroke weight="0.25pt" color="#000000" joinstyle="miter"/>
                  <v:imagedata o:title=""/>
                  <o:lock v:ext="edit" aspectratio="t"/>
                  <v:textbox inset="0mm,0.5mm,0mm,0mm">
                    <w:txbxContent>
                      <w:p w14:paraId="22AE4FCB">
                        <w:pPr>
                          <w:jc w:val="center"/>
                          <w:rPr>
                            <w:rFonts w:asciiTheme="minorEastAsia" w:hAnsiTheme="minorEastAsia" w:eastAsiaTheme="minorEastAsia"/>
                            <w:szCs w:val="21"/>
                          </w:rPr>
                        </w:pPr>
                        <w:r>
                          <w:rPr>
                            <w:rFonts w:hint="eastAsia" w:eastAsiaTheme="minorEastAsia"/>
                            <w:szCs w:val="21"/>
                          </w:rPr>
                          <w:t>毛石</w:t>
                        </w:r>
                      </w:p>
                    </w:txbxContent>
                  </v:textbox>
                </v:shape>
                <v:shape id="_x0000_s1026" o:spid="_x0000_s1026" o:spt="202" type="#_x0000_t202" style="position:absolute;left:113665;top:1142365;height:229235;width:457835;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HR7NfSAAAABQEAAA8AAAAAAAAAAQAgAAAA&#10;IgAAAGRycy9kb3ducmV2LnhtbFBLAQIUABQAAAAIAIdO4kBZkUIaEQIAABYEAAAOAAAAAAAAAAEA&#10;IAAAACEBAABkcnMvZTJvRG9jLnhtbFBLBQYAAAAABgAGAFkBAACkBQAAAAA=&#10;">
                  <v:fill on="t" opacity="0f" focussize="0,0"/>
                  <v:stroke on="f" weight="0.25pt"/>
                  <v:imagedata o:title=""/>
                  <o:lock v:ext="edit" aspectratio="t"/>
                  <v:textbox inset="0mm,0.5mm,0mm,0mm">
                    <w:txbxContent>
                      <w:p w14:paraId="4E8E9617">
                        <w:pPr>
                          <w:jc w:val="center"/>
                          <w:rPr>
                            <w:rFonts w:asciiTheme="minorEastAsia" w:hAnsiTheme="minorEastAsia" w:eastAsiaTheme="minorEastAsia"/>
                            <w:szCs w:val="21"/>
                          </w:rPr>
                        </w:pPr>
                        <w:r>
                          <w:rPr>
                            <w:rFonts w:hint="eastAsia" w:eastAsiaTheme="minorEastAsia"/>
                            <w:szCs w:val="21"/>
                          </w:rPr>
                          <w:t>矿山</w:t>
                        </w:r>
                      </w:p>
                    </w:txbxContent>
                  </v:textbox>
                </v:shape>
                <v:shape id="_x0000_s1026" o:spid="_x0000_s1026" o:spt="202" type="#_x0000_t202" style="position:absolute;left:1143000;top:682625;height:229235;width:457200;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h0ezX0gAAAAUBAAAPAAAAAAAAAAEAIAAA&#10;ACIAAABkcnMvZG93bnJldi54bWxQSwECFAAUAAAACACHTuJAz+t65hICAAAWBAAADgAAAAAAAAAB&#10;ACAAAAAhAQAAZHJzL2Uyb0RvYy54bWxQSwUGAAAAAAYABgBZAQAApQUAAAAA&#10;">
                  <v:fill on="t" opacity="0f" focussize="0,0"/>
                  <v:stroke on="f" weight="0.25pt"/>
                  <v:imagedata o:title=""/>
                  <o:lock v:ext="edit" aspectratio="t"/>
                  <v:textbox inset="0mm,0.5mm,0mm,0mm">
                    <w:txbxContent>
                      <w:p w14:paraId="41C49309">
                        <w:pPr>
                          <w:jc w:val="center"/>
                          <w:rPr>
                            <w:rFonts w:asciiTheme="minorEastAsia" w:hAnsiTheme="minorEastAsia" w:eastAsiaTheme="minorEastAsia"/>
                            <w:szCs w:val="21"/>
                          </w:rPr>
                        </w:pPr>
                        <w:r>
                          <w:rPr>
                            <w:rFonts w:hint="eastAsia" w:eastAsiaTheme="minorEastAsia"/>
                            <w:szCs w:val="21"/>
                          </w:rPr>
                          <w:t>N、G</w:t>
                        </w:r>
                      </w:p>
                    </w:txbxContent>
                  </v:textbox>
                </v:shape>
                <v:shape id="_x0000_s1026" o:spid="_x0000_s1026" o:spt="32" type="#_x0000_t32" style="position:absolute;left:4915535;top:1372870;flip:x;height:681990;width:63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a++5i1gAAAAUBAAAP&#10;AAAAAAAAAAEAIAAAACIAAABkcnMvZG93bnJldi54bWxQSwECFAAUAAAACACHTuJAewnveBoCAAAJ&#10;BAAADgAAAAAAAAABACAAAAAlAQAAZHJzL2Uyb0RvYy54bWxQSwUGAAAAAAYABgBZAQAAsQUAAAAA&#10;">
                  <v:fill on="f" focussize="0,0"/>
                  <v:stroke weight="0.25pt" color="#000000" joinstyle="round" endarrow="block"/>
                  <v:imagedata o:title=""/>
                  <o:lock v:ext="edit" aspectratio="f"/>
                </v:shape>
                <v:shape id="_x0000_s1026" o:spid="_x0000_s1026" o:spt="32" type="#_x0000_t32" style="position:absolute;left:581660;top:1257300;height:635;width:332740;" filled="f" stroked="t" coordsize="21600,21600" o:gfxdata="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ab49b1AAAAAUBAAAPAAAAAAAAAAEAIAAA&#10;ACIAAABkcnMvZG93bnJldi54bWxQSwECFAAUAAAACACHTuJA3GBmChACAAD+AwAADgAAAAAAAAAB&#10;ACAAAAAjAQAAZHJzL2Uyb0RvYy54bWxQSwUGAAAAAAYABgBZAQAApQUAAAAA&#10;">
                  <v:fill on="f" focussize="0,0"/>
                  <v:stroke weight="0.25pt" color="#000000" joinstyle="round" endarrow="block"/>
                  <v:imagedata o:title=""/>
                  <o:lock v:ext="edit" aspectratio="f"/>
                </v:shape>
                <v:shape id="_x0000_s1026" o:spid="_x0000_s1026" o:spt="202" type="#_x0000_t202" style="position:absolute;left:3662680;top:1143000;height:230505;width:691515;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EwIZtUAAAAFAQAADwAAAAAAAAABACAAAAAiAAAAZHJzL2Rvd25yZXYueG1s&#10;UEsBAhQAFAAAAAgAh07iQGCfXCU0AgAAggQAAA4AAAAAAAAAAQAgAAAAJAEAAGRycy9lMm9Eb2Mu&#10;eG1sUEsFBgAAAAAGAAYAWQEAAMoFAAAAAA==&#10;">
                  <v:fill on="t" focussize="0,0"/>
                  <v:stroke weight="0.25pt" color="#000000" joinstyle="miter"/>
                  <v:imagedata o:title=""/>
                  <o:lock v:ext="edit" aspectratio="f"/>
                  <v:textbox inset="0mm,0mm,0mm,0mm">
                    <w:txbxContent>
                      <w:p w14:paraId="0CCAE36B">
                        <w:pPr>
                          <w:jc w:val="center"/>
                          <w:rPr>
                            <w:rFonts w:asciiTheme="minorEastAsia" w:hAnsiTheme="minorEastAsia" w:eastAsiaTheme="minorEastAsia"/>
                            <w:szCs w:val="21"/>
                          </w:rPr>
                        </w:pPr>
                        <w:r>
                          <w:rPr>
                            <w:rFonts w:hint="eastAsia" w:asciiTheme="minorEastAsia" w:hAnsiTheme="minorEastAsia" w:eastAsiaTheme="minorEastAsia"/>
                            <w:szCs w:val="21"/>
                          </w:rPr>
                          <w:t>土石分离</w:t>
                        </w:r>
                      </w:p>
                    </w:txbxContent>
                  </v:textbox>
                </v:shape>
                <v:shape id="_x0000_s1026" o:spid="_x0000_s1026" o:spt="202" type="#_x0000_t202" style="position:absolute;left:4572000;top:2052955;height:230505;width:692785;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lEwIZtUAAAAFAQAADwAAAAAAAAABACAAAAAiAAAAZHJzL2Rvd25yZXYu&#10;eG1sUEsBAhQAFAAAAAgAh07iQE15wjo3AgAAggQAAA4AAAAAAAAAAQAgAAAAJAEAAGRycy9lMm9E&#10;b2MueG1sUEsFBgAAAAAGAAYAWQEAAM0FAAAAAA==&#10;">
                  <v:fill on="t" focussize="0,0"/>
                  <v:stroke weight="0.25pt" color="#000000" joinstyle="miter"/>
                  <v:imagedata o:title=""/>
                  <o:lock v:ext="edit" aspectratio="f"/>
                  <v:textbox inset="0mm,0mm,0mm,0mm">
                    <w:txbxContent>
                      <w:p w14:paraId="4FCDD3A9">
                        <w:pPr>
                          <w:jc w:val="center"/>
                          <w:rPr>
                            <w:rFonts w:asciiTheme="minorEastAsia" w:hAnsiTheme="minorEastAsia" w:eastAsiaTheme="minorEastAsia"/>
                            <w:szCs w:val="21"/>
                          </w:rPr>
                        </w:pPr>
                        <w:r>
                          <w:rPr>
                            <w:rFonts w:hint="eastAsia" w:asciiTheme="minorEastAsia" w:hAnsiTheme="minorEastAsia" w:eastAsiaTheme="minorEastAsia"/>
                            <w:szCs w:val="21"/>
                          </w:rPr>
                          <w:t>一级破碎</w:t>
                        </w:r>
                      </w:p>
                    </w:txbxContent>
                  </v:textbox>
                </v:shape>
                <v:shape id="_x0000_s1026" o:spid="_x0000_s1026" o:spt="202" type="#_x0000_t202" style="position:absolute;left:3552825;top:2055495;height:230505;width:676275;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UTAhm1QAAAAUBAAAPAAAAAAAAAAEAIAAAACIAAABkcnMvZG93bnJldi54bWxQ&#10;SwECFAAUAAAACACHTuJAGjuPTjMCAACCBAAADgAAAAAAAAABACAAAAAkAQAAZHJzL2Uyb0RvYy54&#10;bWxQSwUGAAAAAAYABgBZAQAAyQUAAAAA&#10;">
                  <v:fill on="t" focussize="0,0"/>
                  <v:stroke weight="0.25pt" color="#000000" joinstyle="miter"/>
                  <v:imagedata o:title=""/>
                  <o:lock v:ext="edit" aspectratio="f"/>
                  <v:textbox inset="0mm,0mm,0mm,0mm">
                    <w:txbxContent>
                      <w:p w14:paraId="0C6E5B4C">
                        <w:pPr>
                          <w:jc w:val="center"/>
                          <w:rPr>
                            <w:rFonts w:asciiTheme="minorEastAsia" w:hAnsiTheme="minorEastAsia" w:eastAsiaTheme="minorEastAsia"/>
                            <w:szCs w:val="21"/>
                          </w:rPr>
                        </w:pPr>
                        <w:r>
                          <w:rPr>
                            <w:rFonts w:hint="eastAsia" w:asciiTheme="minorEastAsia" w:hAnsiTheme="minorEastAsia" w:eastAsiaTheme="minorEastAsia"/>
                            <w:szCs w:val="21"/>
                          </w:rPr>
                          <w:t>振动筛分</w:t>
                        </w:r>
                      </w:p>
                    </w:txbxContent>
                  </v:textbox>
                </v:shape>
                <v:shape id="_x0000_s1026" o:spid="_x0000_s1026" o:spt="202" type="#_x0000_t202" style="position:absolute;left:2056765;top:1942465;height:457835;width:11430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lEwIZtUAAAAFAQAADwAAAAAAAAABACAAAAAiAAAAZHJzL2Rvd25yZXYu&#10;eG1sUEsBAhQAFAAAAAgAh07iQO9j9Oc3AgAAgwQAAA4AAAAAAAAAAQAgAAAAJAEAAGRycy9lMm9E&#10;b2MueG1sUEsFBgAAAAAGAAYAWQEAAM0FAAAAAA==&#10;">
                  <v:fill on="t" focussize="0,0"/>
                  <v:stroke weight="0.25pt" color="#000000" joinstyle="miter"/>
                  <v:imagedata o:title=""/>
                  <o:lock v:ext="edit" aspectratio="f"/>
                  <v:textbox inset="0mm,0mm,0mm,0mm">
                    <w:txbxContent>
                      <w:p w14:paraId="333B0353">
                        <w:pPr>
                          <w:jc w:val="center"/>
                          <w:rPr>
                            <w:rFonts w:asciiTheme="minorEastAsia" w:hAnsiTheme="minorEastAsia" w:eastAsiaTheme="minorEastAsia"/>
                            <w:szCs w:val="21"/>
                          </w:rPr>
                        </w:pPr>
                        <w:r>
                          <w:rPr>
                            <w:rFonts w:hint="eastAsia" w:asciiTheme="minorEastAsia" w:hAnsiTheme="minorEastAsia" w:eastAsiaTheme="minorEastAsia"/>
                            <w:szCs w:val="21"/>
                          </w:rPr>
                          <w:t>石子</w:t>
                        </w:r>
                      </w:p>
                      <w:p w14:paraId="0E28DA76">
                        <w:pPr>
                          <w:jc w:val="center"/>
                          <w:rPr>
                            <w:rFonts w:asciiTheme="minorEastAsia" w:hAnsiTheme="minorEastAsia" w:eastAsiaTheme="minorEastAsia"/>
                            <w:szCs w:val="21"/>
                          </w:rPr>
                        </w:pPr>
                        <w:r>
                          <w:rPr>
                            <w:rFonts w:hint="eastAsia" w:asciiTheme="minorEastAsia" w:hAnsiTheme="minorEastAsia" w:eastAsiaTheme="minorEastAsia"/>
                            <w:szCs w:val="21"/>
                          </w:rPr>
                          <w:t>（粒径</w:t>
                        </w:r>
                        <w:r>
                          <w:rPr>
                            <w:rFonts w:eastAsiaTheme="minorEastAsia"/>
                            <w:szCs w:val="21"/>
                          </w:rPr>
                          <w:t>30</w:t>
                        </w:r>
                        <w:r>
                          <w:rPr>
                            <w:rFonts w:hint="eastAsia" w:eastAsiaTheme="minorEastAsia"/>
                            <w:szCs w:val="21"/>
                          </w:rPr>
                          <w:t>~</w:t>
                        </w:r>
                        <w:r>
                          <w:rPr>
                            <w:rFonts w:eastAsiaTheme="minorEastAsia"/>
                            <w:szCs w:val="21"/>
                          </w:rPr>
                          <w:t>60mm</w:t>
                        </w:r>
                        <w:r>
                          <w:rPr>
                            <w:rFonts w:hint="eastAsia" w:asciiTheme="minorEastAsia" w:hAnsiTheme="minorEastAsia" w:eastAsiaTheme="minorEastAsia"/>
                            <w:szCs w:val="21"/>
                          </w:rPr>
                          <w:t>）</w:t>
                        </w:r>
                      </w:p>
                    </w:txbxContent>
                  </v:textbox>
                </v:shape>
                <v:shape id="_x0000_s1026" o:spid="_x0000_s1026" o:spt="32" type="#_x0000_t32" style="position:absolute;left:4229100;top:2171065;flip:x y;height:635;width:342900;" filled="f" stroked="t" coordsize="21600,21600" o:gfxdata="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NSwYn1AAAAAUB&#10;AAAPAAAAAAAAAAEAIAAAACIAAABkcnMvZG93bnJldi54bWxQSwECFAAUAAAACACHTuJAedGe/h8C&#10;AAATBAAADgAAAAAAAAABACAAAAAjAQAAZHJzL2Uyb0RvYy54bWxQSwUGAAAAAAYABgBZAQAAtAUA&#10;AAAA&#10;">
                  <v:fill on="f" focussize="0,0"/>
                  <v:stroke weight="0.25pt" color="#000000" joinstyle="round" endarrow="block"/>
                  <v:imagedata o:title=""/>
                  <o:lock v:ext="edit" aspectratio="f"/>
                </v:shape>
                <v:shape id="_x0000_s1026" o:spid="_x0000_s1026" o:spt="32" type="#_x0000_t32" style="position:absolute;left:4356100;top:1257300;height:635;width:332740;" filled="f" stroked="t" coordsize="21600,21600" o:gfxdata="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m+PW9QAAAAFAQAADwAAAAAAAAABACAA&#10;AAAiAAAAZHJzL2Rvd25yZXYueG1sUEsBAhQAFAAAAAgAh07iQIn6qyYRAgAA/wMAAA4AAAAAAAAA&#10;AQAgAAAAIwEAAGRycy9lMm9Eb2MueG1sUEsFBgAAAAAGAAYAWQEAAKYFAAAAAA==&#10;">
                  <v:fill on="f" focussize="0,0"/>
                  <v:stroke weight="0.25pt" color="#000000" joinstyle="round" endarrow="block"/>
                  <v:imagedata o:title=""/>
                  <o:lock v:ext="edit" aspectratio="f"/>
                </v:shape>
                <v:shape id="_x0000_s1026" o:spid="_x0000_s1026" o:spt="32" type="#_x0000_t32" style="position:absolute;left:3316605;top:1259840;height:635;width:332740;" filled="f" stroked="t" coordsize="21600,21600" o:gfxdata="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m+PW9QAAAAFAQAADwAAAAAAAAABACAA&#10;AAAiAAAAZHJzL2Rvd25yZXYueG1sUEsBAhQAFAAAAAgAh07iQJf1Kl4RAgAA/wMAAA4AAAAAAAAA&#10;AQAgAAAAIwEAAGRycy9lMm9Eb2MueG1sUEsFBgAAAAAGAAYAWQEAAKYFAAAAAA==&#10;">
                  <v:fill on="f" focussize="0,0"/>
                  <v:stroke weight="0.25pt" color="#000000" joinstyle="round" endarrow="block"/>
                  <v:imagedata o:title=""/>
                  <o:lock v:ext="edit" aspectratio="f"/>
                </v:shape>
                <v:shape id="_x0000_s1026" o:spid="_x0000_s1026" o:spt="32" type="#_x0000_t32" style="position:absolute;left:1600200;top:1259205;height:635;width:332740;" filled="f" stroked="t" coordsize="21600,21600" o:gfxdata="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b49b1AAAAAUBAAAPAAAAAAAAAAEA&#10;IAAAACIAAABkcnMvZG93bnJldi54bWxQSwECFAAUAAAACACHTuJAHr9q7hMCAAD/AwAADgAAAAAA&#10;AAABACAAAAAjAQAAZHJzL2Uyb0RvYy54bWxQSwUGAAAAAAYABgBZAQAAqAUAAAAA&#10;">
                  <v:fill on="f" focussize="0,0"/>
                  <v:stroke weight="0.25pt" color="#000000" joinstyle="round" endarrow="block"/>
                  <v:imagedata o:title=""/>
                  <o:lock v:ext="edit" aspectratio="f"/>
                </v:shape>
                <v:shape id="_x0000_s1026" o:spid="_x0000_s1026" o:spt="32" type="#_x0000_t32" style="position:absolute;left:3200400;top:2171700;flip:x;height:635;width:35242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5i1gAAAAUBAAAPAAAA&#10;AAAAAAEAIAAAACIAAABkcnMvZG93bnJldi54bWxQSwECFAAUAAAACACHTuJAj/mGDhcCAAAJBAAA&#10;DgAAAAAAAAABACAAAAAlAQAAZHJzL2Uyb0RvYy54bWxQSwUGAAAAAAYABgBZAQAArgUAAAAA&#10;">
                  <v:fill on="f" focussize="0,0"/>
                  <v:stroke weight="0.25pt" color="#000000" joinstyle="round" endarrow="block"/>
                  <v:imagedata o:title=""/>
                  <o:lock v:ext="edit" aspectratio="f"/>
                </v:shape>
                <v:shape id="_x0000_s1026" o:spid="_x0000_s1026" o:spt="32" type="#_x0000_t32" style="position:absolute;left:1370965;top:340995;flip:y;height:229235;width:63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r77mLWAAAABQEAAA8A&#10;AAAAAAAAAQAgAAAAIgAAAGRycy9kb3ducmV2LnhtbFBLAQIUABQAAAAIAIdO4kBu09PBGQIAAAgE&#10;AAAOAAAAAAAAAAEAIAAAACUBAABkcnMvZTJvRG9jLnhtbFBLBQYAAAAABgAGAFkBAACwBQAAAAA=&#10;">
                  <v:fill on="f" focussize="0,0"/>
                  <v:stroke weight="0.25pt" color="#000000" joinstyle="round" endarrow="block"/>
                  <v:imagedata o:title=""/>
                  <o:lock v:ext="edit" aspectratio="f"/>
                </v:shape>
                <v:shape id="_x0000_s1026" o:spid="_x0000_s1026" o:spt="32" type="#_x0000_t32" style="position:absolute;left:2628265;top:914400;flip:y;height:229235;width:6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5m90w1gAAAAUBAAAP&#10;AAAAAAAAAAEAIAAAACIAAABkcnMvZG93bnJldi54bWxQSwECFAAUAAAACACHTuJA6yOXHRoCAAAK&#10;BAAADgAAAAAAAAABACAAAAAlAQAAZHJzL2Uyb0RvYy54bWxQSwUGAAAAAAYABgBZAQAAsQUAAAAA&#10;">
                  <v:fill on="f" focussize="0,0"/>
                  <v:stroke weight="0.25pt" color="#000000" joinstyle="round" dashstyle="dashDot" endarrow="block"/>
                  <v:imagedata o:title=""/>
                  <o:lock v:ext="edit" aspectratio="f"/>
                </v:shape>
                <v:shape id="_x0000_s1026" o:spid="_x0000_s1026" o:spt="32" type="#_x0000_t32" style="position:absolute;left:4114800;top:911860;flip:y;height:229235;width:6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ZvdMNYAAAAFAQAA&#10;DwAAAAAAAAABACAAAAAiAAAAZHJzL2Rvd25yZXYueG1sUEsBAhQAFAAAAAgAh07iQAEb0HobAgAA&#10;CgQAAA4AAAAAAAAAAQAgAAAAJQEAAGRycy9lMm9Eb2MueG1sUEsFBgAAAAAGAAYAWQEAALIFAAAA&#10;AA==&#10;">
                  <v:fill on="f" focussize="0,0"/>
                  <v:stroke weight="0.25pt" color="#000000" joinstyle="round" dashstyle="dashDot" endarrow="block"/>
                  <v:imagedata o:title=""/>
                  <o:lock v:ext="edit" aspectratio="f"/>
                </v:shape>
                <v:shape id="_x0000_s1026" o:spid="_x0000_s1026" o:spt="32" type="#_x0000_t32" style="position:absolute;left:3886200;top:1823720;flip:y;height:229235;width:6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mb3TDWAAAABQEAAA8A&#10;AAAAAAAAAQAgAAAAIgAAAGRycy9kb3ducmV2LnhtbFBLAQIUABQAAAAIAIdO4kAo3cfkGQIAAAsE&#10;AAAOAAAAAAAAAAEAIAAAACUBAABkcnMvZTJvRG9jLnhtbFBLBQYAAAAABgAGAFkBAACwBQAAAAA=&#10;">
                  <v:fill on="f" focussize="0,0"/>
                  <v:stroke weight="0.25pt" color="#000000" joinstyle="round" dashstyle="dashDot" endarrow="block"/>
                  <v:imagedata o:title=""/>
                  <o:lock v:ext="edit" aspectratio="f"/>
                </v:shape>
                <v:shape id="_x0000_s1026" o:spid="_x0000_s1026" o:spt="202" type="#_x0000_t202" style="position:absolute;left:3885565;top:685800;height:229235;width:457835;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HR7NfSAAAABQEAAA8AAAAAAAAAAQAgAAAA&#10;IgAAAGRycy9kb3ducmV2LnhtbFBLAQIUABQAAAAIAIdO4kD0a8WpEQIAABgEAAAOAAAAAAAAAAEA&#10;IAAAACEBAABkcnMvZTJvRG9jLnhtbFBLBQYAAAAABgAGAFkBAACkBQAAAAA=&#10;">
                  <v:fill on="t" opacity="0f" focussize="0,0"/>
                  <v:stroke on="f" weight="0.25pt"/>
                  <v:imagedata o:title=""/>
                  <o:lock v:ext="edit" aspectratio="t"/>
                  <v:textbox inset="0mm,0.5mm,0mm,0mm">
                    <w:txbxContent>
                      <w:p w14:paraId="1244FFFC">
                        <w:pPr>
                          <w:jc w:val="center"/>
                          <w:rPr>
                            <w:rFonts w:asciiTheme="minorEastAsia" w:hAnsiTheme="minorEastAsia" w:eastAsiaTheme="minorEastAsia"/>
                            <w:szCs w:val="21"/>
                          </w:rPr>
                        </w:pPr>
                        <w:r>
                          <w:rPr>
                            <w:rFonts w:hint="eastAsia" w:eastAsiaTheme="minorEastAsia"/>
                            <w:szCs w:val="21"/>
                          </w:rPr>
                          <w:t>N、G</w:t>
                        </w:r>
                      </w:p>
                      <w:p w14:paraId="29A7E725">
                        <w:pPr>
                          <w:jc w:val="center"/>
                          <w:rPr>
                            <w:rFonts w:asciiTheme="minorEastAsia" w:hAnsiTheme="minorEastAsia" w:eastAsiaTheme="minorEastAsia"/>
                            <w:szCs w:val="21"/>
                          </w:rPr>
                        </w:pPr>
                      </w:p>
                    </w:txbxContent>
                  </v:textbox>
                </v:shape>
                <v:shape id="_x0000_s1026" o:spid="_x0000_s1026" o:spt="202" type="#_x0000_t202" style="position:absolute;left:3543300;top:1595120;height:229235;width:1140460;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h0ezX0gAAAAUBAAAPAAAAAAAAAAEA&#10;IAAAACIAAABkcnMvZG93bnJldi54bWxQSwECFAAUAAAACACHTuJAuCNZZxUCAAAaBAAADgAAAAAA&#10;AAABACAAAAAhAQAAZHJzL2Uyb0RvYy54bWxQSwUGAAAAAAYABgBZAQAAqAUAAAAA&#10;">
                  <v:fill on="t" opacity="0f" focussize="0,0"/>
                  <v:stroke on="f" weight="0.25pt"/>
                  <v:imagedata o:title=""/>
                  <o:lock v:ext="edit" aspectratio="t"/>
                  <v:textbox inset="0mm,0.5mm,0mm,0mm">
                    <w:txbxContent>
                      <w:p w14:paraId="6C6BF15A">
                        <w:pPr>
                          <w:jc w:val="center"/>
                          <w:rPr>
                            <w:rFonts w:asciiTheme="minorEastAsia" w:hAnsiTheme="minorEastAsia" w:eastAsiaTheme="minorEastAsia"/>
                            <w:szCs w:val="21"/>
                          </w:rPr>
                        </w:pPr>
                        <w:r>
                          <w:rPr>
                            <w:rFonts w:hint="eastAsia" w:eastAsiaTheme="minorEastAsia"/>
                            <w:szCs w:val="21"/>
                          </w:rPr>
                          <w:t>N、G、振动</w:t>
                        </w:r>
                      </w:p>
                      <w:p w14:paraId="605A1931">
                        <w:pPr>
                          <w:jc w:val="center"/>
                          <w:rPr>
                            <w:rFonts w:asciiTheme="minorEastAsia" w:hAnsiTheme="minorEastAsia" w:eastAsiaTheme="minorEastAsia"/>
                            <w:szCs w:val="21"/>
                          </w:rPr>
                        </w:pPr>
                      </w:p>
                    </w:txbxContent>
                  </v:textbox>
                </v:shape>
                <v:shape id="_x0000_s1026" o:spid="_x0000_s1026" o:spt="202" type="#_x0000_t202" style="position:absolute;left:2171700;top:685800;height:229235;width:913130;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HR7NfSAAAABQEAAA8AAAAAAAAAAQAg&#10;AAAAIgAAAGRycy9kb3ducmV2LnhtbFBLAQIUABQAAAAIAIdO4kAcyUgJFAIAABgEAAAOAAAAAAAA&#10;AAEAIAAAACEBAABkcnMvZTJvRG9jLnhtbFBLBQYAAAAABgAGAFkBAACnBQAAAAA=&#10;">
                  <v:fill on="t" opacity="0f" focussize="0,0"/>
                  <v:stroke on="f" weight="0.25pt"/>
                  <v:imagedata o:title=""/>
                  <o:lock v:ext="edit" aspectratio="t"/>
                  <v:textbox inset="0mm,0.5mm,0mm,0mm">
                    <w:txbxContent>
                      <w:p w14:paraId="532E9513">
                        <w:pPr>
                          <w:jc w:val="center"/>
                          <w:rPr>
                            <w:rFonts w:asciiTheme="minorEastAsia" w:hAnsiTheme="minorEastAsia" w:eastAsiaTheme="minorEastAsia"/>
                            <w:szCs w:val="21"/>
                          </w:rPr>
                        </w:pPr>
                        <w:r>
                          <w:rPr>
                            <w:rFonts w:hint="eastAsia" w:eastAsiaTheme="minorEastAsia"/>
                            <w:szCs w:val="21"/>
                          </w:rPr>
                          <w:t>N、G、振动</w:t>
                        </w:r>
                      </w:p>
                    </w:txbxContent>
                  </v:textbox>
                </v:shape>
                <v:shape id="_x0000_s1026" o:spid="_x0000_s1026" o:spt="32" type="#_x0000_t32" style="position:absolute;left:1038860;top:570230;flip:y;height:1905;width:2733040;" filled="f" stroked="t" coordsize="21600,21600" o:gfxdata="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00O2y1AAAAAUBAAAPAAAAAAAAAAEA&#10;IAAAACIAAABkcnMvZG93bnJldi54bWxQSwECFAAUAAAACACHTuJAexTrwhMCAAAGBAAADgAAAAAA&#10;AAABACAAAAAjAQAAZHJzL2Uyb0RvYy54bWxQSwUGAAAAAAYABgBZAQAAqAUAAAAA&#10;">
                  <v:fill on="f" focussize="0,0"/>
                  <v:stroke weight="0.25pt" color="#000000" joinstyle="round"/>
                  <v:imagedata o:title=""/>
                  <o:lock v:ext="edit" aspectratio="f"/>
                </v:shape>
                <v:shape id="_x0000_s1026" o:spid="_x0000_s1026" o:spt="202" type="#_x0000_t202" style="position:absolute;left:685800;top:113665;height:229235;width:1258570;v-text-anchor:middle;" fillcolor="#FFFFFF" filled="t" stroked="t" coordsize="21600,21600" o:gfxdata="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8nS/3VAAAABQEA&#10;AA8AAAAAAAAAAQAgAAAAIgAAAGRycy9kb3ducmV2LnhtbFBLAQIUABQAAAAIAIdO4kASiX5fVgIA&#10;AM4EAAAOAAAAAAAAAAEAIAAAACQBAABkcnMvZTJvRG9jLnhtbFBLBQYAAAAABgAGAFkBAADsBQAA&#10;AAA=&#10;">
                  <v:fill on="t" opacity="0f" focussize="0,0"/>
                  <v:stroke weight="0.25pt" color="#000000" joinstyle="miter"/>
                  <v:imagedata o:title=""/>
                  <o:lock v:ext="edit" aspectratio="t"/>
                  <v:textbox inset="0mm,0.5mm,0mm,0mm">
                    <w:txbxContent>
                      <w:p w14:paraId="203886C6">
                        <w:pPr>
                          <w:jc w:val="center"/>
                          <w:rPr>
                            <w:rFonts w:asciiTheme="minorEastAsia" w:hAnsiTheme="minorEastAsia" w:eastAsiaTheme="minorEastAsia"/>
                            <w:szCs w:val="21"/>
                          </w:rPr>
                        </w:pPr>
                        <w:r>
                          <w:rPr>
                            <w:rFonts w:hint="eastAsia" w:eastAsiaTheme="minorEastAsia"/>
                            <w:szCs w:val="21"/>
                          </w:rPr>
                          <w:t>表层覆土、废土石</w:t>
                        </w:r>
                      </w:p>
                      <w:p w14:paraId="380EAF78">
                        <w:pPr>
                          <w:jc w:val="center"/>
                          <w:rPr>
                            <w:rFonts w:asciiTheme="minorEastAsia" w:hAnsiTheme="minorEastAsia" w:eastAsiaTheme="minorEastAsia"/>
                            <w:szCs w:val="21"/>
                          </w:rPr>
                        </w:pPr>
                      </w:p>
                    </w:txbxContent>
                  </v:textbox>
                </v:shape>
                <v:shape id="_x0000_s1026" o:spid="_x0000_s1026" o:spt="32" type="#_x0000_t32" style="position:absolute;left:1945005;top:228600;flip:x;height:635;width:332740;rotation:11796480f;" filled="f" stroked="t" coordsize="21600,21600" o:gfxdata="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n0cAt&#10;1gAAAAUBAAAPAAAAAAAAAAEAIAAAACIAAABkcnMvZG93bnJldi54bWxQSwECFAAUAAAACACHTuJA&#10;jB/JDSMCAAAYBAAADgAAAAAAAAABACAAAAAlAQAAZHJzL2Uyb0RvYy54bWxQSwUGAAAAAAYABgBZ&#10;AQAAugUAAAAA&#10;">
                  <v:fill on="f" focussize="0,0"/>
                  <v:stroke weight="0.25pt" color="#000000" joinstyle="round" endarrow="block"/>
                  <v:imagedata o:title=""/>
                  <o:lock v:ext="edit" aspectratio="f"/>
                </v:shape>
                <v:shape id="_x0000_s1026" o:spid="_x0000_s1026" o:spt="202" type="#_x0000_t202" style="position:absolute;left:1487170;top:2626360;height:230505;width:455295;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RMCGbVAAAABQEAAA8AAAAAAAAAAQAgAAAAIgAAAGRycy9kb3ducmV2LnhtbFBL&#10;AQIUABQAAAAIAIdO4kCMCbAVMgIAAIIEAAAOAAAAAAAAAAEAIAAAACQBAABkcnMvZTJvRG9jLnht&#10;bFBLBQYAAAAABgAGAFkBAADIBQAAAAA=&#10;">
                  <v:fill on="t" focussize="0,0"/>
                  <v:stroke weight="0.25pt" color="#000000" joinstyle="miter"/>
                  <v:imagedata o:title=""/>
                  <o:lock v:ext="edit" aspectratio="f"/>
                  <v:textbox inset="0mm,0mm,0mm,0mm">
                    <w:txbxContent>
                      <w:p w14:paraId="638B8FBE">
                        <w:pPr>
                          <w:jc w:val="center"/>
                          <w:rPr>
                            <w:rFonts w:asciiTheme="minorEastAsia" w:hAnsiTheme="minorEastAsia" w:eastAsiaTheme="minorEastAsia"/>
                            <w:szCs w:val="21"/>
                          </w:rPr>
                        </w:pPr>
                        <w:r>
                          <w:rPr>
                            <w:rFonts w:hint="eastAsia" w:asciiTheme="minorEastAsia" w:hAnsiTheme="minorEastAsia" w:eastAsiaTheme="minorEastAsia"/>
                            <w:szCs w:val="21"/>
                          </w:rPr>
                          <w:t>堆场</w:t>
                        </w:r>
                      </w:p>
                    </w:txbxContent>
                  </v:textbox>
                </v:shape>
                <v:shape id="_x0000_s1026" o:spid="_x0000_s1026" o:spt="32" type="#_x0000_t32" style="position:absolute;left:1153160;top:2740660;height:635;width:332740;rotation:11796480f;" filled="f" stroked="t" coordsize="21600,21600" o:gfxdata="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KtCp0TTAAAABQEAAA8AAAAA&#10;AAAAAQAgAAAAIgAAAGRycy9kb3ducmV2LnhtbFBLAQIUABQAAAAIAIdO4kBzrgfwGQIAAA4EAAAO&#10;AAAAAAAAAAEAIAAAACIBAABkcnMvZTJvRG9jLnhtbFBLBQYAAAAABgAGAFkBAACtBQAAAAA=&#10;">
                  <v:fill on="f" focussize="0,0"/>
                  <v:stroke weight="0.25pt" color="#000000" joinstyle="round" endarrow="block"/>
                  <v:imagedata o:title=""/>
                  <o:lock v:ext="edit" aspectratio="f"/>
                </v:shape>
                <v:shape id="_x0000_s1026" o:spid="_x0000_s1026" o:spt="32" type="#_x0000_t32" style="position:absolute;left:1943100;top:2740660;flip:x y;height:1270;width:685800;" filled="f" stroked="t" coordsize="21600,21600" o:gfxdata="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1LBifUAAAA&#10;BQEAAA8AAAAAAAAAAQAgAAAAIgAAAGRycy9kb3ducmV2LnhtbFBLAQIUABQAAAAIAIdO4kCNgnE6&#10;IQIAABQEAAAOAAAAAAAAAAEAIAAAACMBAABkcnMvZTJvRG9jLnhtbFBLBQYAAAAABgAGAFkBAAC2&#10;BQAAAAA=&#10;">
                  <v:fill on="f" focussize="0,0"/>
                  <v:stroke weight="0.25pt" color="#000000" joinstyle="round" endarrow="block"/>
                  <v:imagedata o:title=""/>
                  <o:lock v:ext="edit" aspectratio="f"/>
                </v:shape>
                <v:shape id="_x0000_s1026" o:spid="_x0000_s1026" o:spt="202" type="#_x0000_t202" style="position:absolute;left:0;top:2514600;height:457200;width:115316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EwIZtUAAAAFAQAADwAAAAAAAAABACAAAAAiAAAAZHJzL2Rvd25yZXYueG1sUEsBAhQA&#10;FAAAAAgAh07iQOoMwTcuAgAAfQQAAA4AAAAAAAAAAQAgAAAAJAEAAGRycy9lMm9Eb2MueG1sUEsF&#10;BgAAAAAGAAYAWQEAAMQFAAAAAA==&#10;">
                  <v:fill on="t" focussize="0,0"/>
                  <v:stroke weight="0.25pt" color="#000000" joinstyle="miter"/>
                  <v:imagedata o:title=""/>
                  <o:lock v:ext="edit" aspectratio="f"/>
                  <v:textbox inset="0mm,0mm,0mm,0mm">
                    <w:txbxContent>
                      <w:p w14:paraId="2F9B3BD6">
                        <w:pPr>
                          <w:jc w:val="center"/>
                          <w:rPr>
                            <w:rFonts w:asciiTheme="minorEastAsia" w:hAnsiTheme="minorEastAsia" w:eastAsiaTheme="minorEastAsia"/>
                            <w:szCs w:val="21"/>
                          </w:rPr>
                        </w:pPr>
                        <w:r>
                          <w:rPr>
                            <w:rFonts w:hint="eastAsia" w:asciiTheme="minorEastAsia" w:hAnsiTheme="minorEastAsia" w:eastAsiaTheme="minorEastAsia"/>
                            <w:szCs w:val="21"/>
                          </w:rPr>
                          <w:t>云南普阳煤化工有限责任公司电石厂</w:t>
                        </w:r>
                      </w:p>
                    </w:txbxContent>
                  </v:textbox>
                </v:shape>
                <v:shape id="_x0000_s1026" o:spid="_x0000_s1026" o:spt="32" type="#_x0000_t32" style="position:absolute;left:1713865;top:2400300;flip:y;height:229235;width:6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ZvdMNYAAAAFAQAA&#10;DwAAAAAAAAABACAAAAAiAAAAZHJzL2Rvd25yZXYueG1sUEsBAhQAFAAAAAgAh07iQF3SXjsbAgAA&#10;CwQAAA4AAAAAAAAAAQAgAAAAJQEAAGRycy9lMm9Eb2MueG1sUEsFBgAAAAAGAAYAWQEAALIFAAAA&#10;AA==&#10;">
                  <v:fill on="f" focussize="0,0"/>
                  <v:stroke weight="0.25pt" color="#000000" joinstyle="round" dashstyle="dashDot" endarrow="block"/>
                  <v:imagedata o:title=""/>
                  <o:lock v:ext="edit" aspectratio="f"/>
                </v:shape>
                <v:shape id="_x0000_s1026" o:spid="_x0000_s1026" o:spt="202" type="#_x0000_t202" style="position:absolute;left:1485265;top:2171700;height:229235;width:457835;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HR7NfSAAAABQEAAA8AAAAAAAAAAQAg&#10;AAAAIgAAAGRycy9kb3ducmV2LnhtbFBLAQIUABQAAAAIAIdO4kBT1NBeFAIAABkEAAAOAAAAAAAA&#10;AAEAIAAAACEBAABkcnMvZTJvRG9jLnhtbFBLBQYAAAAABgAGAFkBAACnBQAAAAA=&#10;">
                  <v:fill on="t" opacity="0f" focussize="0,0"/>
                  <v:stroke on="f" weight="0.25pt"/>
                  <v:imagedata o:title=""/>
                  <o:lock v:ext="edit" aspectratio="t"/>
                  <v:textbox inset="0mm,0.5mm,0mm,0mm">
                    <w:txbxContent>
                      <w:p w14:paraId="3BB74F6A">
                        <w:pPr>
                          <w:jc w:val="center"/>
                          <w:rPr>
                            <w:rFonts w:asciiTheme="minorEastAsia" w:hAnsiTheme="minorEastAsia" w:eastAsiaTheme="minorEastAsia"/>
                            <w:szCs w:val="21"/>
                          </w:rPr>
                        </w:pPr>
                        <w:r>
                          <w:rPr>
                            <w:rFonts w:hint="eastAsia" w:eastAsiaTheme="minorEastAsia"/>
                            <w:szCs w:val="21"/>
                          </w:rPr>
                          <w:t>G</w:t>
                        </w:r>
                      </w:p>
                      <w:p w14:paraId="74931BA0">
                        <w:pPr>
                          <w:jc w:val="center"/>
                          <w:rPr>
                            <w:rFonts w:asciiTheme="minorEastAsia" w:hAnsiTheme="minorEastAsia" w:eastAsiaTheme="minorEastAsia"/>
                            <w:szCs w:val="21"/>
                          </w:rPr>
                        </w:pPr>
                      </w:p>
                    </w:txbxContent>
                  </v:textbox>
                </v:shape>
                <v:shape id="_x0000_s1026" o:spid="_x0000_s1026" o:spt="32" type="#_x0000_t32" style="position:absolute;left:4572000;top:1828800;flip:x y;height:224155;width:238125;" filled="f" stroked="t" coordsize="21600,21600" o:gfxdata="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1snP3UAAAA&#10;BQEAAA8AAAAAAAAAAQAgAAAAIgAAAGRycy9kb3ducmV2LnhtbFBLAQIUABQAAAAIAIdO4kCF1y4V&#10;IQIAABgEAAAOAAAAAAAAAAEAIAAAACMBAABkcnMvZTJvRG9jLnhtbFBLBQYAAAAABgAGAFkBAAC2&#10;BQAAAAA=&#10;">
                  <v:fill on="f" focussize="0,0"/>
                  <v:stroke weight="0.25pt" color="#000000" joinstyle="round" dashstyle="dashDot" endarrow="block"/>
                  <v:imagedata o:title=""/>
                  <o:lock v:ext="edit" aspectratio="f"/>
                </v:shape>
                <v:shape id="_x0000_s1026" o:spid="_x0000_s1026" o:spt="32" type="#_x0000_t32" style="position:absolute;left:1028700;top:570230;flip:y;height:572770;width:635;" filled="f" stroked="t" coordsize="21600,21600" o:gfxdata="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TQ7bLUAAAABQEAAA8AAAAAAAAAAQAg&#10;AAAAIgAAAGRycy9kb3ducmV2LnhtbFBLAQIUABQAAAAIAIdO4kDybhOjEgIAAAQEAAAOAAAAAAAA&#10;AAEAIAAAACMBAABkcnMvZTJvRG9jLnhtbFBLBQYAAAAABgAGAFkBAACnBQAAAAA=&#10;">
                  <v:fill on="f" focussize="0,0"/>
                  <v:stroke weight="0.25pt" color="#000000" joinstyle="round"/>
                  <v:imagedata o:title=""/>
                  <o:lock v:ext="edit" aspectratio="f"/>
                </v:shape>
                <v:shape id="_x0000_s1026" o:spid="_x0000_s1026" o:spt="32" type="#_x0000_t32" style="position:absolute;left:3771900;top:571500;flip:x y;height:572135;width:1270;" filled="f" stroked="t" coordsize="21600,21600" o:gfxdata="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4/18r1QAAAAUBAAAPAAAAAAAA&#10;AAEAIAAAACIAAABkcnMvZG93bnJldi54bWxQSwECFAAUAAAACACHTuJAIygekRUCAAAPBAAADgAA&#10;AAAAAAABACAAAAAkAQAAZHJzL2Uyb0RvYy54bWxQSwUGAAAAAAYABgBZAQAAqwUAAAAA&#10;">
                  <v:fill on="f" focussize="0,0"/>
                  <v:stroke weight="0.25pt" color="#000000" joinstyle="round"/>
                  <v:imagedata o:title=""/>
                  <o:lock v:ext="edit" aspectratio="f"/>
                </v:shape>
                <v:shape id="_x0000_s1026" o:spid="_x0000_s1026" o:spt="202" type="#_x0000_t202" style="position:absolute;left:2287905;top:112395;height:230505;width:217043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EwIZtUAAAAFAQAADwAAAAAAAAABACAAAAAiAAAAZHJzL2Rvd25yZXYueG1s&#10;UEsBAhQAFAAAAAgAh07iQLC09i00AgAAggQAAA4AAAAAAAAAAQAgAAAAJAEAAGRycy9lMm9Eb2Mu&#10;eG1sUEsFBgAAAAAGAAYAWQEAAMoFAAAAAA==&#10;">
                  <v:fill on="t" focussize="0,0"/>
                  <v:stroke weight="0.25pt" color="#000000" joinstyle="miter"/>
                  <v:imagedata o:title=""/>
                  <o:lock v:ext="edit" aspectratio="f"/>
                  <v:textbox inset="0mm,0mm,0mm,0mm">
                    <w:txbxContent>
                      <w:p w14:paraId="4797711D">
                        <w:pPr>
                          <w:jc w:val="center"/>
                          <w:rPr>
                            <w:rFonts w:asciiTheme="minorEastAsia" w:hAnsiTheme="minorEastAsia" w:eastAsiaTheme="minorEastAsia"/>
                            <w:szCs w:val="21"/>
                          </w:rPr>
                        </w:pPr>
                        <w:r>
                          <w:rPr>
                            <w:rFonts w:hint="eastAsia" w:asciiTheme="minorEastAsia" w:hAnsiTheme="minorEastAsia" w:eastAsiaTheme="minorEastAsia"/>
                            <w:szCs w:val="21"/>
                          </w:rPr>
                          <w:t>清运至废石场堆存（依托1号矿区）</w:t>
                        </w:r>
                      </w:p>
                    </w:txbxContent>
                  </v:textbox>
                </v:shape>
                <v:shape id="_x0000_s1026" o:spid="_x0000_s1026" o:spt="32" type="#_x0000_t32" style="position:absolute;left:3886200;top:2286000;flip:x;height:342900;width:190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vvuYtYAAAAFAQAA&#10;DwAAAAAAAAABACAAAAAiAAAAZHJzL2Rvd25yZXYueG1sUEsBAhQAFAAAAAgAh07iQPQeuH4bAgAA&#10;CgQAAA4AAAAAAAAAAQAgAAAAJQEAAGRycy9lMm9Eb2MueG1sUEsFBgAAAAAGAAYAWQEAALIFAAAA&#10;AA==&#10;">
                  <v:fill on="f" focussize="0,0"/>
                  <v:stroke weight="0.25pt" color="#000000" joinstyle="round" endarrow="block"/>
                  <v:imagedata o:title=""/>
                  <o:lock v:ext="edit" aspectratio="f"/>
                </v:shape>
                <v:shape id="_x0000_s1026" o:spid="_x0000_s1026" o:spt="202" type="#_x0000_t202" style="position:absolute;left:3543300;top:2626995;height:230505;width:6858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RMCGbVAAAABQEAAA8AAAAAAAAAAQAgAAAAIgAAAGRycy9kb3ducmV2Lnht&#10;bFBLAQIUABQAAAAIAIdO4kBz4YGfNQIAAIIEAAAOAAAAAAAAAAEAIAAAACQBAABkcnMvZTJvRG9j&#10;LnhtbFBLBQYAAAAABgAGAFkBAADLBQAAAAA=&#10;">
                  <v:fill on="t" focussize="0,0"/>
                  <v:stroke weight="0.25pt" color="#000000" joinstyle="miter"/>
                  <v:imagedata o:title=""/>
                  <o:lock v:ext="edit" aspectratio="f"/>
                  <v:textbox inset="0mm,0mm,0mm,0mm">
                    <w:txbxContent>
                      <w:p w14:paraId="406FBEB4">
                        <w:pPr>
                          <w:jc w:val="center"/>
                          <w:rPr>
                            <w:rFonts w:asciiTheme="minorEastAsia" w:hAnsiTheme="minorEastAsia" w:eastAsiaTheme="minorEastAsia"/>
                            <w:szCs w:val="21"/>
                          </w:rPr>
                        </w:pPr>
                        <w:r>
                          <w:rPr>
                            <w:rFonts w:hint="eastAsia" w:asciiTheme="minorEastAsia" w:hAnsiTheme="minorEastAsia" w:eastAsiaTheme="minorEastAsia"/>
                            <w:szCs w:val="21"/>
                          </w:rPr>
                          <w:t>二级破碎</w:t>
                        </w:r>
                      </w:p>
                    </w:txbxContent>
                  </v:textbox>
                </v:shape>
                <v:shape id="_x0000_s1026" o:spid="_x0000_s1026" o:spt="32" type="#_x0000_t32" style="position:absolute;left:3886200;top:2857500;flip:x;height:342900;width:190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GvvuYtYAAAAFAQAA&#10;DwAAAAAAAAABACAAAAAiAAAAZHJzL2Rvd25yZXYueG1sUEsBAhQAFAAAAAgAh07iQGyFn+EbAgAA&#10;CgQAAA4AAAAAAAAAAQAgAAAAJQEAAGRycy9lMm9Eb2MueG1sUEsFBgAAAAAGAAYAWQEAALIFAAAA&#10;AA==&#10;">
                  <v:fill on="f" focussize="0,0"/>
                  <v:stroke weight="0.25pt" color="#000000" joinstyle="round" endarrow="block"/>
                  <v:imagedata o:title=""/>
                  <o:lock v:ext="edit" aspectratio="f"/>
                </v:shape>
                <v:shape id="_x0000_s1026" o:spid="_x0000_s1026" o:spt="202" type="#_x0000_t202" style="position:absolute;left:3543300;top:3198495;height:230505;width:6858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UTAhm1QAAAAUBAAAPAAAAAAAAAAEAIAAAACIAAABkcnMvZG93bnJldi54bWxQ&#10;SwECFAAUAAAACACHTuJAUf3EZjMCAACCBAAADgAAAAAAAAABACAAAAAkAQAAZHJzL2Uyb0RvYy54&#10;bWxQSwUGAAAAAAYABgBZAQAAyQUAAAAA&#10;">
                  <v:fill on="t" focussize="0,0"/>
                  <v:stroke weight="0.25pt" color="#000000" joinstyle="miter"/>
                  <v:imagedata o:title=""/>
                  <o:lock v:ext="edit" aspectratio="f"/>
                  <v:textbox inset="0mm,0mm,0mm,0mm">
                    <w:txbxContent>
                      <w:p w14:paraId="39F0F13C">
                        <w:pPr>
                          <w:jc w:val="center"/>
                          <w:rPr>
                            <w:rFonts w:asciiTheme="minorEastAsia" w:hAnsiTheme="minorEastAsia" w:eastAsiaTheme="minorEastAsia"/>
                            <w:szCs w:val="21"/>
                          </w:rPr>
                        </w:pPr>
                        <w:r>
                          <w:rPr>
                            <w:rFonts w:hint="eastAsia" w:asciiTheme="minorEastAsia" w:hAnsiTheme="minorEastAsia" w:eastAsiaTheme="minorEastAsia"/>
                            <w:szCs w:val="21"/>
                          </w:rPr>
                          <w:t>振动筛分</w:t>
                        </w:r>
                      </w:p>
                    </w:txbxContent>
                  </v:textbox>
                </v:shape>
                <v:shape id="_x0000_s1026" o:spid="_x0000_s1026" o:spt="202" type="#_x0000_t202" style="position:absolute;left:2057400;top:3085465;height:457835;width:11430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RMCGbVAAAABQEAAA8AAAAAAAAAAQAgAAAAIgAAAGRycy9kb3ducmV2&#10;LnhtbFBLAQIUABQAAAAIAIdO4kBe6VQ6OAIAAIMEAAAOAAAAAAAAAAEAIAAAACQBAABkcnMvZTJv&#10;RG9jLnhtbFBLBQYAAAAABgAGAFkBAADOBQAAAAA=&#10;">
                  <v:fill on="t" focussize="0,0"/>
                  <v:stroke weight="0.25pt" color="#000000" joinstyle="miter"/>
                  <v:imagedata o:title=""/>
                  <o:lock v:ext="edit" aspectratio="f"/>
                  <v:textbox inset="0mm,0mm,0mm,0mm">
                    <w:txbxContent>
                      <w:p w14:paraId="7F30874C">
                        <w:pPr>
                          <w:jc w:val="center"/>
                          <w:rPr>
                            <w:rFonts w:asciiTheme="minorEastAsia" w:hAnsiTheme="minorEastAsia" w:eastAsiaTheme="minorEastAsia"/>
                            <w:szCs w:val="21"/>
                          </w:rPr>
                        </w:pPr>
                        <w:r>
                          <w:rPr>
                            <w:rFonts w:hint="eastAsia" w:asciiTheme="minorEastAsia" w:hAnsiTheme="minorEastAsia" w:eastAsiaTheme="minorEastAsia"/>
                            <w:szCs w:val="21"/>
                          </w:rPr>
                          <w:t>石子</w:t>
                        </w:r>
                      </w:p>
                      <w:p w14:paraId="0DD809FF">
                        <w:pPr>
                          <w:jc w:val="center"/>
                          <w:rPr>
                            <w:rFonts w:asciiTheme="minorEastAsia" w:hAnsiTheme="minorEastAsia" w:eastAsiaTheme="minorEastAsia"/>
                            <w:szCs w:val="21"/>
                          </w:rPr>
                        </w:pPr>
                        <w:r>
                          <w:rPr>
                            <w:rFonts w:hint="eastAsia" w:asciiTheme="minorEastAsia" w:hAnsiTheme="minorEastAsia" w:eastAsiaTheme="minorEastAsia"/>
                            <w:szCs w:val="21"/>
                          </w:rPr>
                          <w:t>（粒径</w:t>
                        </w:r>
                        <w:r>
                          <w:rPr>
                            <w:rFonts w:eastAsiaTheme="minorEastAsia"/>
                            <w:szCs w:val="21"/>
                          </w:rPr>
                          <w:t>30</w:t>
                        </w:r>
                        <w:r>
                          <w:rPr>
                            <w:rFonts w:hint="eastAsia" w:eastAsiaTheme="minorEastAsia"/>
                            <w:szCs w:val="21"/>
                          </w:rPr>
                          <w:t>~</w:t>
                        </w:r>
                        <w:r>
                          <w:rPr>
                            <w:rFonts w:eastAsiaTheme="minorEastAsia"/>
                            <w:szCs w:val="21"/>
                          </w:rPr>
                          <w:t>60mm</w:t>
                        </w:r>
                        <w:r>
                          <w:rPr>
                            <w:rFonts w:hint="eastAsia" w:asciiTheme="minorEastAsia" w:hAnsiTheme="minorEastAsia" w:eastAsiaTheme="minorEastAsia"/>
                            <w:szCs w:val="21"/>
                          </w:rPr>
                          <w:t>）</w:t>
                        </w:r>
                      </w:p>
                    </w:txbxContent>
                  </v:textbox>
                </v:shape>
                <v:shape id="_x0000_s1026" o:spid="_x0000_s1026" o:spt="32" type="#_x0000_t32" style="position:absolute;left:3200400;top:3314700;flip:x;height:635;width:342900;"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vvuYtYAAAAFAQAADwAAAAAA&#10;AAABACAAAAAiAAAAZHJzL2Rvd25yZXYueG1sUEsBAhQAFAAAAAgAh07iQKuGr1MVAgAACQQAAA4A&#10;AAAAAAAAAQAgAAAAJQEAAGRycy9lMm9Eb2MueG1sUEsFBgAAAAAGAAYAWQEAAKwFAAAAAA==&#10;">
                  <v:fill on="f" focussize="0,0"/>
                  <v:stroke weight="0.25pt" color="#000000" joinstyle="round" endarrow="block"/>
                  <v:imagedata o:title=""/>
                  <o:lock v:ext="edit" aspectratio="f"/>
                </v:shape>
                <v:shape id="_x0000_s1026" o:spid="_x0000_s1026" o:spt="32" type="#_x0000_t32" style="position:absolute;left:3886200;top:3429000;flip:x;height:342900;width:190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5i1gAAAAUBAAAPAAAAAAAA&#10;AAEAIAAAACIAAABkcnMvZG93bnJldi54bWxQSwECFAAUAAAACACHTuJAmUZhlBQCAAAKBAAADgAA&#10;AAAAAAABACAAAAAlAQAAZHJzL2Uyb0RvYy54bWxQSwUGAAAAAAYABgBZAQAAqwUAAAAA&#10;">
                  <v:fill on="f" focussize="0,0"/>
                  <v:stroke weight="0.25pt" color="#000000" joinstyle="round" endarrow="block"/>
                  <v:imagedata o:title=""/>
                  <o:lock v:ext="edit" aspectratio="f"/>
                </v:shape>
                <v:shape id="_x0000_s1026" o:spid="_x0000_s1026" o:spt="32" type="#_x0000_t32" style="position:absolute;left:2628900;top:2400300;flip:x;height:342900;width:190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a++5i1gAAAAUBAAAPAAAA&#10;AAAAAAEAIAAAACIAAABkcnMvZG93bnJldi54bWxQSwECFAAUAAAACACHTuJAOn5rHhcCAAAKBAAA&#10;DgAAAAAAAAABACAAAAAlAQAAZHJzL2Uyb0RvYy54bWxQSwUGAAAAAAYABgBZAQAArgUAAAAA&#10;">
                  <v:fill on="f" focussize="0,0"/>
                  <v:stroke weight="0.25pt" color="#000000" joinstyle="round" endarrow="block"/>
                  <v:imagedata o:title=""/>
                  <o:lock v:ext="edit" aspectratio="f"/>
                </v:shape>
                <v:shape id="_x0000_s1026" o:spid="_x0000_s1026" o:spt="32" type="#_x0000_t32" style="position:absolute;left:2628900;top:2743200;flip:y;height:342265;width:1905;"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r77mLWAAAABQEA&#10;AA8AAAAAAAAAAQAgAAAAIgAAAGRycy9kb3ducmV2LnhtbFBLAQIUABQAAAAIAIdO4kDcUD+6HAIA&#10;AAoEAAAOAAAAAAAAAAEAIAAAACUBAABkcnMvZTJvRG9jLnhtbFBLBQYAAAAABgAGAFkBAACzBQAA&#10;AAA=&#10;">
                  <v:fill on="f" focussize="0,0"/>
                  <v:stroke weight="0.25pt" color="#000000" joinstyle="round" endarrow="block"/>
                  <v:imagedata o:title=""/>
                  <o:lock v:ext="edit" aspectratio="f"/>
                </v:shape>
                <v:shape id="_x0000_s1026" o:spid="_x0000_s1026" o:spt="202" type="#_x0000_t202" style="position:absolute;left:3314700;top:3771900;height:457200;width:13716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EwIZtUAAAAFAQAADwAAAAAAAAABACAAAAAiAAAAZHJzL2Rvd25yZXYueG1sUEsB&#10;AhQAFAAAAAgAh07iQHkviu0xAgAAgwQAAA4AAAAAAAAAAQAgAAAAJAEAAGRycy9lMm9Eb2MueG1s&#10;UEsFBgAAAAAGAAYAWQEAAMcFAAAAAA==&#10;">
                  <v:fill on="t" focussize="0,0"/>
                  <v:stroke weight="0.25pt" color="#000000" joinstyle="miter"/>
                  <v:imagedata o:title=""/>
                  <o:lock v:ext="edit" aspectratio="f"/>
                  <v:textbox inset="0mm,0mm,0mm,0mm">
                    <w:txbxContent>
                      <w:p w14:paraId="7DD79F32">
                        <w:pPr>
                          <w:jc w:val="center"/>
                          <w:rPr>
                            <w:rFonts w:asciiTheme="minorEastAsia" w:hAnsiTheme="minorEastAsia" w:eastAsiaTheme="minorEastAsia"/>
                            <w:szCs w:val="21"/>
                          </w:rPr>
                        </w:pPr>
                        <w:r>
                          <w:rPr>
                            <w:rFonts w:hint="eastAsia" w:asciiTheme="minorEastAsia" w:hAnsiTheme="minorEastAsia" w:eastAsiaTheme="minorEastAsia"/>
                            <w:szCs w:val="21"/>
                          </w:rPr>
                          <w:t>石子（粒径﹤</w:t>
                        </w:r>
                        <w:r>
                          <w:rPr>
                            <w:rFonts w:eastAsiaTheme="minorEastAsia"/>
                            <w:szCs w:val="21"/>
                          </w:rPr>
                          <w:t>30mm</w:t>
                        </w:r>
                        <w:r>
                          <w:rPr>
                            <w:rFonts w:hint="eastAsia" w:asciiTheme="minorEastAsia" w:hAnsiTheme="minorEastAsia" w:eastAsiaTheme="minorEastAsia"/>
                            <w:szCs w:val="21"/>
                          </w:rPr>
                          <w:t>）</w:t>
                        </w:r>
                      </w:p>
                      <w:p w14:paraId="10184559">
                        <w:pPr>
                          <w:jc w:val="center"/>
                          <w:rPr>
                            <w:rFonts w:asciiTheme="minorEastAsia" w:hAnsiTheme="minorEastAsia" w:eastAsiaTheme="minorEastAsia"/>
                            <w:szCs w:val="21"/>
                          </w:rPr>
                        </w:pPr>
                        <w:r>
                          <w:rPr>
                            <w:rFonts w:hint="eastAsia" w:asciiTheme="minorEastAsia" w:hAnsiTheme="minorEastAsia" w:eastAsiaTheme="minorEastAsia"/>
                            <w:szCs w:val="21"/>
                          </w:rPr>
                          <w:t>占开采量</w:t>
                        </w:r>
                        <w:r>
                          <w:rPr>
                            <w:rFonts w:eastAsiaTheme="minorEastAsia"/>
                            <w:szCs w:val="21"/>
                          </w:rPr>
                          <w:t>30%</w:t>
                        </w:r>
                      </w:p>
                    </w:txbxContent>
                  </v:textbox>
                </v:shape>
                <v:shape id="_x0000_s1026" o:spid="_x0000_s1026" o:spt="202" type="#_x0000_t202" style="position:absolute;left:2515870;top:3883660;height:230505;width:45593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EwIZtUAAAAFAQAADwAAAAAAAAABACAAAAAiAAAAZHJzL2Rvd25yZXYueG1s&#10;UEsBAhQAFAAAAAgAh07iQAjzLsc0AgAAggQAAA4AAAAAAAAAAQAgAAAAJAEAAGRycy9lMm9Eb2Mu&#10;eG1sUEsFBgAAAAAGAAYAWQEAAMoFAAAAAA==&#10;">
                  <v:fill on="t" focussize="0,0"/>
                  <v:stroke weight="0.25pt" color="#000000" joinstyle="miter"/>
                  <v:imagedata o:title=""/>
                  <o:lock v:ext="edit" aspectratio="f"/>
                  <v:textbox inset="0mm,0mm,0mm,0mm">
                    <w:txbxContent>
                      <w:p w14:paraId="3EB4722D">
                        <w:pPr>
                          <w:jc w:val="center"/>
                          <w:rPr>
                            <w:rFonts w:asciiTheme="minorEastAsia" w:hAnsiTheme="minorEastAsia" w:eastAsiaTheme="minorEastAsia"/>
                            <w:szCs w:val="21"/>
                          </w:rPr>
                        </w:pPr>
                        <w:r>
                          <w:rPr>
                            <w:rFonts w:hint="eastAsia" w:asciiTheme="minorEastAsia" w:hAnsiTheme="minorEastAsia" w:eastAsiaTheme="minorEastAsia"/>
                            <w:szCs w:val="21"/>
                          </w:rPr>
                          <w:t>堆场</w:t>
                        </w:r>
                      </w:p>
                    </w:txbxContent>
                  </v:textbox>
                </v:shape>
                <v:shape id="_x0000_s1026" o:spid="_x0000_s1026" o:spt="32" type="#_x0000_t32" style="position:absolute;left:2181860;top:3998595;height:635;width:332740;rotation:11796480f;" filled="f" stroked="t" coordsize="21600,21600" o:gfxdata="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0KnRNMAAAAFAQAA&#10;DwAAAAAAAAABACAAAAAiAAAAZHJzL2Rvd25yZXYueG1sUEsBAhQAFAAAAAgAh07iQBE4juseAgAA&#10;DgQAAA4AAAAAAAAAAQAgAAAAIgEAAGRycy9lMm9Eb2MueG1sUEsFBgAAAAAGAAYAWQEAALIFAAAA&#10;AA==&#10;">
                  <v:fill on="f" focussize="0,0"/>
                  <v:stroke weight="0.25pt" color="#000000" joinstyle="round" endarrow="block"/>
                  <v:imagedata o:title=""/>
                  <o:lock v:ext="edit" aspectratio="f"/>
                </v:shape>
                <v:shape id="_x0000_s1026" o:spid="_x0000_s1026" o:spt="32" type="#_x0000_t32" style="position:absolute;left:2971800;top:3999230;flip:x;height:635;width:342900;" filled="f" stroked="t" coordsize="21600,21600" o:gfxdata="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a++5i1gAAAAUBAAAP&#10;AAAAAAAAAAEAIAAAACIAAABkcnMvZG93bnJldi54bWxQSwECFAAUAAAACACHTuJAh/YcoxoCAAAJ&#10;BAAADgAAAAAAAAABACAAAAAlAQAAZHJzL2Uyb0RvYy54bWxQSwUGAAAAAAYABgBZAQAAsQUAAAAA&#10;">
                  <v:fill on="f" focussize="0,0"/>
                  <v:stroke weight="0.25pt" color="#000000" joinstyle="round" endarrow="block"/>
                  <v:imagedata o:title=""/>
                  <o:lock v:ext="edit" aspectratio="f"/>
                </v:shape>
                <v:shape id="_x0000_s1026" o:spid="_x0000_s1026" o:spt="202" type="#_x0000_t202" style="position:absolute;left:0;top:3883660;height:231140;width:2171700;v-text-anchor:middle;" fillcolor="#FFFFFF" filled="t" stroked="t" coordsize="21600,21600" o:gfxdata="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EwIZtUAAAAFAQAADwAAAAAAAAABACAAAAAiAAAAZHJzL2Rvd25yZXYueG1sUEsB&#10;AhQAFAAAAAgAh07iQJ4pm2oxAgAAfQQAAA4AAAAAAAAAAQAgAAAAJAEAAGRycy9lMm9Eb2MueG1s&#10;UEsFBgAAAAAGAAYAWQEAAMcFAAAAAA==&#10;">
                  <v:fill on="t" focussize="0,0"/>
                  <v:stroke weight="0.25pt" color="#000000" joinstyle="miter"/>
                  <v:imagedata o:title=""/>
                  <o:lock v:ext="edit" aspectratio="f"/>
                  <v:textbox inset="0mm,0mm,0mm,0mm">
                    <w:txbxContent>
                      <w:p w14:paraId="2425F362">
                        <w:pPr>
                          <w:jc w:val="center"/>
                          <w:rPr>
                            <w:rFonts w:asciiTheme="minorEastAsia" w:hAnsiTheme="minorEastAsia" w:eastAsiaTheme="minorEastAsia"/>
                            <w:szCs w:val="21"/>
                          </w:rPr>
                        </w:pPr>
                        <w:r>
                          <w:rPr>
                            <w:rFonts w:hint="eastAsia" w:asciiTheme="minorEastAsia" w:hAnsiTheme="minorEastAsia" w:eastAsiaTheme="minorEastAsia"/>
                            <w:szCs w:val="21"/>
                          </w:rPr>
                          <w:t>公分石、砂子等作为建筑材料外售</w:t>
                        </w:r>
                      </w:p>
                    </w:txbxContent>
                  </v:textbox>
                </v:shape>
                <v:shape id="_x0000_s1026" o:spid="_x0000_s1026" o:spt="32" type="#_x0000_t32" style="position:absolute;left:2628265;top:3657600;flip:x y;height:226060;width:114935;" filled="f" stroked="t" coordsize="21600,21600" o:gfxdata="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1snP3U&#10;AAAABQEAAA8AAAAAAAAAAQAgAAAAIgAAAGRycy9kb3ducmV2LnhtbFBLAQIUABQAAAAIAIdO4kDN&#10;RdHyJAIAABgEAAAOAAAAAAAAAAEAIAAAACMBAABkcnMvZTJvRG9jLnhtbFBLBQYAAAAABgAGAFkB&#10;AAC5BQAAAAA=&#10;">
                  <v:fill on="f" focussize="0,0"/>
                  <v:stroke weight="0.25pt" color="#000000" joinstyle="round" dashstyle="dashDot" endarrow="block"/>
                  <v:imagedata o:title=""/>
                  <o:lock v:ext="edit" aspectratio="f"/>
                </v:shape>
                <v:shape id="_x0000_s1026" o:spid="_x0000_s1026" o:spt="202" type="#_x0000_t202" style="position:absolute;left:2400300;top:3543300;height:229235;width:239395;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h0ezX0gAAAAUBAAAPAAAAAAAAAAEA&#10;IAAAACIAAABkcnMvZG93bnJldi54bWxQSwECFAAUAAAACACHTuJAVK9tGxUCAAAZBAAADgAAAAAA&#10;AAABACAAAAAhAQAAZHJzL2Uyb0RvYy54bWxQSwUGAAAAAAYABgBZAQAAqAUAAAAA&#10;">
                  <v:fill on="t" opacity="0f" focussize="0,0"/>
                  <v:stroke on="f" weight="0.25pt"/>
                  <v:imagedata o:title=""/>
                  <o:lock v:ext="edit" aspectratio="t"/>
                  <v:textbox inset="0mm,0.5mm,0mm,0mm">
                    <w:txbxContent>
                      <w:p w14:paraId="3B1F2F9C">
                        <w:pPr>
                          <w:jc w:val="center"/>
                          <w:rPr>
                            <w:rFonts w:asciiTheme="minorEastAsia" w:hAnsiTheme="minorEastAsia" w:eastAsiaTheme="minorEastAsia"/>
                            <w:szCs w:val="21"/>
                          </w:rPr>
                        </w:pPr>
                        <w:r>
                          <w:rPr>
                            <w:rFonts w:hint="eastAsia" w:eastAsiaTheme="minorEastAsia"/>
                            <w:szCs w:val="21"/>
                          </w:rPr>
                          <w:t>G</w:t>
                        </w:r>
                      </w:p>
                      <w:p w14:paraId="2BDDBB91">
                        <w:pPr>
                          <w:jc w:val="center"/>
                          <w:rPr>
                            <w:rFonts w:asciiTheme="minorEastAsia" w:hAnsiTheme="minorEastAsia" w:eastAsiaTheme="minorEastAsia"/>
                            <w:szCs w:val="21"/>
                          </w:rPr>
                        </w:pPr>
                      </w:p>
                    </w:txbxContent>
                  </v:textbox>
                </v:shape>
                <v:shape id="_x0000_s1026" o:spid="_x0000_s1026" o:spt="202" type="#_x0000_t202" style="position:absolute;left:1637665;top:2324100;height:229235;width:457835;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HR7NfSAAAABQEAAA8AAAAAAAAAAQAg&#10;AAAAIgAAAGRycy9kb3ducmV2LnhtbFBLAQIUABQAAAAIAIdO4kC7lneYFAIAABkEAAAOAAAAAAAA&#10;AAEAIAAAACEBAABkcnMvZTJvRG9jLnhtbFBLBQYAAAAABgAGAFkBAACnBQAAAAA=&#10;">
                  <v:fill on="t" opacity="0f" focussize="0,0"/>
                  <v:stroke on="f" weight="0.25pt"/>
                  <v:imagedata o:title=""/>
                  <o:lock v:ext="edit" aspectratio="t"/>
                  <v:textbox inset="0mm,0.5mm,0mm,0mm">
                    <w:txbxContent>
                      <w:p w14:paraId="13A60304"/>
                    </w:txbxContent>
                  </v:textbox>
                </v:shape>
                <v:shape id="_x0000_s1026" o:spid="_x0000_s1026" o:spt="202" type="#_x0000_t202" style="position:absolute;left:4457700;top:2857500;height:342900;width:800100;v-text-anchor:middle;" fillcolor="#FFFFFF" filled="t" stroked="f" coordsize="21600,21600" o:gfxdata="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dHs19IAAAAFAQAADwAAAAAAAAABACAA&#10;AAAiAAAAZHJzL2Rvd25yZXYueG1sUEsBAhQAFAAAAAgAh07iQGytpLsTAgAAGQQAAA4AAAAAAAAA&#10;AQAgAAAAIQEAAGRycy9lMm9Eb2MueG1sUEsFBgAAAAAGAAYAWQEAAKYFAAAAAA==&#10;">
                  <v:fill on="t" opacity="0f" focussize="0,0"/>
                  <v:stroke on="f" weight="0.25pt"/>
                  <v:imagedata o:title=""/>
                  <o:lock v:ext="edit" aspectratio="t"/>
                  <v:textbox inset="0mm,0.5mm,0mm,0mm">
                    <w:txbxContent>
                      <w:p w14:paraId="51CE91D8">
                        <w:pPr>
                          <w:jc w:val="center"/>
                          <w:rPr>
                            <w:rFonts w:asciiTheme="minorEastAsia" w:hAnsiTheme="minorEastAsia" w:eastAsiaTheme="minorEastAsia"/>
                            <w:szCs w:val="21"/>
                          </w:rPr>
                        </w:pPr>
                        <w:r>
                          <w:rPr>
                            <w:rFonts w:hint="eastAsia" w:eastAsiaTheme="minorEastAsia"/>
                            <w:szCs w:val="21"/>
                          </w:rPr>
                          <w:t>N、G、振动</w:t>
                        </w:r>
                      </w:p>
                    </w:txbxContent>
                  </v:textbox>
                </v:shape>
                <v:shape id="_x0000_s1026" o:spid="_x0000_s1026" o:spt="32" type="#_x0000_t32" style="position:absolute;left:4229100;top:3086100;flip:y;height:227965;width:229235;" filled="f" stroked="t" coordsize="21600,21600" o:gfxdata="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5m90w1gAAAAUB&#10;AAAPAAAAAAAAAAEAIAAAACIAAABkcnMvZG93bnJldi54bWxQSwECFAAUAAAACACHTuJA5yOFPR0C&#10;AAAOBAAADgAAAAAAAAABACAAAAAlAQAAZHJzL2Uyb0RvYy54bWxQSwUGAAAAAAYABgBZAQAAtAUA&#10;AAAA&#10;">
                  <v:fill on="f" focussize="0,0"/>
                  <v:stroke weight="0.25pt" color="#000000" joinstyle="round" dashstyle="dashDot" endarrow="block"/>
                  <v:imagedata o:title=""/>
                  <o:lock v:ext="edit" aspectratio="f"/>
                </v:shape>
                <v:shape id="_x0000_s1026" o:spid="_x0000_s1026" o:spt="32" type="#_x0000_t32" style="position:absolute;left:4229100;top:2742565;height:227965;width:228600;" filled="f" stroked="t" coordsize="21600,21600" o:gfxdata="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Z2NANUAAAAFAQAADwAA&#10;AAAAAAABACAAAAAiAAAAZHJzL2Rvd25yZXYueG1sUEsBAhQAFAAAAAgAh07iQP+kRTgZAgAABAQA&#10;AA4AAAAAAAAAAQAgAAAAJAEAAGRycy9lMm9Eb2MueG1sUEsFBgAAAAAGAAYAWQEAAK8FAAAAAA==&#10;">
                  <v:fill on="f" focussize="0,0"/>
                  <v:stroke weight="0.25pt" color="#000000" joinstyle="round" dashstyle="dashDot" endarrow="block"/>
                  <v:imagedata o:title=""/>
                  <o:lock v:ext="edit" aspectratio="f"/>
                </v:shape>
                <w10:wrap type="none"/>
                <w10:anchorlock/>
              </v:group>
            </w:pict>
          </mc:Fallback>
        </mc:AlternateContent>
      </w:r>
    </w:p>
    <w:p w14:paraId="6024E52C">
      <w:pPr>
        <w:pStyle w:val="45"/>
        <w:bidi w:val="0"/>
      </w:pPr>
      <w:r>
        <w:rPr>
          <w:rFonts w:hint="eastAsia"/>
          <w:lang w:val="en-US" w:eastAsia="zh-CN"/>
        </w:rPr>
        <w:t xml:space="preserve">图2.3-1 </w:t>
      </w:r>
      <w:r>
        <w:t>项目</w:t>
      </w:r>
      <w:r>
        <w:rPr>
          <w:rFonts w:hint="eastAsia"/>
        </w:rPr>
        <w:t>运营</w:t>
      </w:r>
      <w:r>
        <w:t>期</w:t>
      </w:r>
      <w:r>
        <w:rPr>
          <w:rFonts w:hint="eastAsia"/>
        </w:rPr>
        <w:t>生产环节</w:t>
      </w:r>
      <w:r>
        <w:t>污染物识别图</w:t>
      </w:r>
    </w:p>
    <w:p w14:paraId="26E417A4">
      <w:pPr>
        <w:jc w:val="center"/>
        <w:rPr>
          <w:sz w:val="24"/>
        </w:rPr>
      </w:pPr>
      <w:r>
        <w:rPr>
          <w:rFonts w:hAnsi="宋体"/>
          <w:b/>
        </w:rPr>
        <w:t>注：</w:t>
      </w:r>
      <w:r>
        <w:rPr>
          <w:b/>
        </w:rPr>
        <w:t>W</w:t>
      </w:r>
      <w:r>
        <w:rPr>
          <w:rFonts w:hAnsi="宋体"/>
          <w:b/>
        </w:rPr>
        <w:t>、</w:t>
      </w:r>
      <w:r>
        <w:rPr>
          <w:b/>
        </w:rPr>
        <w:t>N</w:t>
      </w:r>
      <w:r>
        <w:rPr>
          <w:rFonts w:hAnsi="宋体"/>
          <w:b/>
        </w:rPr>
        <w:t>、</w:t>
      </w:r>
      <w:r>
        <w:rPr>
          <w:b/>
        </w:rPr>
        <w:t>G</w:t>
      </w:r>
      <w:r>
        <w:rPr>
          <w:rFonts w:hAnsi="宋体"/>
          <w:b/>
        </w:rPr>
        <w:t>、</w:t>
      </w:r>
      <w:r>
        <w:rPr>
          <w:b/>
        </w:rPr>
        <w:t>S</w:t>
      </w:r>
      <w:r>
        <w:rPr>
          <w:rFonts w:hAnsi="宋体"/>
          <w:b/>
        </w:rPr>
        <w:t>分别表示废水、噪声、废气、固体废弃物</w:t>
      </w:r>
    </w:p>
    <w:p w14:paraId="4BADD528">
      <w:pPr>
        <w:rPr>
          <w:rFonts w:hint="default" w:eastAsiaTheme="minorEastAsia"/>
          <w:szCs w:val="21"/>
          <w:lang w:val="en-US" w:eastAsia="zh-CN"/>
        </w:rPr>
      </w:pPr>
    </w:p>
    <w:p w14:paraId="44E0D7EB">
      <w:pPr>
        <w:pStyle w:val="4"/>
        <w:bidi w:val="0"/>
        <w:rPr>
          <w:rFonts w:hint="default"/>
          <w:lang w:val="en-US" w:eastAsia="zh-CN"/>
        </w:rPr>
      </w:pPr>
      <w:bookmarkStart w:id="140" w:name="_Toc4225"/>
      <w:r>
        <w:rPr>
          <w:rFonts w:hint="eastAsia"/>
          <w:lang w:val="en-US" w:eastAsia="zh-CN"/>
        </w:rPr>
        <w:t>原项目污染物产排情况</w:t>
      </w:r>
      <w:bookmarkEnd w:id="140"/>
    </w:p>
    <w:p w14:paraId="1E6F6757">
      <w:pPr>
        <w:pStyle w:val="41"/>
        <w:bidi w:val="0"/>
        <w:rPr>
          <w:rFonts w:hint="default"/>
          <w:lang w:val="en-US" w:eastAsia="zh-CN"/>
        </w:rPr>
      </w:pPr>
      <w:r>
        <w:rPr>
          <w:rFonts w:hint="eastAsia"/>
          <w:lang w:val="en-US" w:eastAsia="zh-CN"/>
        </w:rPr>
        <w:t>参考原项目环评及验收报告，项目污染物产排情况如下：</w:t>
      </w:r>
    </w:p>
    <w:p w14:paraId="1D639F97">
      <w:pPr>
        <w:pStyle w:val="5"/>
        <w:bidi w:val="0"/>
        <w:ind w:left="864" w:leftChars="0" w:hanging="864" w:firstLineChars="0"/>
      </w:pPr>
      <w:r>
        <w:t>大气污染源分析</w:t>
      </w:r>
    </w:p>
    <w:p w14:paraId="1D0314F4">
      <w:pPr>
        <w:pStyle w:val="41"/>
        <w:bidi w:val="0"/>
      </w:pPr>
      <w:r>
        <w:t>项目运营过程产生的大气污染物主要来自矿山爆破</w:t>
      </w:r>
      <w:r>
        <w:rPr>
          <w:rFonts w:hint="eastAsia"/>
        </w:rPr>
        <w:t>、</w:t>
      </w:r>
      <w:r>
        <w:t>开采过程时表层剥离、破碎</w:t>
      </w:r>
      <w:r>
        <w:rPr>
          <w:rFonts w:hint="eastAsia"/>
        </w:rPr>
        <w:t>加工、振动筛分</w:t>
      </w:r>
      <w:r>
        <w:t>、</w:t>
      </w:r>
      <w:r>
        <w:rPr>
          <w:rFonts w:hint="eastAsia"/>
        </w:rPr>
        <w:t>砂石料堆场</w:t>
      </w:r>
      <w:r>
        <w:t>等产生的粉尘和扬尘，运输车辆产生的扬尘，机械设备燃油产生的废气以及进出项目区的汽车排放的尾气，现场人员生活产生的厨房废气。</w:t>
      </w:r>
    </w:p>
    <w:p w14:paraId="152BADB6">
      <w:pPr>
        <w:pStyle w:val="41"/>
        <w:bidi w:val="0"/>
      </w:pPr>
      <w:r>
        <w:rPr>
          <w:rFonts w:hint="eastAsia"/>
          <w:b/>
          <w:bCs/>
          <w:lang w:eastAsia="zh-CN"/>
        </w:rPr>
        <w:t>（</w:t>
      </w:r>
      <w:r>
        <w:rPr>
          <w:rFonts w:hint="eastAsia"/>
          <w:b/>
          <w:bCs/>
        </w:rPr>
        <w:t>1）</w:t>
      </w:r>
      <w:r>
        <w:rPr>
          <w:b/>
          <w:bCs/>
        </w:rPr>
        <w:t>开采、破碎加工过程粉尘</w:t>
      </w:r>
    </w:p>
    <w:p w14:paraId="38DB27C5">
      <w:pPr>
        <w:pStyle w:val="41"/>
        <w:bidi w:val="0"/>
      </w:pPr>
      <w:r>
        <w:rPr>
          <w:rFonts w:hint="eastAsia"/>
        </w:rPr>
        <w:t>①开采过程粉尘：</w:t>
      </w:r>
      <w:r>
        <w:t>矿山平均年开采量为</w:t>
      </w:r>
      <w:r>
        <w:rPr>
          <w:rFonts w:hint="eastAsia"/>
          <w:lang w:val="en-US" w:eastAsia="zh-CN"/>
        </w:rPr>
        <w:t>8</w:t>
      </w:r>
      <w:r>
        <w:rPr>
          <w:rFonts w:hint="eastAsia"/>
        </w:rPr>
        <w:t>.0</w:t>
      </w:r>
      <w:r>
        <w:t>万</w:t>
      </w:r>
      <w:r>
        <w:rPr>
          <w:rFonts w:hint="eastAsia"/>
          <w:lang w:eastAsia="zh-CN"/>
        </w:rPr>
        <w:t>m</w:t>
      </w:r>
      <w:r>
        <w:rPr>
          <w:rFonts w:hint="eastAsia"/>
          <w:vertAlign w:val="superscript"/>
          <w:lang w:eastAsia="zh-CN"/>
        </w:rPr>
        <w:t>3</w:t>
      </w:r>
      <w:r>
        <w:t>/a</w:t>
      </w:r>
      <w:r>
        <w:rPr>
          <w:rFonts w:hint="eastAsia"/>
        </w:rPr>
        <w:t>（</w:t>
      </w:r>
      <w:r>
        <w:rPr>
          <w:rFonts w:hint="eastAsia"/>
          <w:lang w:val="en-US" w:eastAsia="zh-CN"/>
        </w:rPr>
        <w:t>2</w:t>
      </w:r>
      <w:r>
        <w:rPr>
          <w:rFonts w:hint="eastAsia"/>
        </w:rPr>
        <w:t>0万t/a）</w:t>
      </w:r>
      <w:r>
        <w:t>，露天采场在空气干燥、风速较大的气候条件下，机器开采</w:t>
      </w:r>
      <w:r>
        <w:rPr>
          <w:rFonts w:hint="eastAsia"/>
        </w:rPr>
        <w:t>、</w:t>
      </w:r>
      <w:r>
        <w:t>铲装</w:t>
      </w:r>
      <w:r>
        <w:rPr>
          <w:rFonts w:hint="eastAsia"/>
        </w:rPr>
        <w:t>、爆破、</w:t>
      </w:r>
      <w:r>
        <w:t>钻孔</w:t>
      </w:r>
      <w:r>
        <w:rPr>
          <w:rFonts w:hint="eastAsia"/>
        </w:rPr>
        <w:t>等过程</w:t>
      </w:r>
      <w:r>
        <w:t>会导致现场产生扬尘，使空气中颗粒物浓度增加，并随风扩散，影响下风区域及周围空气环境质量。生产时的粉尘呈无组织排放。露天采矿粉尘产生量约</w:t>
      </w:r>
      <w:r>
        <w:rPr>
          <w:rFonts w:hint="eastAsia"/>
          <w:lang w:val="en-US" w:eastAsia="zh-CN"/>
        </w:rPr>
        <w:t>4</w:t>
      </w:r>
      <w:r>
        <w:rPr>
          <w:rFonts w:hint="eastAsia"/>
        </w:rPr>
        <w:t>.0</w:t>
      </w:r>
      <w:r>
        <w:t>t/a，露天采场采用洒水降尘的方式除尘，除尘率为70%，则露天采场粉尘排放量为</w:t>
      </w:r>
      <w:r>
        <w:rPr>
          <w:rFonts w:hint="eastAsia"/>
          <w:lang w:val="en-US" w:eastAsia="zh-CN"/>
        </w:rPr>
        <w:t>1.2</w:t>
      </w:r>
      <w:r>
        <w:t>t/a。</w:t>
      </w:r>
    </w:p>
    <w:p w14:paraId="7A8F9669">
      <w:pPr>
        <w:pStyle w:val="41"/>
        <w:bidi w:val="0"/>
      </w:pPr>
      <w:r>
        <w:rPr>
          <w:rFonts w:hint="eastAsia"/>
        </w:rPr>
        <w:t>②</w:t>
      </w:r>
      <w:r>
        <w:t>破碎加工过程</w:t>
      </w:r>
      <w:r>
        <w:rPr>
          <w:rFonts w:hint="eastAsia"/>
        </w:rPr>
        <w:t>粉尘：</w:t>
      </w:r>
      <w:r>
        <w:t>项目年开采规模</w:t>
      </w:r>
      <w:r>
        <w:rPr>
          <w:rFonts w:hint="eastAsia"/>
          <w:lang w:val="en-US" w:eastAsia="zh-CN"/>
        </w:rPr>
        <w:t>2</w:t>
      </w:r>
      <w:r>
        <w:t>0万</w:t>
      </w:r>
      <w:r>
        <w:rPr>
          <w:rFonts w:hint="eastAsia"/>
        </w:rPr>
        <w:t>t</w:t>
      </w:r>
      <w:r>
        <w:t>（约</w:t>
      </w:r>
      <w:r>
        <w:rPr>
          <w:rFonts w:hint="eastAsia"/>
          <w:lang w:val="en-US" w:eastAsia="zh-CN"/>
        </w:rPr>
        <w:t>8</w:t>
      </w:r>
      <w:r>
        <w:t>万</w:t>
      </w:r>
      <w:r>
        <w:rPr>
          <w:rFonts w:hint="eastAsia"/>
          <w:lang w:eastAsia="zh-CN"/>
        </w:rPr>
        <w:t>m</w:t>
      </w:r>
      <w:r>
        <w:rPr>
          <w:rFonts w:hint="eastAsia"/>
          <w:vertAlign w:val="superscript"/>
          <w:lang w:eastAsia="zh-CN"/>
        </w:rPr>
        <w:t>3</w:t>
      </w:r>
      <w:r>
        <w:t>），年开采天数</w:t>
      </w:r>
      <w:r>
        <w:rPr>
          <w:rFonts w:hint="eastAsia"/>
        </w:rPr>
        <w:t>30</w:t>
      </w:r>
      <w:r>
        <w:t>0</w:t>
      </w:r>
      <w:r>
        <w:rPr>
          <w:rFonts w:hint="eastAsia"/>
        </w:rPr>
        <w:t>d</w:t>
      </w:r>
      <w:r>
        <w:t>，破碎、</w:t>
      </w:r>
      <w:r>
        <w:rPr>
          <w:rFonts w:hint="eastAsia"/>
        </w:rPr>
        <w:t>振动</w:t>
      </w:r>
      <w:r>
        <w:t>筛分</w:t>
      </w:r>
      <w:r>
        <w:rPr>
          <w:rFonts w:hint="eastAsia"/>
          <w:lang w:eastAsia="zh-CN"/>
        </w:rPr>
        <w:t>产生</w:t>
      </w:r>
      <w:r>
        <w:t>粉尘量可参考《采石场大气污染物源强分析研究》（聂国朝，《资源调查与环境》第24卷，第4期，2003年）核算，粉尘</w:t>
      </w:r>
      <w:r>
        <w:rPr>
          <w:rFonts w:hint="eastAsia"/>
        </w:rPr>
        <w:t>产生</w:t>
      </w:r>
      <w:r>
        <w:t>量约为0.</w:t>
      </w:r>
      <w:r>
        <w:rPr>
          <w:rFonts w:hint="eastAsia"/>
          <w:lang w:val="en-US" w:eastAsia="zh-CN"/>
        </w:rPr>
        <w:t>24</w:t>
      </w:r>
      <w:r>
        <w:t>kg/</w:t>
      </w:r>
      <w:r>
        <w:rPr>
          <w:rFonts w:hint="eastAsia"/>
          <w:lang w:eastAsia="zh-CN"/>
        </w:rPr>
        <w:t>m</w:t>
      </w:r>
      <w:r>
        <w:rPr>
          <w:rFonts w:hint="eastAsia"/>
          <w:vertAlign w:val="superscript"/>
          <w:lang w:eastAsia="zh-CN"/>
        </w:rPr>
        <w:t>3</w:t>
      </w:r>
      <w:r>
        <w:t>，则每天产生粉尘</w:t>
      </w:r>
      <w:r>
        <w:rPr>
          <w:rFonts w:hint="eastAsia"/>
          <w:lang w:val="en-US" w:eastAsia="zh-CN"/>
        </w:rPr>
        <w:t>32</w:t>
      </w:r>
      <w:r>
        <w:t>kg，每年产生</w:t>
      </w:r>
      <w:r>
        <w:rPr>
          <w:rFonts w:hint="eastAsia"/>
        </w:rPr>
        <w:t>粉尘</w:t>
      </w:r>
      <w:r>
        <w:rPr>
          <w:rFonts w:hint="eastAsia"/>
          <w:lang w:val="en-US" w:eastAsia="zh-CN"/>
        </w:rPr>
        <w:t>9.6</w:t>
      </w:r>
      <w:r>
        <w:t>t，为有效减少破碎过程的粉尘产生量和筛分过程粉尘的扩散量，项目破碎机</w:t>
      </w:r>
      <w:r>
        <w:rPr>
          <w:rFonts w:hint="eastAsia"/>
        </w:rPr>
        <w:t>喂料口处设置</w:t>
      </w:r>
      <w:r>
        <w:t>喷淋洒水装置，</w:t>
      </w:r>
      <w:r>
        <w:rPr>
          <w:rFonts w:hint="eastAsia"/>
        </w:rPr>
        <w:t>在筛分区域设置防尘罩，新增传送带防尘罩，根据</w:t>
      </w:r>
      <w:r>
        <w:t>《</w:t>
      </w:r>
      <w:r>
        <w:rPr>
          <w:rFonts w:hint="eastAsia"/>
        </w:rPr>
        <w:t>喷雾降尘效率及喷雾参数匹配研究</w:t>
      </w:r>
      <w:r>
        <w:t>》（</w:t>
      </w:r>
      <w:r>
        <w:rPr>
          <w:rFonts w:hint="eastAsia"/>
        </w:rPr>
        <w:t>马素平</w:t>
      </w:r>
      <w:r>
        <w:t>，《</w:t>
      </w:r>
      <w:r>
        <w:rPr>
          <w:rFonts w:hint="eastAsia"/>
        </w:rPr>
        <w:t>中国安全科学学报</w:t>
      </w:r>
      <w:r>
        <w:t>》第</w:t>
      </w:r>
      <w:r>
        <w:rPr>
          <w:rFonts w:hint="eastAsia"/>
        </w:rPr>
        <w:t>16</w:t>
      </w:r>
      <w:r>
        <w:t>卷，第</w:t>
      </w:r>
      <w:r>
        <w:rPr>
          <w:rFonts w:hint="eastAsia"/>
        </w:rPr>
        <w:t>5</w:t>
      </w:r>
      <w:r>
        <w:t>期，200</w:t>
      </w:r>
      <w:r>
        <w:rPr>
          <w:rFonts w:hint="eastAsia"/>
        </w:rPr>
        <w:t>6</w:t>
      </w:r>
      <w:r>
        <w:t>年</w:t>
      </w:r>
      <w:r>
        <w:rPr>
          <w:rFonts w:hint="eastAsia"/>
        </w:rPr>
        <w:t>5月</w:t>
      </w:r>
      <w:r>
        <w:t>）</w:t>
      </w:r>
      <w:r>
        <w:rPr>
          <w:rFonts w:hint="eastAsia"/>
        </w:rPr>
        <w:t>，项目采取喷淋洒水装置等措施后，可</w:t>
      </w:r>
      <w:r>
        <w:t>减少60%</w:t>
      </w:r>
      <w:r>
        <w:rPr>
          <w:rFonts w:hint="eastAsia"/>
        </w:rPr>
        <w:t>粉尘排放量</w:t>
      </w:r>
      <w:r>
        <w:t>，则实际排放量约为</w:t>
      </w:r>
      <w:r>
        <w:rPr>
          <w:rFonts w:hint="eastAsia"/>
          <w:lang w:val="en-US" w:eastAsia="zh-CN"/>
        </w:rPr>
        <w:t>3.84</w:t>
      </w:r>
      <w:r>
        <w:t>t/a。</w:t>
      </w:r>
    </w:p>
    <w:p w14:paraId="2B158192">
      <w:pPr>
        <w:pStyle w:val="41"/>
        <w:bidi w:val="0"/>
        <w:rPr>
          <w:b/>
          <w:bCs/>
        </w:rPr>
      </w:pPr>
      <w:r>
        <w:rPr>
          <w:rFonts w:hint="eastAsia"/>
          <w:b/>
          <w:bCs/>
        </w:rPr>
        <w:t>（2）</w:t>
      </w:r>
      <w:r>
        <w:rPr>
          <w:b/>
          <w:bCs/>
        </w:rPr>
        <w:t>爆破废气</w:t>
      </w:r>
    </w:p>
    <w:p w14:paraId="57AB46B4">
      <w:pPr>
        <w:pStyle w:val="41"/>
        <w:bidi w:val="0"/>
      </w:pPr>
      <w:r>
        <w:t>炸药在爆炸时会产生高温高压膨胀气体，其中含有CO、NO</w:t>
      </w:r>
      <w:r>
        <w:rPr>
          <w:vertAlign w:val="subscript"/>
        </w:rPr>
        <w:t>2</w:t>
      </w:r>
      <w:r>
        <w:t>、CmHn等污染物，如果爆破频次高且量大时会对周边大气环境产生一定的影响，本项目爆破为小型爆破</w:t>
      </w:r>
      <w:r>
        <w:rPr>
          <w:rFonts w:hint="eastAsia"/>
        </w:rPr>
        <w:t>，其爆破废气产生量较少，属无组织排放</w:t>
      </w:r>
      <w:r>
        <w:t>。</w:t>
      </w:r>
    </w:p>
    <w:p w14:paraId="4DB3F91F">
      <w:pPr>
        <w:pStyle w:val="41"/>
        <w:bidi w:val="0"/>
        <w:rPr>
          <w:b/>
          <w:bCs/>
        </w:rPr>
      </w:pPr>
      <w:r>
        <w:rPr>
          <w:rFonts w:hint="eastAsia"/>
          <w:b/>
          <w:bCs/>
        </w:rPr>
        <w:t>（3）</w:t>
      </w:r>
      <w:r>
        <w:rPr>
          <w:b/>
          <w:bCs/>
        </w:rPr>
        <w:t>运输过</w:t>
      </w:r>
      <w:r>
        <w:rPr>
          <w:rFonts w:hint="eastAsia"/>
          <w:b/>
          <w:bCs/>
          <w:lang w:eastAsia="zh-CN"/>
        </w:rPr>
        <w:t>程中</w:t>
      </w:r>
      <w:r>
        <w:rPr>
          <w:b/>
          <w:bCs/>
        </w:rPr>
        <w:t>粉尘、扬尘</w:t>
      </w:r>
    </w:p>
    <w:p w14:paraId="109DDB74">
      <w:pPr>
        <w:pStyle w:val="41"/>
        <w:bidi w:val="0"/>
      </w:pPr>
      <w:r>
        <w:t>项目经过生产线加工后，需要用装载机运至</w:t>
      </w:r>
      <w:r>
        <w:rPr>
          <w:rFonts w:hint="eastAsia"/>
        </w:rPr>
        <w:t>砂石料场</w:t>
      </w:r>
      <w:r>
        <w:t>进行堆放，再根据市场需要从</w:t>
      </w:r>
      <w:r>
        <w:rPr>
          <w:rFonts w:hint="eastAsia"/>
        </w:rPr>
        <w:t>砂石料场</w:t>
      </w:r>
      <w:r>
        <w:t>外运出售，在运输过程中，装载机装卸、车辆运输等过程会产生一定量的粉尘，在场内产生的粉尘量比较大，受装载量及运输时天气等情况影响较大，外运过程的粉尘与运输量、运输措施等有一定的关系。该部分粉尘难以估算，属无组织排放。</w:t>
      </w:r>
    </w:p>
    <w:p w14:paraId="34D4A522">
      <w:pPr>
        <w:pStyle w:val="41"/>
        <w:bidi w:val="0"/>
        <w:rPr>
          <w:b/>
          <w:bCs/>
        </w:rPr>
      </w:pPr>
      <w:r>
        <w:rPr>
          <w:rFonts w:hint="eastAsia"/>
          <w:b/>
          <w:bCs/>
        </w:rPr>
        <w:t>（4）</w:t>
      </w:r>
      <w:r>
        <w:rPr>
          <w:b/>
          <w:bCs/>
        </w:rPr>
        <w:t>堆场扬尘</w:t>
      </w:r>
    </w:p>
    <w:p w14:paraId="4B6F1D78">
      <w:pPr>
        <w:pStyle w:val="41"/>
        <w:bidi w:val="0"/>
      </w:pPr>
      <w:r>
        <w:t>项目设置</w:t>
      </w:r>
      <w:r>
        <w:rPr>
          <w:rFonts w:hint="eastAsia"/>
        </w:rPr>
        <w:t>一</w:t>
      </w:r>
      <w:r>
        <w:t>个</w:t>
      </w:r>
      <w:r>
        <w:rPr>
          <w:rFonts w:hint="eastAsia"/>
        </w:rPr>
        <w:t>砂石料堆</w:t>
      </w:r>
      <w:r>
        <w:t>场</w:t>
      </w:r>
      <w:r>
        <w:rPr>
          <w:rFonts w:hint="eastAsia"/>
        </w:rPr>
        <w:t>，</w:t>
      </w:r>
      <w:r>
        <w:t>堆场在空气干燥、风速较大的气候条件下会导致现场尘土飞扬，使空气中颗粒物浓度增加，并随风扩散，影响下风区域及周围空气环境质量。堆场粉尘呈无组织排放，对环境的影响除与排放量有关外，还与空气湿度、风速、风向等气象条件有关，影响面主要集中在下风向100m范围内。</w:t>
      </w:r>
      <w:r>
        <w:rPr>
          <w:rFonts w:hint="eastAsia"/>
        </w:rPr>
        <w:t>本报告</w:t>
      </w:r>
      <w:r>
        <w:t>堆场扬尘量采用西安冶金建筑学院干堆计算公式进行计算，公式如下：</w:t>
      </w:r>
    </w:p>
    <w:p w14:paraId="3AFBC272">
      <w:pPr>
        <w:pStyle w:val="41"/>
        <w:bidi w:val="0"/>
      </w:pPr>
      <w:r>
        <w:t>Q=4.23×10</w:t>
      </w:r>
      <w:r>
        <w:rPr>
          <w:vertAlign w:val="superscript"/>
        </w:rPr>
        <w:t>-4</w:t>
      </w:r>
      <w:r>
        <w:t>×V4.9×S</w:t>
      </w:r>
    </w:p>
    <w:p w14:paraId="70A7BACE">
      <w:pPr>
        <w:pStyle w:val="41"/>
        <w:bidi w:val="0"/>
      </w:pPr>
      <w:r>
        <w:t>式中：Q——扬尘量，mg/s；</w:t>
      </w:r>
    </w:p>
    <w:p w14:paraId="0D55F5AB">
      <w:pPr>
        <w:pStyle w:val="41"/>
        <w:bidi w:val="0"/>
      </w:pPr>
      <w:r>
        <w:t>V——平均风速，m/s，本项目取</w:t>
      </w:r>
      <w:r>
        <w:rPr>
          <w:rFonts w:hint="eastAsia"/>
        </w:rPr>
        <w:t>3</w:t>
      </w:r>
      <w:r>
        <w:t>.</w:t>
      </w:r>
      <w:r>
        <w:rPr>
          <w:rFonts w:hint="eastAsia"/>
        </w:rPr>
        <w:t>1</w:t>
      </w:r>
      <w:r>
        <w:t>m/s；</w:t>
      </w:r>
    </w:p>
    <w:p w14:paraId="6CDD146A">
      <w:pPr>
        <w:pStyle w:val="41"/>
        <w:bidi w:val="0"/>
      </w:pPr>
      <w:r>
        <w:t>S</w:t>
      </w:r>
      <w:r>
        <w:rPr>
          <w:rFonts w:hint="eastAsia"/>
        </w:rPr>
        <w:t xml:space="preserve"> </w:t>
      </w:r>
      <w:r>
        <w:t>——堆场面积，m</w:t>
      </w:r>
      <w:r>
        <w:rPr>
          <w:vertAlign w:val="superscript"/>
        </w:rPr>
        <w:t>2</w:t>
      </w:r>
      <w:r>
        <w:t>；</w:t>
      </w:r>
    </w:p>
    <w:p w14:paraId="1DAF9ECF">
      <w:pPr>
        <w:pStyle w:val="41"/>
        <w:bidi w:val="0"/>
      </w:pPr>
      <w:r>
        <w:rPr>
          <w:rFonts w:hint="eastAsia"/>
        </w:rPr>
        <w:t>石料堆场</w:t>
      </w:r>
      <w:r>
        <w:t>占地面积约</w:t>
      </w:r>
      <w:r>
        <w:rPr>
          <w:rFonts w:hint="eastAsia"/>
        </w:rPr>
        <w:t>25000</w:t>
      </w:r>
      <w:r>
        <w:t>m</w:t>
      </w:r>
      <w:r>
        <w:rPr>
          <w:vertAlign w:val="superscript"/>
        </w:rPr>
        <w:t>2</w:t>
      </w:r>
      <w:r>
        <w:t>，按最不利影响</w:t>
      </w:r>
      <w:r>
        <w:rPr>
          <w:rFonts w:hint="eastAsia"/>
        </w:rPr>
        <w:t>进行</w:t>
      </w:r>
      <w:r>
        <w:t>计算</w:t>
      </w:r>
      <w:r>
        <w:rPr>
          <w:rFonts w:hint="eastAsia"/>
        </w:rPr>
        <w:t>，砂石料堆场</w:t>
      </w:r>
      <w:r>
        <w:t>起尘量为</w:t>
      </w:r>
      <w:r>
        <w:rPr>
          <w:rFonts w:hint="eastAsia"/>
        </w:rPr>
        <w:t>2700</w:t>
      </w:r>
      <w:r>
        <w:t>mg/s，</w:t>
      </w:r>
      <w:r>
        <w:rPr>
          <w:rFonts w:hint="eastAsia"/>
        </w:rPr>
        <w:t>85.15</w:t>
      </w:r>
      <w:r>
        <w:t>t/a，通过</w:t>
      </w:r>
      <w:r>
        <w:rPr>
          <w:rFonts w:hint="eastAsia"/>
        </w:rPr>
        <w:t>设置防尘网覆盖及固定喷淋设施</w:t>
      </w:r>
      <w:r>
        <w:t>适时进行洒水抑尘，可有效控制产尘量，</w:t>
      </w:r>
      <w:r>
        <w:rPr>
          <w:rFonts w:hint="eastAsia"/>
        </w:rPr>
        <w:t>防尘网覆盖+</w:t>
      </w:r>
      <w:r>
        <w:t>洒水抑尘的效率一般可达到</w:t>
      </w:r>
      <w:r>
        <w:rPr>
          <w:rFonts w:hint="eastAsia"/>
        </w:rPr>
        <w:t>95</w:t>
      </w:r>
      <w:r>
        <w:t>%左右，因此本项目经采取洒水措施后，</w:t>
      </w:r>
      <w:r>
        <w:rPr>
          <w:rFonts w:hint="eastAsia"/>
        </w:rPr>
        <w:t>砂石料场</w:t>
      </w:r>
      <w:r>
        <w:t>扬尘排放量约为</w:t>
      </w:r>
      <w:r>
        <w:rPr>
          <w:rFonts w:hint="eastAsia"/>
        </w:rPr>
        <w:t>4.26</w:t>
      </w:r>
      <w:r>
        <w:t>t/a</w:t>
      </w:r>
      <w:r>
        <w:rPr>
          <w:rFonts w:hint="eastAsia"/>
        </w:rPr>
        <w:t>。</w:t>
      </w:r>
    </w:p>
    <w:p w14:paraId="792E2876">
      <w:pPr>
        <w:pStyle w:val="41"/>
        <w:bidi w:val="0"/>
        <w:rPr>
          <w:b/>
          <w:bCs/>
        </w:rPr>
      </w:pPr>
      <w:r>
        <w:rPr>
          <w:rFonts w:hint="eastAsia"/>
          <w:b/>
          <w:bCs/>
        </w:rPr>
        <w:t>（5）</w:t>
      </w:r>
      <w:r>
        <w:rPr>
          <w:b/>
          <w:bCs/>
        </w:rPr>
        <w:t>生产设备和车辆燃油废气</w:t>
      </w:r>
    </w:p>
    <w:p w14:paraId="304ED57F">
      <w:pPr>
        <w:pStyle w:val="41"/>
        <w:bidi w:val="0"/>
      </w:pPr>
      <w:r>
        <w:t>项目运营过</w:t>
      </w:r>
      <w:r>
        <w:rPr>
          <w:rFonts w:hint="eastAsia"/>
          <w:lang w:eastAsia="zh-CN"/>
        </w:rPr>
        <w:t>程中</w:t>
      </w:r>
      <w:r>
        <w:rPr>
          <w:rFonts w:hint="eastAsia"/>
        </w:rPr>
        <w:t>挖掘机、转载机</w:t>
      </w:r>
      <w:r>
        <w:t>等生产设备和运输车辆采用柴油作为燃料，运行过程中会产生一定量的燃油废气，主要污染因子为CH、CO等，属于间歇性无组织排放。</w:t>
      </w:r>
    </w:p>
    <w:p w14:paraId="0E06720A">
      <w:pPr>
        <w:pStyle w:val="41"/>
        <w:bidi w:val="0"/>
        <w:rPr>
          <w:b/>
          <w:bCs/>
        </w:rPr>
      </w:pPr>
      <w:r>
        <w:rPr>
          <w:rFonts w:hint="eastAsia"/>
          <w:b/>
          <w:bCs/>
        </w:rPr>
        <w:t>（6）</w:t>
      </w:r>
      <w:r>
        <w:rPr>
          <w:b/>
          <w:bCs/>
        </w:rPr>
        <w:t>恶臭</w:t>
      </w:r>
    </w:p>
    <w:p w14:paraId="72DBCF7F">
      <w:pPr>
        <w:pStyle w:val="41"/>
        <w:bidi w:val="0"/>
      </w:pPr>
      <w:r>
        <w:t>项目生活区内设置有</w:t>
      </w:r>
      <w:r>
        <w:rPr>
          <w:rFonts w:hint="eastAsia"/>
          <w:lang w:val="en-US" w:eastAsia="zh-CN"/>
        </w:rPr>
        <w:t>粪污收集池</w:t>
      </w:r>
      <w:r>
        <w:t>，</w:t>
      </w:r>
      <w:r>
        <w:rPr>
          <w:rFonts w:hint="eastAsia"/>
          <w:lang w:val="en-US" w:eastAsia="zh-CN"/>
        </w:rPr>
        <w:t>粪污收集池</w:t>
      </w:r>
      <w:r>
        <w:t>使用过程中不及时处理或清理会产生一定的恶臭气体，使人的嗅觉有不舒服感，此外生活垃圾不及时处理也会产生恶臭。</w:t>
      </w:r>
    </w:p>
    <w:p w14:paraId="695AD6EF">
      <w:pPr>
        <w:pStyle w:val="41"/>
        <w:bidi w:val="0"/>
        <w:rPr>
          <w:b/>
          <w:bCs/>
        </w:rPr>
      </w:pPr>
      <w:r>
        <w:rPr>
          <w:rFonts w:hint="eastAsia"/>
          <w:b/>
          <w:bCs/>
        </w:rPr>
        <w:t>（7）厨房油烟</w:t>
      </w:r>
    </w:p>
    <w:p w14:paraId="4BD3A87A">
      <w:pPr>
        <w:pStyle w:val="41"/>
        <w:bidi w:val="0"/>
      </w:pPr>
      <w:r>
        <w:t>项目运营期工作人员为</w:t>
      </w:r>
      <w:r>
        <w:rPr>
          <w:rFonts w:hint="eastAsia"/>
        </w:rPr>
        <w:t>2</w:t>
      </w:r>
      <w:r>
        <w:rPr>
          <w:rFonts w:hint="eastAsia"/>
          <w:lang w:val="en-US" w:eastAsia="zh-CN"/>
        </w:rPr>
        <w:t>0</w:t>
      </w:r>
      <w:r>
        <w:t>人，工作人员三餐烹煮食物时会产生厨房</w:t>
      </w:r>
      <w:r>
        <w:rPr>
          <w:rFonts w:hint="eastAsia"/>
        </w:rPr>
        <w:t>废气</w:t>
      </w:r>
      <w:r>
        <w:t>，</w:t>
      </w:r>
      <w:r>
        <w:rPr>
          <w:rFonts w:hint="eastAsia"/>
        </w:rPr>
        <w:t>且烹煮食物时</w:t>
      </w:r>
      <w:r>
        <w:t>使用清洁能源电，</w:t>
      </w:r>
      <w:r>
        <w:rPr>
          <w:rFonts w:hint="eastAsia"/>
        </w:rPr>
        <w:t>所以，项目运营期</w:t>
      </w:r>
      <w:r>
        <w:t>产生的厨房废气</w:t>
      </w:r>
      <w:r>
        <w:rPr>
          <w:rFonts w:hint="eastAsia"/>
          <w:lang w:eastAsia="zh-CN"/>
        </w:rPr>
        <w:t>以烹煮油烟为主</w:t>
      </w:r>
      <w:r>
        <w:rPr>
          <w:rFonts w:hint="eastAsia"/>
        </w:rPr>
        <w:t>，成分较简单，且产生</w:t>
      </w:r>
      <w:r>
        <w:t>量较少。</w:t>
      </w:r>
    </w:p>
    <w:p w14:paraId="50267579">
      <w:pPr>
        <w:pStyle w:val="41"/>
        <w:bidi w:val="0"/>
        <w:rPr>
          <w:b/>
          <w:bCs/>
        </w:rPr>
      </w:pPr>
      <w:r>
        <w:rPr>
          <w:rFonts w:hint="eastAsia"/>
          <w:b/>
          <w:bCs/>
        </w:rPr>
        <w:t>（8）污染物排放核算</w:t>
      </w:r>
    </w:p>
    <w:p w14:paraId="2F703AC1">
      <w:pPr>
        <w:pStyle w:val="41"/>
        <w:bidi w:val="0"/>
        <w:rPr>
          <w:rFonts w:hint="eastAsia"/>
        </w:rPr>
      </w:pPr>
      <w:r>
        <w:t>项目运营过程产生的大气污染物主要来自矿山爆破</w:t>
      </w:r>
      <w:r>
        <w:rPr>
          <w:rFonts w:hint="eastAsia"/>
        </w:rPr>
        <w:t>、</w:t>
      </w:r>
      <w:r>
        <w:t>开采过程时表层剥离、破碎</w:t>
      </w:r>
      <w:r>
        <w:rPr>
          <w:rFonts w:hint="eastAsia"/>
        </w:rPr>
        <w:t>加工、振动筛分</w:t>
      </w:r>
      <w:r>
        <w:t>、</w:t>
      </w:r>
      <w:r>
        <w:rPr>
          <w:rFonts w:hint="eastAsia"/>
        </w:rPr>
        <w:t>砂石料堆场</w:t>
      </w:r>
      <w:r>
        <w:t>等产生的粉尘和扬尘，运输车辆产生的扬尘，机械设备燃油产生的废气以及进出项目区的汽车排放的尾气。</w:t>
      </w:r>
      <w:r>
        <w:rPr>
          <w:rFonts w:hint="eastAsia"/>
        </w:rPr>
        <w:t>项目运营期产生的大气污染物主要为无组织粉尘。根据《环境影响评价技术导则 大气环境》（HJ2.2-2018）要求，项目大气污染物无组织排放量核算见表</w:t>
      </w:r>
      <w:r>
        <w:rPr>
          <w:rFonts w:hint="eastAsia"/>
          <w:lang w:val="en-US" w:eastAsia="zh-CN"/>
        </w:rPr>
        <w:t>2.3-1</w:t>
      </w:r>
      <w:r>
        <w:rPr>
          <w:rFonts w:hint="eastAsia"/>
        </w:rPr>
        <w:t>。</w:t>
      </w:r>
    </w:p>
    <w:p w14:paraId="6E874AF8">
      <w:pPr>
        <w:pStyle w:val="45"/>
        <w:bidi w:val="0"/>
        <w:rPr>
          <w:rFonts w:hint="eastAsia"/>
        </w:rPr>
      </w:pPr>
      <w:r>
        <w:rPr>
          <w:rFonts w:hint="eastAsia"/>
          <w:lang w:val="en-US" w:eastAsia="zh-CN"/>
        </w:rPr>
        <w:t xml:space="preserve">表2.3-1 </w:t>
      </w:r>
      <w:r>
        <w:rPr>
          <w:rFonts w:hint="eastAsia"/>
        </w:rPr>
        <w:t>项目大气污染物无组织排放量核算表</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550"/>
        <w:gridCol w:w="794"/>
        <w:gridCol w:w="1068"/>
        <w:gridCol w:w="804"/>
        <w:gridCol w:w="989"/>
        <w:gridCol w:w="1897"/>
        <w:gridCol w:w="1322"/>
        <w:gridCol w:w="1047"/>
      </w:tblGrid>
      <w:tr w14:paraId="304C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328" w:type="pct"/>
            <w:vMerge w:val="restart"/>
            <w:shd w:val="clear" w:color="auto" w:fill="auto"/>
            <w:vAlign w:val="center"/>
          </w:tcPr>
          <w:p w14:paraId="3E881830">
            <w:pPr>
              <w:pStyle w:val="43"/>
              <w:bidi w:val="0"/>
              <w:rPr>
                <w:b/>
                <w:bCs/>
              </w:rPr>
            </w:pPr>
            <w:r>
              <w:rPr>
                <w:rFonts w:hint="eastAsia"/>
                <w:b/>
                <w:bCs/>
              </w:rPr>
              <w:t>序号</w:t>
            </w:r>
          </w:p>
        </w:tc>
        <w:tc>
          <w:tcPr>
            <w:tcW w:w="472" w:type="pct"/>
            <w:vMerge w:val="restart"/>
            <w:shd w:val="clear" w:color="auto" w:fill="auto"/>
            <w:tcMar>
              <w:left w:w="28" w:type="dxa"/>
              <w:right w:w="28" w:type="dxa"/>
            </w:tcMar>
            <w:vAlign w:val="center"/>
          </w:tcPr>
          <w:p w14:paraId="65046588">
            <w:pPr>
              <w:pStyle w:val="43"/>
              <w:bidi w:val="0"/>
              <w:rPr>
                <w:b/>
                <w:bCs/>
              </w:rPr>
            </w:pPr>
            <w:r>
              <w:rPr>
                <w:rFonts w:hint="eastAsia"/>
                <w:b/>
                <w:bCs/>
              </w:rPr>
              <w:t>排放口编号</w:t>
            </w:r>
          </w:p>
        </w:tc>
        <w:tc>
          <w:tcPr>
            <w:tcW w:w="634" w:type="pct"/>
            <w:vMerge w:val="restart"/>
            <w:shd w:val="clear" w:color="auto" w:fill="auto"/>
            <w:vAlign w:val="center"/>
          </w:tcPr>
          <w:p w14:paraId="0F9E5331">
            <w:pPr>
              <w:pStyle w:val="43"/>
              <w:bidi w:val="0"/>
              <w:rPr>
                <w:b/>
                <w:bCs/>
              </w:rPr>
            </w:pPr>
            <w:r>
              <w:rPr>
                <w:rFonts w:hint="eastAsia"/>
                <w:b/>
                <w:bCs/>
              </w:rPr>
              <w:t>产污环节</w:t>
            </w:r>
          </w:p>
        </w:tc>
        <w:tc>
          <w:tcPr>
            <w:tcW w:w="476" w:type="pct"/>
            <w:vMerge w:val="restart"/>
            <w:shd w:val="clear" w:color="auto" w:fill="auto"/>
            <w:vAlign w:val="center"/>
          </w:tcPr>
          <w:p w14:paraId="41D55D3D">
            <w:pPr>
              <w:pStyle w:val="43"/>
              <w:bidi w:val="0"/>
              <w:rPr>
                <w:b/>
                <w:bCs/>
              </w:rPr>
            </w:pPr>
            <w:r>
              <w:rPr>
                <w:rFonts w:hint="eastAsia"/>
                <w:b/>
                <w:bCs/>
              </w:rPr>
              <w:t>污染物</w:t>
            </w:r>
          </w:p>
        </w:tc>
        <w:tc>
          <w:tcPr>
            <w:tcW w:w="587" w:type="pct"/>
            <w:vMerge w:val="restart"/>
            <w:shd w:val="clear" w:color="auto" w:fill="auto"/>
            <w:vAlign w:val="center"/>
          </w:tcPr>
          <w:p w14:paraId="1009CE0E">
            <w:pPr>
              <w:pStyle w:val="43"/>
              <w:bidi w:val="0"/>
              <w:rPr>
                <w:b/>
                <w:bCs/>
              </w:rPr>
            </w:pPr>
            <w:r>
              <w:rPr>
                <w:rFonts w:hint="eastAsia"/>
                <w:b/>
                <w:bCs/>
              </w:rPr>
              <w:t>主要污染防治措施</w:t>
            </w:r>
          </w:p>
        </w:tc>
        <w:tc>
          <w:tcPr>
            <w:tcW w:w="1880" w:type="pct"/>
            <w:gridSpan w:val="2"/>
            <w:shd w:val="clear" w:color="auto" w:fill="auto"/>
            <w:vAlign w:val="center"/>
          </w:tcPr>
          <w:p w14:paraId="0E9C8E31">
            <w:pPr>
              <w:pStyle w:val="43"/>
              <w:bidi w:val="0"/>
              <w:rPr>
                <w:b/>
                <w:bCs/>
              </w:rPr>
            </w:pPr>
            <w:r>
              <w:rPr>
                <w:rFonts w:hint="eastAsia"/>
                <w:b/>
                <w:bCs/>
              </w:rPr>
              <w:t>国家或地方排放标准</w:t>
            </w:r>
          </w:p>
        </w:tc>
        <w:tc>
          <w:tcPr>
            <w:tcW w:w="620" w:type="pct"/>
            <w:vMerge w:val="restart"/>
            <w:shd w:val="clear" w:color="auto" w:fill="auto"/>
            <w:vAlign w:val="center"/>
          </w:tcPr>
          <w:p w14:paraId="3A350C54">
            <w:pPr>
              <w:pStyle w:val="43"/>
              <w:bidi w:val="0"/>
              <w:rPr>
                <w:b/>
                <w:bCs/>
              </w:rPr>
            </w:pPr>
            <w:r>
              <w:rPr>
                <w:rFonts w:hint="eastAsia"/>
                <w:b/>
                <w:bCs/>
              </w:rPr>
              <w:t>年排放量/</w:t>
            </w:r>
          </w:p>
          <w:p w14:paraId="29B32F0B">
            <w:pPr>
              <w:pStyle w:val="43"/>
              <w:bidi w:val="0"/>
              <w:rPr>
                <w:b/>
                <w:bCs/>
              </w:rPr>
            </w:pPr>
            <w:r>
              <w:rPr>
                <w:rFonts w:hint="eastAsia"/>
                <w:b/>
                <w:bCs/>
              </w:rPr>
              <w:t>（t/a</w:t>
            </w:r>
            <w:r>
              <w:rPr>
                <w:rFonts w:hint="eastAsia"/>
                <w:b/>
                <w:bCs/>
                <w:lang w:eastAsia="zh-CN"/>
              </w:rPr>
              <w:t>)</w:t>
            </w:r>
          </w:p>
        </w:tc>
      </w:tr>
      <w:tr w14:paraId="3C96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328" w:type="pct"/>
            <w:vMerge w:val="continue"/>
            <w:shd w:val="clear" w:color="auto" w:fill="auto"/>
            <w:vAlign w:val="center"/>
          </w:tcPr>
          <w:p w14:paraId="41F6A686">
            <w:pPr>
              <w:pStyle w:val="43"/>
              <w:bidi w:val="0"/>
            </w:pPr>
          </w:p>
        </w:tc>
        <w:tc>
          <w:tcPr>
            <w:tcW w:w="472" w:type="pct"/>
            <w:vMerge w:val="continue"/>
            <w:shd w:val="clear" w:color="auto" w:fill="auto"/>
            <w:vAlign w:val="center"/>
          </w:tcPr>
          <w:p w14:paraId="5186E6BA">
            <w:pPr>
              <w:pStyle w:val="43"/>
              <w:bidi w:val="0"/>
            </w:pPr>
          </w:p>
        </w:tc>
        <w:tc>
          <w:tcPr>
            <w:tcW w:w="634" w:type="pct"/>
            <w:vMerge w:val="continue"/>
            <w:shd w:val="clear" w:color="auto" w:fill="auto"/>
            <w:vAlign w:val="center"/>
          </w:tcPr>
          <w:p w14:paraId="204869B2">
            <w:pPr>
              <w:pStyle w:val="43"/>
              <w:bidi w:val="0"/>
            </w:pPr>
          </w:p>
        </w:tc>
        <w:tc>
          <w:tcPr>
            <w:tcW w:w="476" w:type="pct"/>
            <w:vMerge w:val="continue"/>
            <w:shd w:val="clear" w:color="auto" w:fill="auto"/>
            <w:vAlign w:val="center"/>
          </w:tcPr>
          <w:p w14:paraId="7308BE5E">
            <w:pPr>
              <w:pStyle w:val="43"/>
              <w:bidi w:val="0"/>
            </w:pPr>
          </w:p>
        </w:tc>
        <w:tc>
          <w:tcPr>
            <w:tcW w:w="587" w:type="pct"/>
            <w:vMerge w:val="continue"/>
            <w:shd w:val="clear" w:color="auto" w:fill="auto"/>
            <w:vAlign w:val="center"/>
          </w:tcPr>
          <w:p w14:paraId="5F2F6344">
            <w:pPr>
              <w:pStyle w:val="43"/>
              <w:bidi w:val="0"/>
            </w:pPr>
          </w:p>
        </w:tc>
        <w:tc>
          <w:tcPr>
            <w:tcW w:w="1097" w:type="pct"/>
            <w:shd w:val="clear" w:color="auto" w:fill="auto"/>
            <w:vAlign w:val="center"/>
          </w:tcPr>
          <w:p w14:paraId="3BB235CA">
            <w:pPr>
              <w:pStyle w:val="43"/>
              <w:bidi w:val="0"/>
              <w:rPr>
                <w:b/>
                <w:bCs/>
              </w:rPr>
            </w:pPr>
            <w:r>
              <w:rPr>
                <w:rFonts w:hint="eastAsia"/>
                <w:b/>
                <w:bCs/>
              </w:rPr>
              <w:t>标准名称</w:t>
            </w:r>
          </w:p>
        </w:tc>
        <w:tc>
          <w:tcPr>
            <w:tcW w:w="782" w:type="pct"/>
            <w:shd w:val="clear" w:color="auto" w:fill="auto"/>
            <w:vAlign w:val="center"/>
          </w:tcPr>
          <w:p w14:paraId="0437C221">
            <w:pPr>
              <w:pStyle w:val="43"/>
              <w:bidi w:val="0"/>
              <w:rPr>
                <w:b/>
                <w:bCs/>
              </w:rPr>
            </w:pPr>
            <w:r>
              <w:rPr>
                <w:rFonts w:hint="eastAsia"/>
                <w:b/>
                <w:bCs/>
              </w:rPr>
              <w:t>浓度限值/（</w:t>
            </w:r>
            <w:r>
              <w:rPr>
                <w:b/>
                <w:bCs/>
              </w:rPr>
              <w:t>μg</w:t>
            </w:r>
            <w:r>
              <w:rPr>
                <w:rFonts w:hint="eastAsia"/>
                <w:b/>
                <w:bCs/>
              </w:rPr>
              <w:t>/</w:t>
            </w:r>
            <w:r>
              <w:rPr>
                <w:rFonts w:hint="eastAsia"/>
                <w:b/>
                <w:bCs/>
                <w:lang w:eastAsia="zh-CN"/>
              </w:rPr>
              <w:t>m</w:t>
            </w:r>
            <w:r>
              <w:rPr>
                <w:rFonts w:hint="eastAsia"/>
                <w:b/>
                <w:bCs/>
                <w:vertAlign w:val="superscript"/>
                <w:lang w:eastAsia="zh-CN"/>
              </w:rPr>
              <w:t>3</w:t>
            </w:r>
            <w:r>
              <w:rPr>
                <w:rFonts w:hint="eastAsia"/>
                <w:b/>
                <w:bCs/>
              </w:rPr>
              <w:t>）</w:t>
            </w:r>
          </w:p>
        </w:tc>
        <w:tc>
          <w:tcPr>
            <w:tcW w:w="620" w:type="pct"/>
            <w:vMerge w:val="continue"/>
            <w:shd w:val="clear" w:color="auto" w:fill="auto"/>
            <w:vAlign w:val="center"/>
          </w:tcPr>
          <w:p w14:paraId="4CEE3D34">
            <w:pPr>
              <w:pStyle w:val="43"/>
              <w:bidi w:val="0"/>
            </w:pPr>
          </w:p>
        </w:tc>
      </w:tr>
      <w:tr w14:paraId="53E6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328" w:type="pct"/>
            <w:shd w:val="clear" w:color="auto" w:fill="auto"/>
            <w:vAlign w:val="center"/>
          </w:tcPr>
          <w:p w14:paraId="16FA0BAE">
            <w:pPr>
              <w:pStyle w:val="43"/>
              <w:bidi w:val="0"/>
            </w:pPr>
            <w:r>
              <w:rPr>
                <w:rFonts w:hint="eastAsia"/>
              </w:rPr>
              <w:t>1</w:t>
            </w:r>
          </w:p>
        </w:tc>
        <w:tc>
          <w:tcPr>
            <w:tcW w:w="472" w:type="pct"/>
            <w:shd w:val="clear" w:color="auto" w:fill="auto"/>
            <w:vAlign w:val="center"/>
          </w:tcPr>
          <w:p w14:paraId="78E259A3">
            <w:pPr>
              <w:pStyle w:val="43"/>
              <w:bidi w:val="0"/>
            </w:pPr>
            <w:r>
              <w:rPr>
                <w:rFonts w:hint="eastAsia"/>
              </w:rPr>
              <w:t>无</w:t>
            </w:r>
          </w:p>
        </w:tc>
        <w:tc>
          <w:tcPr>
            <w:tcW w:w="634" w:type="pct"/>
            <w:shd w:val="clear" w:color="auto" w:fill="auto"/>
            <w:vAlign w:val="center"/>
          </w:tcPr>
          <w:p w14:paraId="0ACB002D">
            <w:pPr>
              <w:pStyle w:val="43"/>
              <w:bidi w:val="0"/>
            </w:pPr>
            <w:r>
              <w:rPr>
                <w:rFonts w:hint="eastAsia"/>
              </w:rPr>
              <w:t>矿石开采、破碎、堆存</w:t>
            </w:r>
          </w:p>
        </w:tc>
        <w:tc>
          <w:tcPr>
            <w:tcW w:w="476" w:type="pct"/>
            <w:shd w:val="clear" w:color="auto" w:fill="auto"/>
            <w:vAlign w:val="center"/>
          </w:tcPr>
          <w:p w14:paraId="73224EEF">
            <w:pPr>
              <w:pStyle w:val="43"/>
              <w:bidi w:val="0"/>
            </w:pPr>
            <w:r>
              <w:t>颗粒物</w:t>
            </w:r>
          </w:p>
        </w:tc>
        <w:tc>
          <w:tcPr>
            <w:tcW w:w="587" w:type="pct"/>
            <w:shd w:val="clear" w:color="auto" w:fill="auto"/>
            <w:vAlign w:val="center"/>
          </w:tcPr>
          <w:p w14:paraId="02468E8A">
            <w:pPr>
              <w:pStyle w:val="43"/>
              <w:bidi w:val="0"/>
            </w:pPr>
            <w:r>
              <w:rPr>
                <w:rFonts w:hint="eastAsia"/>
              </w:rPr>
              <w:t>洒水降尘</w:t>
            </w:r>
          </w:p>
        </w:tc>
        <w:tc>
          <w:tcPr>
            <w:tcW w:w="1097" w:type="pct"/>
            <w:shd w:val="clear" w:color="auto" w:fill="auto"/>
            <w:vAlign w:val="center"/>
          </w:tcPr>
          <w:p w14:paraId="21B9935A">
            <w:pPr>
              <w:pStyle w:val="43"/>
              <w:bidi w:val="0"/>
            </w:pPr>
            <w:r>
              <w:t>《大气污染物综合排放标准》</w:t>
            </w:r>
            <w:r>
              <w:rPr>
                <w:rFonts w:hint="eastAsia"/>
                <w:lang w:eastAsia="zh-CN"/>
              </w:rPr>
              <w:t>（</w:t>
            </w:r>
            <w:r>
              <w:t>GB16297-1996</w:t>
            </w:r>
            <w:r>
              <w:rPr>
                <w:rFonts w:hint="eastAsia"/>
                <w:lang w:eastAsia="zh-CN"/>
              </w:rPr>
              <w:t>）</w:t>
            </w:r>
            <w:r>
              <w:rPr>
                <w:rFonts w:hint="eastAsia"/>
              </w:rPr>
              <w:t>表2中无组织</w:t>
            </w:r>
            <w:r>
              <w:t>排放</w:t>
            </w:r>
            <w:r>
              <w:rPr>
                <w:rFonts w:hint="eastAsia"/>
              </w:rPr>
              <w:t>监控</w:t>
            </w:r>
            <w:r>
              <w:t>浓度限值</w:t>
            </w:r>
          </w:p>
        </w:tc>
        <w:tc>
          <w:tcPr>
            <w:tcW w:w="782" w:type="pct"/>
            <w:shd w:val="clear" w:color="auto" w:fill="auto"/>
            <w:vAlign w:val="center"/>
          </w:tcPr>
          <w:p w14:paraId="2EBC083B">
            <w:pPr>
              <w:pStyle w:val="43"/>
              <w:bidi w:val="0"/>
            </w:pPr>
            <w:r>
              <w:rPr>
                <w:rFonts w:hint="eastAsia"/>
              </w:rPr>
              <w:t>1000</w:t>
            </w:r>
          </w:p>
        </w:tc>
        <w:tc>
          <w:tcPr>
            <w:tcW w:w="620" w:type="pct"/>
            <w:shd w:val="clear" w:color="auto" w:fill="auto"/>
            <w:vAlign w:val="center"/>
          </w:tcPr>
          <w:p w14:paraId="4A008EC0">
            <w:pPr>
              <w:pStyle w:val="43"/>
              <w:bidi w:val="0"/>
              <w:rPr>
                <w:rFonts w:hint="default" w:eastAsia="宋体"/>
                <w:lang w:val="en-US" w:eastAsia="zh-CN"/>
              </w:rPr>
            </w:pPr>
            <w:r>
              <w:rPr>
                <w:rFonts w:hint="eastAsia"/>
                <w:lang w:val="en-US" w:eastAsia="zh-CN"/>
              </w:rPr>
              <w:t>9.3</w:t>
            </w:r>
          </w:p>
        </w:tc>
      </w:tr>
      <w:tr w14:paraId="70AF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5000" w:type="pct"/>
            <w:gridSpan w:val="8"/>
            <w:shd w:val="clear" w:color="auto" w:fill="auto"/>
            <w:vAlign w:val="center"/>
          </w:tcPr>
          <w:p w14:paraId="0D597E85">
            <w:pPr>
              <w:pStyle w:val="43"/>
              <w:bidi w:val="0"/>
            </w:pPr>
            <w:r>
              <w:rPr>
                <w:rFonts w:hint="eastAsia"/>
              </w:rPr>
              <w:t>无组织排放总计</w:t>
            </w:r>
          </w:p>
        </w:tc>
      </w:tr>
      <w:tr w14:paraId="66FB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12" w:type="pct"/>
            <w:gridSpan w:val="4"/>
            <w:shd w:val="clear" w:color="auto" w:fill="auto"/>
            <w:vAlign w:val="center"/>
          </w:tcPr>
          <w:p w14:paraId="0D3974C9">
            <w:pPr>
              <w:pStyle w:val="43"/>
              <w:bidi w:val="0"/>
            </w:pPr>
            <w:r>
              <w:rPr>
                <w:rFonts w:hint="eastAsia"/>
              </w:rPr>
              <w:t>无组织排放总计</w:t>
            </w:r>
          </w:p>
        </w:tc>
        <w:tc>
          <w:tcPr>
            <w:tcW w:w="2467" w:type="pct"/>
            <w:gridSpan w:val="3"/>
            <w:shd w:val="clear" w:color="auto" w:fill="auto"/>
            <w:vAlign w:val="center"/>
          </w:tcPr>
          <w:p w14:paraId="3D916B30">
            <w:pPr>
              <w:pStyle w:val="43"/>
              <w:bidi w:val="0"/>
            </w:pPr>
            <w:r>
              <w:t>颗粒物</w:t>
            </w:r>
          </w:p>
        </w:tc>
        <w:tc>
          <w:tcPr>
            <w:tcW w:w="620" w:type="pct"/>
            <w:shd w:val="clear" w:color="auto" w:fill="auto"/>
            <w:vAlign w:val="center"/>
          </w:tcPr>
          <w:p w14:paraId="4344C319">
            <w:pPr>
              <w:pStyle w:val="43"/>
              <w:bidi w:val="0"/>
            </w:pPr>
            <w:r>
              <w:rPr>
                <w:rFonts w:hint="eastAsia"/>
                <w:lang w:val="en-US" w:eastAsia="zh-CN"/>
              </w:rPr>
              <w:t>9.3</w:t>
            </w:r>
          </w:p>
        </w:tc>
      </w:tr>
    </w:tbl>
    <w:p w14:paraId="5256FBE1">
      <w:pPr>
        <w:pStyle w:val="5"/>
        <w:bidi w:val="0"/>
        <w:ind w:left="864" w:leftChars="0" w:hanging="864" w:firstLineChars="0"/>
      </w:pPr>
      <w:r>
        <w:t>水污染源分析</w:t>
      </w:r>
    </w:p>
    <w:p w14:paraId="24B83F7F">
      <w:pPr>
        <w:pStyle w:val="41"/>
        <w:bidi w:val="0"/>
        <w:rPr>
          <w:b/>
          <w:bCs/>
        </w:rPr>
      </w:pPr>
      <w:r>
        <w:rPr>
          <w:rFonts w:hint="eastAsia"/>
          <w:b/>
          <w:bCs/>
        </w:rPr>
        <w:t>（1）初期雨水</w:t>
      </w:r>
    </w:p>
    <w:p w14:paraId="16828963">
      <w:pPr>
        <w:pStyle w:val="41"/>
        <w:bidi w:val="0"/>
      </w:pPr>
      <w:r>
        <w:rPr>
          <w:rFonts w:hint="eastAsia"/>
        </w:rPr>
        <w:t>项目区会洒落少量的石灰岩颗粒及沉降粉尘等，这部分废物遇初期雨水冲刷后流走，形成泥浆水（会夹带泥沙等）。若直接外排会污染项目周边的旱地，同时也会冲刷进场的道路。</w:t>
      </w:r>
    </w:p>
    <w:p w14:paraId="3A34F77E">
      <w:pPr>
        <w:pStyle w:val="41"/>
        <w:bidi w:val="0"/>
      </w:pPr>
      <w:r>
        <w:rPr>
          <w:rFonts w:hint="eastAsia"/>
        </w:rPr>
        <w:t>初期雨水径流：</w:t>
      </w:r>
      <w:r>
        <w:t>一般采用项目所在地历年日最大暴雨的前15min雨量为初期雨水量，依据《给水排水设计手册》可知：</w:t>
      </w:r>
    </w:p>
    <w:p w14:paraId="1FA44352">
      <w:pPr>
        <w:pStyle w:val="41"/>
        <w:bidi w:val="0"/>
      </w:pPr>
      <w:r>
        <w:rPr>
          <w:rFonts w:hint="eastAsia"/>
          <w:lang w:eastAsia="zh-CN"/>
        </w:rPr>
        <w:t>a.</w:t>
      </w:r>
      <w:r>
        <w:t>暴雨强度估算公式如下：</w:t>
      </w:r>
    </w:p>
    <w:p w14:paraId="4AA9FF27">
      <w:pPr>
        <w:pStyle w:val="41"/>
        <w:bidi w:val="0"/>
        <w:rPr>
          <w:lang w:val="fr-FR"/>
        </w:rPr>
      </w:pPr>
      <w:r>
        <w:rPr>
          <w:lang w:val="fr-FR"/>
        </w:rPr>
        <w:object>
          <v:shape id="_x0000_i1026" o:spt="75" type="#_x0000_t75" style="height:33pt;width:108.75pt;" o:ole="t" filled="f" o:preferrelative="t" stroked="f" coordsize="21600,21600">
            <v:path/>
            <v:fill on="f" focussize="0,0"/>
            <v:stroke on="f" joinstyle="miter"/>
            <v:imagedata r:id="rId21" o:title=""/>
            <o:lock v:ext="edit" aspectratio="t"/>
            <w10:wrap type="none"/>
            <w10:anchorlock/>
          </v:shape>
          <o:OLEObject Type="Embed" ProgID="Equation.3" ShapeID="_x0000_i1026" DrawAspect="Content" ObjectID="_1468075726" r:id="rId20">
            <o:LockedField>false</o:LockedField>
          </o:OLEObject>
        </w:object>
      </w:r>
    </w:p>
    <w:p w14:paraId="2BD06E58">
      <w:pPr>
        <w:pStyle w:val="41"/>
        <w:bidi w:val="0"/>
        <w:rPr>
          <w:lang w:val="fr-FR"/>
        </w:rPr>
      </w:pPr>
      <w:r>
        <w:t>式中</w:t>
      </w:r>
      <w:r>
        <w:rPr>
          <w:lang w:val="fr-FR"/>
        </w:rPr>
        <w:t>：q——</w:t>
      </w:r>
      <w:r>
        <w:t>暴雨强度</w:t>
      </w:r>
      <w:r>
        <w:rPr>
          <w:lang w:val="fr-FR"/>
        </w:rPr>
        <w:t>，</w:t>
      </w:r>
      <w:r>
        <w:t>单位为</w:t>
      </w:r>
      <w:r>
        <w:rPr>
          <w:lang w:val="fr-FR"/>
        </w:rPr>
        <w:t>L/s·ha，</w:t>
      </w:r>
      <w:r>
        <w:t>其中</w:t>
      </w:r>
      <w:r>
        <w:rPr>
          <w:lang w:val="fr-FR"/>
        </w:rPr>
        <w:t>ha</w:t>
      </w:r>
      <w:r>
        <w:t>表示公顷</w:t>
      </w:r>
      <w:r>
        <w:rPr>
          <w:lang w:val="fr-FR"/>
        </w:rPr>
        <w:t>；</w:t>
      </w:r>
    </w:p>
    <w:p w14:paraId="3458AB76">
      <w:pPr>
        <w:pStyle w:val="41"/>
        <w:bidi w:val="0"/>
        <w:rPr>
          <w:lang w:val="fr-FR"/>
        </w:rPr>
      </w:pPr>
      <w:r>
        <w:rPr>
          <w:lang w:val="fr-FR"/>
        </w:rPr>
        <w:t>P——</w:t>
      </w:r>
      <w:r>
        <w:t>重现期</w:t>
      </w:r>
      <w:r>
        <w:rPr>
          <w:lang w:val="fr-FR"/>
        </w:rPr>
        <w:t>，</w:t>
      </w:r>
      <w:r>
        <w:t>取</w:t>
      </w:r>
      <w:r>
        <w:rPr>
          <w:lang w:val="fr-FR"/>
        </w:rPr>
        <w:t>1</w:t>
      </w:r>
      <w:r>
        <w:t>年</w:t>
      </w:r>
      <w:r>
        <w:rPr>
          <w:lang w:val="fr-FR"/>
        </w:rPr>
        <w:t>；</w:t>
      </w:r>
    </w:p>
    <w:p w14:paraId="2D3F8385">
      <w:pPr>
        <w:pStyle w:val="41"/>
        <w:bidi w:val="0"/>
      </w:pPr>
      <w:r>
        <w:rPr>
          <w:rFonts w:hint="eastAsia"/>
        </w:rPr>
        <w:t xml:space="preserve">t </w:t>
      </w:r>
      <w:r>
        <w:t>——地面积水时间与管内流行时间之和</w:t>
      </w:r>
      <w:r>
        <w:rPr>
          <w:rFonts w:hint="eastAsia"/>
        </w:rPr>
        <w:t>，取15min</w:t>
      </w:r>
      <w:r>
        <w:t>。</w:t>
      </w:r>
    </w:p>
    <w:p w14:paraId="0A8679D8">
      <w:pPr>
        <w:pStyle w:val="41"/>
        <w:bidi w:val="0"/>
      </w:pPr>
      <w:r>
        <w:t>则q=208.70L/s·ha</w:t>
      </w:r>
    </w:p>
    <w:p w14:paraId="3FAEF47B">
      <w:pPr>
        <w:pStyle w:val="41"/>
        <w:bidi w:val="0"/>
      </w:pPr>
      <w:r>
        <w:rPr>
          <w:rFonts w:hint="eastAsia"/>
          <w:lang w:eastAsia="zh-CN"/>
        </w:rPr>
        <w:t>b.</w:t>
      </w:r>
      <w:r>
        <w:t>初期雨水</w:t>
      </w:r>
      <w:r>
        <w:rPr>
          <w:rFonts w:hint="eastAsia"/>
          <w:lang w:eastAsia="zh-CN"/>
        </w:rPr>
        <w:t>量</w:t>
      </w:r>
      <w:r>
        <w:t>估算公式如下：</w:t>
      </w:r>
    </w:p>
    <w:p w14:paraId="1836599B">
      <w:pPr>
        <w:pStyle w:val="41"/>
        <w:bidi w:val="0"/>
      </w:pPr>
      <w:r>
        <w:t>Q=qFψT</w:t>
      </w:r>
    </w:p>
    <w:p w14:paraId="497475B0">
      <w:pPr>
        <w:pStyle w:val="41"/>
        <w:bidi w:val="0"/>
      </w:pPr>
      <w:r>
        <w:t>式中：Q——初期雨水排放量，单位为</w:t>
      </w:r>
      <w:r>
        <w:rPr>
          <w:rFonts w:hint="eastAsia"/>
          <w:lang w:eastAsia="zh-CN"/>
        </w:rPr>
        <w:t>m</w:t>
      </w:r>
      <w:r>
        <w:rPr>
          <w:rFonts w:hint="eastAsia"/>
          <w:vertAlign w:val="superscript"/>
          <w:lang w:eastAsia="zh-CN"/>
        </w:rPr>
        <w:t>3</w:t>
      </w:r>
      <w:r>
        <w:t>；</w:t>
      </w:r>
    </w:p>
    <w:p w14:paraId="1C563793">
      <w:pPr>
        <w:pStyle w:val="41"/>
        <w:bidi w:val="0"/>
      </w:pPr>
      <w:r>
        <w:t>F——汇水面积，单位为ha；</w:t>
      </w:r>
    </w:p>
    <w:p w14:paraId="65ED7C26">
      <w:pPr>
        <w:pStyle w:val="41"/>
        <w:bidi w:val="0"/>
      </w:pPr>
      <w:r>
        <w:t>Ψ——年径流系数，根据云南省水文手册资料可知，项目所在区域取0.</w:t>
      </w:r>
      <w:r>
        <w:rPr>
          <w:rFonts w:hint="eastAsia"/>
        </w:rPr>
        <w:t>3</w:t>
      </w:r>
      <w:r>
        <w:t>；</w:t>
      </w:r>
    </w:p>
    <w:p w14:paraId="7FCC696E">
      <w:pPr>
        <w:pStyle w:val="41"/>
        <w:bidi w:val="0"/>
      </w:pPr>
      <w:r>
        <w:t>T——为收水时间，一般取15min。</w:t>
      </w:r>
    </w:p>
    <w:p w14:paraId="61AE13E7">
      <w:pPr>
        <w:pStyle w:val="41"/>
        <w:bidi w:val="0"/>
      </w:pPr>
      <w:r>
        <w:rPr>
          <w:rFonts w:hint="eastAsia"/>
        </w:rPr>
        <w:t>根据项目实际情况，</w:t>
      </w:r>
      <w:r>
        <w:t>项目汇水面积约为</w:t>
      </w:r>
      <w:r>
        <w:rPr>
          <w:rFonts w:hint="eastAsia"/>
        </w:rPr>
        <w:t>3.04</w:t>
      </w:r>
      <w:r>
        <w:t>ha</w:t>
      </w:r>
      <w:r>
        <w:rPr>
          <w:rFonts w:hint="eastAsia"/>
        </w:rPr>
        <w:t>（汇水面积主要以生产加工区、砂石料堆场来核算）</w:t>
      </w:r>
      <w:r>
        <w:t>，根据上式计算得出</w:t>
      </w:r>
      <w:r>
        <w:rPr>
          <w:rFonts w:hint="eastAsia"/>
        </w:rPr>
        <w:t>，初期雨水量</w:t>
      </w:r>
      <w:r>
        <w:t>为</w:t>
      </w:r>
      <w:r>
        <w:rPr>
          <w:rFonts w:hint="eastAsia"/>
        </w:rPr>
        <w:t>171.30</w:t>
      </w:r>
      <w:r>
        <w:rPr>
          <w:rFonts w:hint="eastAsia"/>
          <w:lang w:eastAsia="zh-CN"/>
        </w:rPr>
        <w:t>m</w:t>
      </w:r>
      <w:r>
        <w:rPr>
          <w:rFonts w:hint="eastAsia"/>
          <w:vertAlign w:val="superscript"/>
          <w:lang w:eastAsia="zh-CN"/>
        </w:rPr>
        <w:t>3</w:t>
      </w:r>
      <w:r>
        <w:rPr>
          <w:rFonts w:hint="eastAsia"/>
        </w:rPr>
        <w:t>，初期雨水由排水沟收集，经初期雨水收集池沉淀处理后，用于厂区洒水降尘及生产用水。</w:t>
      </w:r>
    </w:p>
    <w:p w14:paraId="1D1A33BB">
      <w:pPr>
        <w:pStyle w:val="41"/>
        <w:bidi w:val="0"/>
        <w:rPr>
          <w:b/>
          <w:bCs/>
        </w:rPr>
      </w:pPr>
      <w:r>
        <w:rPr>
          <w:rFonts w:hint="eastAsia"/>
          <w:b/>
          <w:bCs/>
        </w:rPr>
        <w:t>（2）</w:t>
      </w:r>
      <w:r>
        <w:rPr>
          <w:b/>
          <w:bCs/>
        </w:rPr>
        <w:t>矿坑积水</w:t>
      </w:r>
    </w:p>
    <w:p w14:paraId="21F747B7">
      <w:pPr>
        <w:pStyle w:val="41"/>
        <w:bidi w:val="0"/>
      </w:pPr>
      <w:r>
        <w:rPr>
          <w:rFonts w:hint="eastAsia"/>
        </w:rPr>
        <w:t>项目开采矿床所处位置较高，储量估算范围内地下水对矿床无充水影响，季节性大气降雨是矿坑积水的唯一来源，根据项目矿区地形，矿山开采不能形成封闭凹坑，大气降水仅是一种过境流量，顺地势外排。</w:t>
      </w:r>
    </w:p>
    <w:p w14:paraId="4BCA6BBF">
      <w:pPr>
        <w:pStyle w:val="41"/>
        <w:bidi w:val="0"/>
        <w:rPr>
          <w:b/>
          <w:bCs/>
        </w:rPr>
      </w:pPr>
      <w:r>
        <w:rPr>
          <w:rFonts w:hint="eastAsia"/>
          <w:b/>
          <w:bCs/>
        </w:rPr>
        <w:t>（3）生产废水</w:t>
      </w:r>
    </w:p>
    <w:p w14:paraId="28853B93">
      <w:pPr>
        <w:pStyle w:val="41"/>
        <w:bidi w:val="0"/>
      </w:pPr>
      <w:r>
        <w:t>项目生产用水环节主要为降尘，由于项目在破碎及进料环节产生的粉尘很大，项目设置一个水箱，在进料和破碎环节设置软管喷洒装置，以此来降尘，进料、破碎环节用水量为3.0</w:t>
      </w:r>
      <w:r>
        <w:rPr>
          <w:rFonts w:hint="eastAsia"/>
          <w:lang w:eastAsia="zh-CN"/>
        </w:rPr>
        <w:t>m</w:t>
      </w:r>
      <w:r>
        <w:rPr>
          <w:rFonts w:hint="eastAsia"/>
          <w:vertAlign w:val="superscript"/>
          <w:lang w:eastAsia="zh-CN"/>
        </w:rPr>
        <w:t>3</w:t>
      </w:r>
      <w:r>
        <w:t>/d，路面及场地降尘用水量为</w:t>
      </w:r>
      <w:r>
        <w:rPr>
          <w:rFonts w:hint="eastAsia"/>
        </w:rPr>
        <w:t>7</w:t>
      </w:r>
      <w:r>
        <w:rPr>
          <w:rFonts w:hint="eastAsia"/>
          <w:lang w:eastAsia="zh-CN"/>
        </w:rPr>
        <w:t>m</w:t>
      </w:r>
      <w:r>
        <w:rPr>
          <w:rFonts w:hint="eastAsia"/>
          <w:vertAlign w:val="superscript"/>
          <w:lang w:eastAsia="zh-CN"/>
        </w:rPr>
        <w:t>3</w:t>
      </w:r>
      <w:r>
        <w:t>/d，项目用水量约为</w:t>
      </w:r>
      <w:r>
        <w:rPr>
          <w:rFonts w:hint="eastAsia"/>
        </w:rPr>
        <w:t>10</w:t>
      </w:r>
      <w:r>
        <w:t>.0</w:t>
      </w:r>
      <w:r>
        <w:rPr>
          <w:rFonts w:hint="eastAsia"/>
          <w:lang w:eastAsia="zh-CN"/>
        </w:rPr>
        <w:t>m</w:t>
      </w:r>
      <w:r>
        <w:rPr>
          <w:rFonts w:hint="eastAsia"/>
          <w:vertAlign w:val="superscript"/>
          <w:lang w:eastAsia="zh-CN"/>
        </w:rPr>
        <w:t>3</w:t>
      </w:r>
      <w:r>
        <w:t>/d、</w:t>
      </w:r>
      <w:r>
        <w:rPr>
          <w:rFonts w:hint="eastAsia"/>
        </w:rPr>
        <w:t>210</w:t>
      </w:r>
      <w:r>
        <w:t>0</w:t>
      </w:r>
      <w:r>
        <w:rPr>
          <w:rFonts w:hint="eastAsia"/>
          <w:lang w:eastAsia="zh-CN"/>
        </w:rPr>
        <w:t>m</w:t>
      </w:r>
      <w:r>
        <w:rPr>
          <w:rFonts w:hint="eastAsia"/>
          <w:vertAlign w:val="superscript"/>
          <w:lang w:eastAsia="zh-CN"/>
        </w:rPr>
        <w:t>3</w:t>
      </w:r>
      <w:r>
        <w:t>/a（按</w:t>
      </w:r>
      <w:r>
        <w:rPr>
          <w:rFonts w:hint="eastAsia"/>
        </w:rPr>
        <w:t>210</w:t>
      </w:r>
      <w:r>
        <w:t>d/a计</w:t>
      </w:r>
      <w:r>
        <w:rPr>
          <w:rFonts w:hint="eastAsia"/>
        </w:rPr>
        <w:t>，雨季不进行洒水降尘</w:t>
      </w:r>
      <w:r>
        <w:t>）</w:t>
      </w:r>
      <w:r>
        <w:rPr>
          <w:rFonts w:hint="eastAsia"/>
        </w:rPr>
        <w:t>，</w:t>
      </w:r>
      <w:r>
        <w:t>均自然蒸发到大气中。</w:t>
      </w:r>
    </w:p>
    <w:p w14:paraId="79C1E3FF">
      <w:pPr>
        <w:pStyle w:val="41"/>
        <w:bidi w:val="0"/>
        <w:rPr>
          <w:b/>
          <w:bCs/>
        </w:rPr>
      </w:pPr>
      <w:r>
        <w:rPr>
          <w:rFonts w:hint="eastAsia"/>
          <w:b/>
          <w:bCs/>
        </w:rPr>
        <w:t>（4）生活污水</w:t>
      </w:r>
    </w:p>
    <w:p w14:paraId="28CB652C">
      <w:pPr>
        <w:pStyle w:val="41"/>
        <w:bidi w:val="0"/>
        <w:rPr>
          <w:highlight w:val="none"/>
        </w:rPr>
      </w:pPr>
      <w:r>
        <w:rPr>
          <w:highlight w:val="none"/>
        </w:rPr>
        <w:t>项目运营期工作人员为</w:t>
      </w:r>
      <w:r>
        <w:rPr>
          <w:rFonts w:hint="eastAsia"/>
          <w:highlight w:val="none"/>
        </w:rPr>
        <w:t>20</w:t>
      </w:r>
      <w:r>
        <w:rPr>
          <w:highlight w:val="none"/>
        </w:rPr>
        <w:t>人，</w:t>
      </w:r>
      <w:r>
        <w:rPr>
          <w:rFonts w:hint="eastAsia"/>
          <w:highlight w:val="none"/>
        </w:rPr>
        <w:t>均在厂区内食宿。</w:t>
      </w:r>
      <w:r>
        <w:rPr>
          <w:highlight w:val="none"/>
        </w:rPr>
        <w:t>按照《云南省地方标准 用水定额》（DB53/T168-201</w:t>
      </w:r>
      <w:r>
        <w:rPr>
          <w:rFonts w:hint="eastAsia"/>
          <w:highlight w:val="none"/>
          <w:lang w:val="en-US" w:eastAsia="zh-CN"/>
        </w:rPr>
        <w:t>9</w:t>
      </w:r>
      <w:r>
        <w:rPr>
          <w:highlight w:val="none"/>
        </w:rPr>
        <w:t>）标准及同类项目用水定额，在</w:t>
      </w:r>
      <w:r>
        <w:rPr>
          <w:rFonts w:hint="eastAsia"/>
          <w:highlight w:val="none"/>
        </w:rPr>
        <w:t>厂区</w:t>
      </w:r>
      <w:r>
        <w:rPr>
          <w:highlight w:val="none"/>
        </w:rPr>
        <w:t>食宿的</w:t>
      </w:r>
      <w:r>
        <w:rPr>
          <w:rFonts w:hint="eastAsia"/>
          <w:highlight w:val="none"/>
        </w:rPr>
        <w:t>生活用水量按100</w:t>
      </w:r>
      <w:r>
        <w:rPr>
          <w:highlight w:val="none"/>
        </w:rPr>
        <w:t>L/</w:t>
      </w:r>
      <w:r>
        <w:rPr>
          <w:rFonts w:hint="eastAsia"/>
          <w:highlight w:val="none"/>
        </w:rPr>
        <w:t>人</w:t>
      </w:r>
      <w:r>
        <w:rPr>
          <w:highlight w:val="none"/>
        </w:rPr>
        <w:t>·</w:t>
      </w:r>
      <w:r>
        <w:rPr>
          <w:rFonts w:hint="eastAsia"/>
          <w:highlight w:val="none"/>
        </w:rPr>
        <w:t>d</w:t>
      </w:r>
      <w:r>
        <w:rPr>
          <w:highlight w:val="none"/>
        </w:rPr>
        <w:t>计</w:t>
      </w:r>
      <w:r>
        <w:rPr>
          <w:rFonts w:hint="eastAsia"/>
          <w:highlight w:val="none"/>
        </w:rPr>
        <w:t>，故项目运营期生活用水量为2.0</w:t>
      </w:r>
      <w:r>
        <w:rPr>
          <w:rFonts w:hint="eastAsia"/>
          <w:highlight w:val="none"/>
          <w:lang w:eastAsia="zh-CN"/>
        </w:rPr>
        <w:t>m</w:t>
      </w:r>
      <w:r>
        <w:rPr>
          <w:rFonts w:hint="eastAsia"/>
          <w:highlight w:val="none"/>
          <w:vertAlign w:val="superscript"/>
          <w:lang w:eastAsia="zh-CN"/>
        </w:rPr>
        <w:t>3</w:t>
      </w:r>
      <w:r>
        <w:rPr>
          <w:rFonts w:hint="eastAsia"/>
          <w:highlight w:val="none"/>
        </w:rPr>
        <w:t>/d，600</w:t>
      </w:r>
      <w:r>
        <w:rPr>
          <w:rFonts w:hint="eastAsia"/>
          <w:highlight w:val="none"/>
          <w:lang w:eastAsia="zh-CN"/>
        </w:rPr>
        <w:t>m</w:t>
      </w:r>
      <w:r>
        <w:rPr>
          <w:rFonts w:hint="eastAsia"/>
          <w:highlight w:val="none"/>
          <w:vertAlign w:val="superscript"/>
          <w:lang w:eastAsia="zh-CN"/>
        </w:rPr>
        <w:t>3</w:t>
      </w:r>
      <w:r>
        <w:rPr>
          <w:rFonts w:hint="eastAsia"/>
          <w:highlight w:val="none"/>
        </w:rPr>
        <w:t>/a。污水产生</w:t>
      </w:r>
      <w:r>
        <w:rPr>
          <w:highlight w:val="none"/>
        </w:rPr>
        <w:t>量按用水量的0.8计算</w:t>
      </w:r>
      <w:r>
        <w:rPr>
          <w:rFonts w:hint="eastAsia"/>
          <w:highlight w:val="none"/>
        </w:rPr>
        <w:t>，故项目运营期污水产生量为1.6</w:t>
      </w:r>
      <w:r>
        <w:rPr>
          <w:rFonts w:hint="eastAsia"/>
          <w:highlight w:val="none"/>
          <w:lang w:eastAsia="zh-CN"/>
        </w:rPr>
        <w:t>m</w:t>
      </w:r>
      <w:r>
        <w:rPr>
          <w:rFonts w:hint="eastAsia"/>
          <w:highlight w:val="none"/>
          <w:vertAlign w:val="superscript"/>
          <w:lang w:eastAsia="zh-CN"/>
        </w:rPr>
        <w:t>3</w:t>
      </w:r>
      <w:r>
        <w:rPr>
          <w:rFonts w:hint="eastAsia"/>
          <w:highlight w:val="none"/>
        </w:rPr>
        <w:t>/d，480</w:t>
      </w:r>
      <w:r>
        <w:rPr>
          <w:rFonts w:hint="eastAsia"/>
          <w:highlight w:val="none"/>
          <w:lang w:eastAsia="zh-CN"/>
        </w:rPr>
        <w:t>m</w:t>
      </w:r>
      <w:r>
        <w:rPr>
          <w:rFonts w:hint="eastAsia"/>
          <w:highlight w:val="none"/>
          <w:vertAlign w:val="superscript"/>
          <w:lang w:eastAsia="zh-CN"/>
        </w:rPr>
        <w:t>3</w:t>
      </w:r>
      <w:r>
        <w:rPr>
          <w:rFonts w:hint="eastAsia"/>
          <w:highlight w:val="none"/>
        </w:rPr>
        <w:t>/a。其中，</w:t>
      </w:r>
      <w:r>
        <w:rPr>
          <w:highlight w:val="none"/>
        </w:rPr>
        <w:t>粪便污水按照污水产生量的20%核算，则生活污水中粪便污水产生量为0.</w:t>
      </w:r>
      <w:r>
        <w:rPr>
          <w:rFonts w:hint="eastAsia"/>
          <w:highlight w:val="none"/>
        </w:rPr>
        <w:t>32</w:t>
      </w:r>
      <w:r>
        <w:rPr>
          <w:rFonts w:hint="eastAsia"/>
          <w:highlight w:val="none"/>
          <w:lang w:eastAsia="zh-CN"/>
        </w:rPr>
        <w:t>m</w:t>
      </w:r>
      <w:r>
        <w:rPr>
          <w:rFonts w:hint="eastAsia"/>
          <w:highlight w:val="none"/>
          <w:vertAlign w:val="superscript"/>
          <w:lang w:eastAsia="zh-CN"/>
        </w:rPr>
        <w:t>3</w:t>
      </w:r>
      <w:r>
        <w:rPr>
          <w:highlight w:val="none"/>
        </w:rPr>
        <w:t>/d、</w:t>
      </w:r>
      <w:r>
        <w:rPr>
          <w:rFonts w:hint="eastAsia"/>
          <w:highlight w:val="none"/>
        </w:rPr>
        <w:t>96</w:t>
      </w:r>
      <w:r>
        <w:rPr>
          <w:rFonts w:hint="eastAsia"/>
          <w:highlight w:val="none"/>
          <w:lang w:eastAsia="zh-CN"/>
        </w:rPr>
        <w:t>m</w:t>
      </w:r>
      <w:r>
        <w:rPr>
          <w:rFonts w:hint="eastAsia"/>
          <w:highlight w:val="none"/>
          <w:vertAlign w:val="superscript"/>
          <w:lang w:eastAsia="zh-CN"/>
        </w:rPr>
        <w:t>3</w:t>
      </w:r>
      <w:r>
        <w:rPr>
          <w:highlight w:val="none"/>
        </w:rPr>
        <w:t>/a，洗漱废水</w:t>
      </w:r>
      <w:r>
        <w:rPr>
          <w:rFonts w:hint="eastAsia"/>
          <w:highlight w:val="none"/>
        </w:rPr>
        <w:t>、厨房废水</w:t>
      </w:r>
      <w:r>
        <w:rPr>
          <w:highlight w:val="none"/>
        </w:rPr>
        <w:t>产生量为</w:t>
      </w:r>
      <w:r>
        <w:rPr>
          <w:rFonts w:hint="eastAsia"/>
          <w:highlight w:val="none"/>
        </w:rPr>
        <w:t>1.28</w:t>
      </w:r>
      <w:r>
        <w:rPr>
          <w:rFonts w:hint="eastAsia"/>
          <w:highlight w:val="none"/>
          <w:lang w:eastAsia="zh-CN"/>
        </w:rPr>
        <w:t>m</w:t>
      </w:r>
      <w:r>
        <w:rPr>
          <w:rFonts w:hint="eastAsia"/>
          <w:highlight w:val="none"/>
          <w:vertAlign w:val="superscript"/>
          <w:lang w:eastAsia="zh-CN"/>
        </w:rPr>
        <w:t>3</w:t>
      </w:r>
      <w:r>
        <w:rPr>
          <w:highlight w:val="none"/>
        </w:rPr>
        <w:t>/d、</w:t>
      </w:r>
      <w:r>
        <w:rPr>
          <w:rFonts w:hint="eastAsia"/>
          <w:highlight w:val="none"/>
        </w:rPr>
        <w:t>384</w:t>
      </w:r>
      <w:r>
        <w:rPr>
          <w:rFonts w:hint="eastAsia"/>
          <w:highlight w:val="none"/>
          <w:lang w:eastAsia="zh-CN"/>
        </w:rPr>
        <w:t>m</w:t>
      </w:r>
      <w:r>
        <w:rPr>
          <w:rFonts w:hint="eastAsia"/>
          <w:highlight w:val="none"/>
          <w:vertAlign w:val="superscript"/>
          <w:lang w:eastAsia="zh-CN"/>
        </w:rPr>
        <w:t>3</w:t>
      </w:r>
      <w:r>
        <w:rPr>
          <w:highlight w:val="none"/>
        </w:rPr>
        <w:t>/a。其中粪便污水排入场内</w:t>
      </w:r>
      <w:r>
        <w:rPr>
          <w:rFonts w:hint="eastAsia"/>
          <w:highlight w:val="none"/>
          <w:lang w:val="en-US" w:eastAsia="zh-CN"/>
        </w:rPr>
        <w:t>粪污收集池</w:t>
      </w:r>
      <w:r>
        <w:rPr>
          <w:highlight w:val="none"/>
        </w:rPr>
        <w:t>后提供给周边的农户用作农肥</w:t>
      </w:r>
      <w:r>
        <w:rPr>
          <w:rFonts w:hint="eastAsia"/>
          <w:highlight w:val="none"/>
        </w:rPr>
        <w:t>，</w:t>
      </w:r>
      <w:r>
        <w:rPr>
          <w:highlight w:val="none"/>
        </w:rPr>
        <w:t>洗漱废水</w:t>
      </w:r>
      <w:r>
        <w:rPr>
          <w:rFonts w:hint="eastAsia"/>
          <w:highlight w:val="none"/>
        </w:rPr>
        <w:t>、厨房废水用于项目区</w:t>
      </w:r>
      <w:r>
        <w:rPr>
          <w:highlight w:val="none"/>
        </w:rPr>
        <w:t>洒水降尘</w:t>
      </w:r>
      <w:r>
        <w:rPr>
          <w:rFonts w:hint="eastAsia"/>
          <w:highlight w:val="none"/>
        </w:rPr>
        <w:t>，项目废水不外排</w:t>
      </w:r>
      <w:r>
        <w:rPr>
          <w:highlight w:val="none"/>
        </w:rPr>
        <w:t>。</w:t>
      </w:r>
    </w:p>
    <w:p w14:paraId="3D559CDE">
      <w:pPr>
        <w:pStyle w:val="41"/>
        <w:bidi w:val="0"/>
        <w:rPr>
          <w:b/>
          <w:bCs/>
        </w:rPr>
      </w:pPr>
      <w:r>
        <w:rPr>
          <w:rFonts w:hint="eastAsia"/>
          <w:b/>
          <w:bCs/>
        </w:rPr>
        <w:t>（5）水平衡图</w:t>
      </w:r>
    </w:p>
    <w:p w14:paraId="0D0E5530">
      <w:pPr>
        <w:pStyle w:val="41"/>
        <w:bidi w:val="0"/>
        <w:ind w:left="0" w:leftChars="0" w:firstLine="0" w:firstLineChars="0"/>
      </w:pPr>
      <w:r>
        <mc:AlternateContent>
          <mc:Choice Requires="wpc">
            <w:drawing>
              <wp:inline distT="0" distB="0" distL="114300" distR="114300">
                <wp:extent cx="5274310" cy="2400300"/>
                <wp:effectExtent l="4445" t="4445" r="9525" b="18415"/>
                <wp:docPr id="97" name="画布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tx1">
                              <a:lumMod val="85000"/>
                              <a:lumOff val="15000"/>
                            </a:schemeClr>
                          </a:solidFill>
                        </a:ln>
                      </wpc:whole>
                      <wps:wsp>
                        <wps:cNvPr id="68" name="直接箭头连接符 68"/>
                        <wps:cNvCnPr/>
                        <wps:spPr>
                          <a:xfrm>
                            <a:off x="114300" y="1256030"/>
                            <a:ext cx="685800" cy="1270"/>
                          </a:xfrm>
                          <a:prstGeom prst="straightConnector1">
                            <a:avLst/>
                          </a:prstGeom>
                          <a:ln w="3175" cap="flat" cmpd="sng">
                            <a:solidFill>
                              <a:srgbClr val="000000"/>
                            </a:solidFill>
                            <a:prstDash val="solid"/>
                            <a:headEnd type="none" w="med" len="med"/>
                            <a:tailEnd type="triangle" w="med" len="med"/>
                          </a:ln>
                        </wps:spPr>
                        <wps:bodyPr/>
                      </wps:wsp>
                      <wps:wsp>
                        <wps:cNvPr id="69" name="文本框 69"/>
                        <wps:cNvSpPr txBox="1">
                          <a:spLocks noChangeAspect="1"/>
                        </wps:cNvSpPr>
                        <wps:spPr>
                          <a:xfrm>
                            <a:off x="1371600" y="800100"/>
                            <a:ext cx="914400" cy="229235"/>
                          </a:xfrm>
                          <a:prstGeom prst="rect">
                            <a:avLst/>
                          </a:prstGeom>
                          <a:solidFill>
                            <a:srgbClr val="FFFFFF">
                              <a:alpha val="0"/>
                            </a:srgbClr>
                          </a:solidFill>
                          <a:ln w="3175" cap="flat" cmpd="sng">
                            <a:solidFill>
                              <a:srgbClr val="000000"/>
                            </a:solidFill>
                            <a:prstDash val="solid"/>
                            <a:miter/>
                            <a:headEnd type="none" w="med" len="med"/>
                            <a:tailEnd type="none" w="med" len="med"/>
                          </a:ln>
                        </wps:spPr>
                        <wps:txbx>
                          <w:txbxContent>
                            <w:p w14:paraId="3473BA1B">
                              <w:pPr>
                                <w:jc w:val="center"/>
                                <w:rPr>
                                  <w:rFonts w:asciiTheme="minorEastAsia" w:hAnsiTheme="minorEastAsia" w:eastAsiaTheme="minorEastAsia"/>
                                  <w:szCs w:val="21"/>
                                </w:rPr>
                              </w:pPr>
                              <w:r>
                                <w:rPr>
                                  <w:rFonts w:hint="eastAsia" w:asciiTheme="minorEastAsia" w:hAnsiTheme="minorEastAsia" w:eastAsiaTheme="minorEastAsia"/>
                                  <w:szCs w:val="21"/>
                                </w:rPr>
                                <w:t>生活用水</w:t>
                              </w:r>
                            </w:p>
                          </w:txbxContent>
                        </wps:txbx>
                        <wps:bodyPr lIns="0" tIns="0" rIns="0" bIns="0" anchor="ctr" anchorCtr="0" upright="1"/>
                      </wps:wsp>
                      <wps:wsp>
                        <wps:cNvPr id="70" name="文本框 70"/>
                        <wps:cNvSpPr txBox="1">
                          <a:spLocks noChangeAspect="1"/>
                        </wps:cNvSpPr>
                        <wps:spPr>
                          <a:xfrm>
                            <a:off x="1371600" y="1715135"/>
                            <a:ext cx="914400" cy="229235"/>
                          </a:xfrm>
                          <a:prstGeom prst="rect">
                            <a:avLst/>
                          </a:prstGeom>
                          <a:solidFill>
                            <a:srgbClr val="FFFFFF">
                              <a:alpha val="0"/>
                            </a:srgbClr>
                          </a:solidFill>
                          <a:ln w="3175" cap="flat" cmpd="sng">
                            <a:solidFill>
                              <a:srgbClr val="000000"/>
                            </a:solidFill>
                            <a:prstDash val="solid"/>
                            <a:miter/>
                            <a:headEnd type="none" w="med" len="med"/>
                            <a:tailEnd type="none" w="med" len="med"/>
                          </a:ln>
                        </wps:spPr>
                        <wps:txbx>
                          <w:txbxContent>
                            <w:p w14:paraId="6328CD4F">
                              <w:pPr>
                                <w:jc w:val="center"/>
                                <w:rPr>
                                  <w:rFonts w:asciiTheme="minorEastAsia" w:hAnsiTheme="minorEastAsia" w:eastAsiaTheme="minorEastAsia"/>
                                  <w:szCs w:val="21"/>
                                </w:rPr>
                              </w:pPr>
                              <w:r>
                                <w:rPr>
                                  <w:rFonts w:hint="eastAsia" w:asciiTheme="minorEastAsia" w:hAnsiTheme="minorEastAsia" w:eastAsiaTheme="minorEastAsia"/>
                                  <w:szCs w:val="21"/>
                                </w:rPr>
                                <w:t>生产用水</w:t>
                              </w:r>
                            </w:p>
                          </w:txbxContent>
                        </wps:txbx>
                        <wps:bodyPr lIns="0" tIns="0" rIns="0" bIns="0" anchor="ctr" anchorCtr="0" upright="1"/>
                      </wps:wsp>
                      <wps:wsp>
                        <wps:cNvPr id="71" name="直接箭头连接符 71"/>
                        <wps:cNvCnPr/>
                        <wps:spPr>
                          <a:xfrm>
                            <a:off x="798830" y="913130"/>
                            <a:ext cx="1270" cy="915670"/>
                          </a:xfrm>
                          <a:prstGeom prst="straightConnector1">
                            <a:avLst/>
                          </a:prstGeom>
                          <a:ln w="3175" cap="flat" cmpd="sng">
                            <a:solidFill>
                              <a:srgbClr val="000000"/>
                            </a:solidFill>
                            <a:prstDash val="solid"/>
                            <a:headEnd type="none" w="med" len="med"/>
                            <a:tailEnd type="none" w="med" len="med"/>
                          </a:ln>
                        </wps:spPr>
                        <wps:bodyPr/>
                      </wps:wsp>
                      <wps:wsp>
                        <wps:cNvPr id="72" name="直接箭头连接符 72"/>
                        <wps:cNvCnPr/>
                        <wps:spPr>
                          <a:xfrm>
                            <a:off x="800100" y="914400"/>
                            <a:ext cx="570230" cy="635"/>
                          </a:xfrm>
                          <a:prstGeom prst="straightConnector1">
                            <a:avLst/>
                          </a:prstGeom>
                          <a:ln w="3175" cap="flat" cmpd="sng">
                            <a:solidFill>
                              <a:srgbClr val="000000"/>
                            </a:solidFill>
                            <a:prstDash val="solid"/>
                            <a:headEnd type="none" w="med" len="med"/>
                            <a:tailEnd type="triangle" w="med" len="med"/>
                          </a:ln>
                        </wps:spPr>
                        <wps:bodyPr/>
                      </wps:wsp>
                      <wps:wsp>
                        <wps:cNvPr id="73" name="直接箭头连接符 73"/>
                        <wps:cNvCnPr/>
                        <wps:spPr>
                          <a:xfrm>
                            <a:off x="801370" y="1827530"/>
                            <a:ext cx="570230" cy="1270"/>
                          </a:xfrm>
                          <a:prstGeom prst="straightConnector1">
                            <a:avLst/>
                          </a:prstGeom>
                          <a:ln w="3175" cap="flat" cmpd="sng">
                            <a:solidFill>
                              <a:srgbClr val="000000"/>
                            </a:solidFill>
                            <a:prstDash val="solid"/>
                            <a:headEnd type="none" w="med" len="med"/>
                            <a:tailEnd type="triangle" w="med" len="med"/>
                          </a:ln>
                        </wps:spPr>
                        <wps:bodyPr/>
                      </wps:wsp>
                      <wps:wsp>
                        <wps:cNvPr id="74" name="直接箭头连接符 74"/>
                        <wps:cNvCnPr/>
                        <wps:spPr>
                          <a:xfrm>
                            <a:off x="2286000" y="1827530"/>
                            <a:ext cx="800100" cy="2540"/>
                          </a:xfrm>
                          <a:prstGeom prst="straightConnector1">
                            <a:avLst/>
                          </a:prstGeom>
                          <a:ln w="3175" cap="flat" cmpd="sng">
                            <a:solidFill>
                              <a:srgbClr val="000000"/>
                            </a:solidFill>
                            <a:prstDash val="solid"/>
                            <a:headEnd type="none" w="med" len="med"/>
                            <a:tailEnd type="triangle" w="med" len="med"/>
                          </a:ln>
                        </wps:spPr>
                        <wps:bodyPr/>
                      </wps:wsp>
                      <wps:wsp>
                        <wps:cNvPr id="75" name="直接箭头连接符 75"/>
                        <wps:cNvCnPr/>
                        <wps:spPr>
                          <a:xfrm>
                            <a:off x="2286000" y="914400"/>
                            <a:ext cx="447675" cy="635"/>
                          </a:xfrm>
                          <a:prstGeom prst="straightConnector1">
                            <a:avLst/>
                          </a:prstGeom>
                          <a:ln w="3175" cap="flat" cmpd="sng">
                            <a:solidFill>
                              <a:srgbClr val="000000"/>
                            </a:solidFill>
                            <a:prstDash val="solid"/>
                            <a:headEnd type="none" w="med" len="med"/>
                            <a:tailEnd type="none" w="med" len="med"/>
                          </a:ln>
                        </wps:spPr>
                        <wps:bodyPr/>
                      </wps:wsp>
                      <wps:wsp>
                        <wps:cNvPr id="76" name="文本框 76"/>
                        <wps:cNvSpPr txBox="1">
                          <a:spLocks noChangeAspect="1"/>
                        </wps:cNvSpPr>
                        <wps:spPr>
                          <a:xfrm>
                            <a:off x="3429635" y="1142365"/>
                            <a:ext cx="799465" cy="228600"/>
                          </a:xfrm>
                          <a:prstGeom prst="rect">
                            <a:avLst/>
                          </a:prstGeom>
                          <a:solidFill>
                            <a:srgbClr val="FFFFFF">
                              <a:alpha val="0"/>
                            </a:srgbClr>
                          </a:solidFill>
                          <a:ln w="3175" cap="flat" cmpd="sng">
                            <a:solidFill>
                              <a:srgbClr val="000000"/>
                            </a:solidFill>
                            <a:prstDash val="solid"/>
                            <a:miter/>
                            <a:headEnd type="none" w="med" len="med"/>
                            <a:tailEnd type="none" w="med" len="med"/>
                          </a:ln>
                        </wps:spPr>
                        <wps:txbx>
                          <w:txbxContent>
                            <w:p w14:paraId="7D06D581">
                              <w:pPr>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粪污收集池</w:t>
                              </w:r>
                            </w:p>
                          </w:txbxContent>
                        </wps:txbx>
                        <wps:bodyPr lIns="0" tIns="0" rIns="0" bIns="0" anchor="ctr" anchorCtr="0" upright="1"/>
                      </wps:wsp>
                      <wps:wsp>
                        <wps:cNvPr id="77" name="文本框 77"/>
                        <wps:cNvSpPr txBox="1">
                          <a:spLocks noChangeAspect="1"/>
                        </wps:cNvSpPr>
                        <wps:spPr>
                          <a:xfrm>
                            <a:off x="3086100" y="1714500"/>
                            <a:ext cx="1485900" cy="229235"/>
                          </a:xfrm>
                          <a:prstGeom prst="rect">
                            <a:avLst/>
                          </a:prstGeom>
                          <a:solidFill>
                            <a:srgbClr val="FFFFFF">
                              <a:alpha val="0"/>
                            </a:srgbClr>
                          </a:solidFill>
                          <a:ln w="3175">
                            <a:noFill/>
                          </a:ln>
                        </wps:spPr>
                        <wps:txbx>
                          <w:txbxContent>
                            <w:p w14:paraId="03D61A88">
                              <w:pPr>
                                <w:jc w:val="center"/>
                                <w:rPr>
                                  <w:rFonts w:asciiTheme="minorEastAsia" w:hAnsiTheme="minorEastAsia" w:eastAsiaTheme="minorEastAsia"/>
                                  <w:szCs w:val="21"/>
                                </w:rPr>
                              </w:pPr>
                              <w:r>
                                <w:rPr>
                                  <w:rFonts w:hint="eastAsia" w:asciiTheme="minorEastAsia" w:hAnsiTheme="minorEastAsia" w:eastAsiaTheme="minorEastAsia"/>
                                  <w:szCs w:val="21"/>
                                </w:rPr>
                                <w:t>全部蒸发或被地面吸收</w:t>
                              </w:r>
                            </w:p>
                          </w:txbxContent>
                        </wps:txbx>
                        <wps:bodyPr lIns="0" tIns="18000" rIns="0" bIns="0" anchor="ctr" anchorCtr="0" upright="1"/>
                      </wps:wsp>
                      <wps:wsp>
                        <wps:cNvPr id="78" name="文本框 78"/>
                        <wps:cNvSpPr txBox="1">
                          <a:spLocks noChangeAspect="1"/>
                        </wps:cNvSpPr>
                        <wps:spPr>
                          <a:xfrm>
                            <a:off x="1970405" y="2171700"/>
                            <a:ext cx="1372235" cy="228600"/>
                          </a:xfrm>
                          <a:prstGeom prst="rect">
                            <a:avLst/>
                          </a:prstGeom>
                          <a:solidFill>
                            <a:srgbClr val="FFFFFF">
                              <a:alpha val="0"/>
                            </a:srgbClr>
                          </a:solidFill>
                          <a:ln w="3175">
                            <a:noFill/>
                          </a:ln>
                        </wps:spPr>
                        <wps:txbx>
                          <w:txbxContent>
                            <w:p w14:paraId="5EBA43C8">
                              <w:pPr>
                                <w:jc w:val="center"/>
                                <w:rPr>
                                  <w:rFonts w:asciiTheme="minorEastAsia" w:hAnsiTheme="minorEastAsia" w:eastAsiaTheme="minorEastAsia"/>
                                  <w:szCs w:val="21"/>
                                </w:rPr>
                              </w:pPr>
                              <w:r>
                                <w:rPr>
                                  <w:rFonts w:hint="eastAsia" w:asciiTheme="minorEastAsia" w:hAnsiTheme="minorEastAsia" w:eastAsiaTheme="minorEastAsia"/>
                                  <w:szCs w:val="21"/>
                                </w:rPr>
                                <w:t>注：以上单位均为</w:t>
                              </w:r>
                              <w:r>
                                <w:rPr>
                                  <w:rFonts w:hint="eastAsia" w:eastAsiaTheme="minorEastAsia"/>
                                  <w:szCs w:val="21"/>
                                  <w:lang w:eastAsia="zh-CN"/>
                                </w:rPr>
                                <w:t>mdfghss</w:t>
                              </w:r>
                              <w:r>
                                <w:rPr>
                                  <w:rFonts w:eastAsiaTheme="minorEastAsia"/>
                                  <w:szCs w:val="21"/>
                                </w:rPr>
                                <w:t>/d</w:t>
                              </w:r>
                            </w:p>
                          </w:txbxContent>
                        </wps:txbx>
                        <wps:bodyPr lIns="0" tIns="18000" rIns="0" bIns="0" anchor="ctr" anchorCtr="0" upright="1"/>
                      </wps:wsp>
                      <wps:wsp>
                        <wps:cNvPr id="79" name="文本框 79"/>
                        <wps:cNvSpPr txBox="1">
                          <a:spLocks noChangeAspect="1"/>
                        </wps:cNvSpPr>
                        <wps:spPr>
                          <a:xfrm>
                            <a:off x="114300" y="1028700"/>
                            <a:ext cx="456565" cy="228600"/>
                          </a:xfrm>
                          <a:prstGeom prst="rect">
                            <a:avLst/>
                          </a:prstGeom>
                          <a:solidFill>
                            <a:srgbClr val="FFFFFF">
                              <a:alpha val="0"/>
                            </a:srgbClr>
                          </a:solidFill>
                          <a:ln w="3175">
                            <a:noFill/>
                          </a:ln>
                        </wps:spPr>
                        <wps:txbx>
                          <w:txbxContent>
                            <w:p w14:paraId="3AC3C878">
                              <w:pPr>
                                <w:jc w:val="center"/>
                                <w:rPr>
                                  <w:rFonts w:asciiTheme="minorEastAsia" w:hAnsiTheme="minorEastAsia" w:eastAsiaTheme="minorEastAsia"/>
                                  <w:szCs w:val="21"/>
                                </w:rPr>
                              </w:pPr>
                              <w:r>
                                <w:rPr>
                                  <w:rFonts w:hint="eastAsia" w:asciiTheme="minorEastAsia" w:hAnsiTheme="minorEastAsia" w:eastAsiaTheme="minorEastAsia"/>
                                  <w:szCs w:val="21"/>
                                </w:rPr>
                                <w:t>自来水</w:t>
                              </w:r>
                            </w:p>
                          </w:txbxContent>
                        </wps:txbx>
                        <wps:bodyPr lIns="0" tIns="18000" rIns="0" bIns="0" anchor="ctr" anchorCtr="0" upright="1"/>
                      </wps:wsp>
                      <wps:wsp>
                        <wps:cNvPr id="80" name="文本框 80"/>
                        <wps:cNvSpPr txBox="1">
                          <a:spLocks noChangeAspect="1"/>
                        </wps:cNvSpPr>
                        <wps:spPr>
                          <a:xfrm>
                            <a:off x="0" y="1256030"/>
                            <a:ext cx="800100" cy="458470"/>
                          </a:xfrm>
                          <a:prstGeom prst="rect">
                            <a:avLst/>
                          </a:prstGeom>
                          <a:solidFill>
                            <a:srgbClr val="FFFFFF">
                              <a:alpha val="0"/>
                            </a:srgbClr>
                          </a:solidFill>
                          <a:ln w="3175">
                            <a:noFill/>
                          </a:ln>
                        </wps:spPr>
                        <wps:txbx>
                          <w:txbxContent>
                            <w:p w14:paraId="30BDB02B">
                              <w:pPr>
                                <w:ind w:firstLine="105" w:firstLineChars="50"/>
                                <w:rPr>
                                  <w:rFonts w:eastAsiaTheme="minorEastAsia"/>
                                  <w:szCs w:val="21"/>
                                </w:rPr>
                              </w:pPr>
                              <w:r>
                                <w:rPr>
                                  <w:rFonts w:hint="eastAsia" w:asciiTheme="minorEastAsia" w:hAnsiTheme="minorEastAsia" w:eastAsiaTheme="minorEastAsia"/>
                                  <w:szCs w:val="21"/>
                                </w:rPr>
                                <w:t>旱季</w:t>
                              </w:r>
                              <w:r>
                                <w:rPr>
                                  <w:rFonts w:hint="eastAsia" w:eastAsiaTheme="minorEastAsia"/>
                                  <w:szCs w:val="21"/>
                                </w:rPr>
                                <w:t>12.0</w:t>
                              </w:r>
                            </w:p>
                            <w:p w14:paraId="76118DDB">
                              <w:pPr>
                                <w:ind w:firstLine="105" w:firstLineChars="50"/>
                                <w:rPr>
                                  <w:rFonts w:eastAsiaTheme="minorEastAsia"/>
                                  <w:szCs w:val="21"/>
                                </w:rPr>
                              </w:pPr>
                              <w:r>
                                <w:rPr>
                                  <w:rFonts w:hAnsiTheme="minorEastAsia" w:eastAsiaTheme="minorEastAsia"/>
                                  <w:szCs w:val="21"/>
                                </w:rPr>
                                <w:t>雨季</w:t>
                              </w:r>
                              <w:r>
                                <w:rPr>
                                  <w:rFonts w:hint="eastAsia" w:eastAsiaTheme="minorEastAsia"/>
                                  <w:szCs w:val="21"/>
                                </w:rPr>
                                <w:t>0</w:t>
                              </w:r>
                            </w:p>
                          </w:txbxContent>
                        </wps:txbx>
                        <wps:bodyPr lIns="0" tIns="18000" rIns="0" bIns="0" anchor="ctr" anchorCtr="0" upright="1"/>
                      </wps:wsp>
                      <wps:wsp>
                        <wps:cNvPr id="81" name="文本框 81"/>
                        <wps:cNvSpPr txBox="1">
                          <a:spLocks noChangeAspect="1"/>
                        </wps:cNvSpPr>
                        <wps:spPr>
                          <a:xfrm>
                            <a:off x="685800" y="1600200"/>
                            <a:ext cx="800100" cy="228600"/>
                          </a:xfrm>
                          <a:prstGeom prst="rect">
                            <a:avLst/>
                          </a:prstGeom>
                          <a:solidFill>
                            <a:srgbClr val="FFFFFF">
                              <a:alpha val="0"/>
                            </a:srgbClr>
                          </a:solidFill>
                          <a:ln w="3175">
                            <a:noFill/>
                          </a:ln>
                        </wps:spPr>
                        <wps:txbx>
                          <w:txbxContent>
                            <w:p w14:paraId="7A2FB60C">
                              <w:pPr>
                                <w:jc w:val="center"/>
                                <w:rPr>
                                  <w:rFonts w:eastAsiaTheme="minorEastAsia"/>
                                  <w:szCs w:val="21"/>
                                </w:rPr>
                              </w:pPr>
                              <w:r>
                                <w:rPr>
                                  <w:rFonts w:hint="eastAsia" w:hAnsiTheme="minorEastAsia" w:eastAsiaTheme="minorEastAsia"/>
                                  <w:szCs w:val="21"/>
                                </w:rPr>
                                <w:t>旱季10.0</w:t>
                              </w:r>
                            </w:p>
                          </w:txbxContent>
                        </wps:txbx>
                        <wps:bodyPr lIns="0" tIns="18000" rIns="0" bIns="0" anchor="ctr" anchorCtr="0" upright="1"/>
                      </wps:wsp>
                      <wps:wsp>
                        <wps:cNvPr id="82" name="文本框 82"/>
                        <wps:cNvSpPr txBox="1">
                          <a:spLocks noChangeAspect="1"/>
                        </wps:cNvSpPr>
                        <wps:spPr>
                          <a:xfrm>
                            <a:off x="2286000" y="685800"/>
                            <a:ext cx="456565" cy="228600"/>
                          </a:xfrm>
                          <a:prstGeom prst="rect">
                            <a:avLst/>
                          </a:prstGeom>
                          <a:solidFill>
                            <a:srgbClr val="FFFFFF">
                              <a:alpha val="0"/>
                            </a:srgbClr>
                          </a:solidFill>
                          <a:ln w="3175">
                            <a:noFill/>
                          </a:ln>
                        </wps:spPr>
                        <wps:txbx>
                          <w:txbxContent>
                            <w:p w14:paraId="52C43807">
                              <w:pPr>
                                <w:jc w:val="center"/>
                                <w:rPr>
                                  <w:rFonts w:eastAsiaTheme="minorEastAsia"/>
                                  <w:szCs w:val="21"/>
                                </w:rPr>
                              </w:pPr>
                              <w:r>
                                <w:rPr>
                                  <w:rFonts w:hint="eastAsia" w:hAnsiTheme="minorEastAsia" w:eastAsiaTheme="minorEastAsia"/>
                                  <w:szCs w:val="21"/>
                                </w:rPr>
                                <w:t>1.6</w:t>
                              </w:r>
                            </w:p>
                          </w:txbxContent>
                        </wps:txbx>
                        <wps:bodyPr lIns="0" tIns="18000" rIns="0" bIns="0" anchor="ctr" anchorCtr="0" upright="1"/>
                      </wps:wsp>
                      <wps:wsp>
                        <wps:cNvPr id="83" name="文本框 83"/>
                        <wps:cNvSpPr txBox="1">
                          <a:spLocks noChangeAspect="1"/>
                        </wps:cNvSpPr>
                        <wps:spPr>
                          <a:xfrm>
                            <a:off x="4572000" y="1028700"/>
                            <a:ext cx="685800" cy="457200"/>
                          </a:xfrm>
                          <a:prstGeom prst="rect">
                            <a:avLst/>
                          </a:prstGeom>
                          <a:solidFill>
                            <a:srgbClr val="FFFFFF">
                              <a:alpha val="0"/>
                            </a:srgbClr>
                          </a:solidFill>
                          <a:ln w="3175">
                            <a:noFill/>
                          </a:ln>
                        </wps:spPr>
                        <wps:txbx>
                          <w:txbxContent>
                            <w:p w14:paraId="3D0F2B9D">
                              <w:pPr>
                                <w:jc w:val="center"/>
                                <w:rPr>
                                  <w:rFonts w:asciiTheme="minorEastAsia" w:hAnsiTheme="minorEastAsia" w:eastAsiaTheme="minorEastAsia"/>
                                  <w:szCs w:val="21"/>
                                </w:rPr>
                              </w:pPr>
                              <w:r>
                                <w:rPr>
                                  <w:rFonts w:hint="eastAsia" w:asciiTheme="minorEastAsia" w:hAnsiTheme="minorEastAsia" w:eastAsiaTheme="minorEastAsia"/>
                                  <w:szCs w:val="21"/>
                                </w:rPr>
                                <w:t>定期清掏用作农肥</w:t>
                              </w:r>
                            </w:p>
                          </w:txbxContent>
                        </wps:txbx>
                        <wps:bodyPr lIns="0" tIns="18000" rIns="0" bIns="0" anchor="ctr" anchorCtr="0" upright="1"/>
                      </wps:wsp>
                      <wps:wsp>
                        <wps:cNvPr id="84" name="文本框 84"/>
                        <wps:cNvSpPr txBox="1">
                          <a:spLocks noChangeAspect="1"/>
                        </wps:cNvSpPr>
                        <wps:spPr>
                          <a:xfrm>
                            <a:off x="685800" y="1828800"/>
                            <a:ext cx="800100" cy="228600"/>
                          </a:xfrm>
                          <a:prstGeom prst="rect">
                            <a:avLst/>
                          </a:prstGeom>
                          <a:solidFill>
                            <a:srgbClr val="FFFFFF">
                              <a:alpha val="0"/>
                            </a:srgbClr>
                          </a:solidFill>
                          <a:ln w="3175">
                            <a:noFill/>
                          </a:ln>
                        </wps:spPr>
                        <wps:txbx>
                          <w:txbxContent>
                            <w:p w14:paraId="0CCCA50D">
                              <w:pPr>
                                <w:jc w:val="center"/>
                                <w:rPr>
                                  <w:rFonts w:eastAsiaTheme="minorEastAsia"/>
                                  <w:szCs w:val="21"/>
                                </w:rPr>
                              </w:pPr>
                              <w:r>
                                <w:rPr>
                                  <w:rFonts w:hint="eastAsia" w:hAnsiTheme="minorEastAsia" w:eastAsiaTheme="minorEastAsia"/>
                                  <w:szCs w:val="21"/>
                                </w:rPr>
                                <w:t>雨季0</w:t>
                              </w:r>
                            </w:p>
                          </w:txbxContent>
                        </wps:txbx>
                        <wps:bodyPr lIns="0" tIns="18000" rIns="0" bIns="0" anchor="ctr" anchorCtr="0" upright="1"/>
                      </wps:wsp>
                      <wps:wsp>
                        <wps:cNvPr id="85" name="文本框 85"/>
                        <wps:cNvSpPr txBox="1">
                          <a:spLocks noChangeAspect="1"/>
                        </wps:cNvSpPr>
                        <wps:spPr>
                          <a:xfrm>
                            <a:off x="1714500" y="457200"/>
                            <a:ext cx="685165" cy="227965"/>
                          </a:xfrm>
                          <a:prstGeom prst="rect">
                            <a:avLst/>
                          </a:prstGeom>
                          <a:solidFill>
                            <a:srgbClr val="FFFFFF">
                              <a:alpha val="0"/>
                            </a:srgbClr>
                          </a:solidFill>
                          <a:ln w="3175">
                            <a:noFill/>
                          </a:ln>
                        </wps:spPr>
                        <wps:txbx>
                          <w:txbxContent>
                            <w:p w14:paraId="0971E98E">
                              <w:pPr>
                                <w:jc w:val="center"/>
                                <w:rPr>
                                  <w:rFonts w:eastAsiaTheme="minorEastAsia"/>
                                  <w:szCs w:val="21"/>
                                </w:rPr>
                              </w:pPr>
                              <w:r>
                                <w:rPr>
                                  <w:rFonts w:hint="eastAsia" w:hAnsiTheme="minorEastAsia" w:eastAsiaTheme="minorEastAsia"/>
                                  <w:szCs w:val="21"/>
                                </w:rPr>
                                <w:t>损耗0.4</w:t>
                              </w:r>
                            </w:p>
                          </w:txbxContent>
                        </wps:txbx>
                        <wps:bodyPr lIns="0" tIns="18000" rIns="0" bIns="0" anchor="ctr" anchorCtr="0" upright="1"/>
                      </wps:wsp>
                      <wps:wsp>
                        <wps:cNvPr id="86" name="直接箭头连接符 86"/>
                        <wps:cNvCnPr/>
                        <wps:spPr>
                          <a:xfrm flipV="1">
                            <a:off x="1485900" y="608965"/>
                            <a:ext cx="228600" cy="191770"/>
                          </a:xfrm>
                          <a:prstGeom prst="straightConnector1">
                            <a:avLst/>
                          </a:prstGeom>
                          <a:ln w="3175" cap="flat" cmpd="sng">
                            <a:solidFill>
                              <a:srgbClr val="000000"/>
                            </a:solidFill>
                            <a:prstDash val="dashDot"/>
                            <a:headEnd type="none" w="med" len="med"/>
                            <a:tailEnd type="triangle" w="med" len="med"/>
                          </a:ln>
                        </wps:spPr>
                        <wps:bodyPr/>
                      </wps:wsp>
                      <wps:wsp>
                        <wps:cNvPr id="87" name="直接箭头连接符 87"/>
                        <wps:cNvCnPr/>
                        <wps:spPr>
                          <a:xfrm>
                            <a:off x="4229100" y="1256665"/>
                            <a:ext cx="352425" cy="635"/>
                          </a:xfrm>
                          <a:prstGeom prst="straightConnector1">
                            <a:avLst/>
                          </a:prstGeom>
                          <a:ln w="3175" cap="flat" cmpd="sng">
                            <a:solidFill>
                              <a:srgbClr val="000000"/>
                            </a:solidFill>
                            <a:prstDash val="solid"/>
                            <a:headEnd type="none" w="med" len="med"/>
                            <a:tailEnd type="triangle" w="med" len="med"/>
                          </a:ln>
                        </wps:spPr>
                        <wps:bodyPr/>
                      </wps:wsp>
                      <wps:wsp>
                        <wps:cNvPr id="88" name="文本框 88"/>
                        <wps:cNvSpPr txBox="1">
                          <a:spLocks noChangeAspect="1"/>
                        </wps:cNvSpPr>
                        <wps:spPr>
                          <a:xfrm>
                            <a:off x="800735" y="685800"/>
                            <a:ext cx="456565" cy="228600"/>
                          </a:xfrm>
                          <a:prstGeom prst="rect">
                            <a:avLst/>
                          </a:prstGeom>
                          <a:solidFill>
                            <a:srgbClr val="FFFFFF">
                              <a:alpha val="0"/>
                            </a:srgbClr>
                          </a:solidFill>
                          <a:ln w="3175">
                            <a:noFill/>
                          </a:ln>
                        </wps:spPr>
                        <wps:txbx>
                          <w:txbxContent>
                            <w:p w14:paraId="0D7A8235">
                              <w:pPr>
                                <w:jc w:val="center"/>
                                <w:rPr>
                                  <w:rFonts w:eastAsiaTheme="minorEastAsia"/>
                                  <w:szCs w:val="21"/>
                                </w:rPr>
                              </w:pPr>
                              <w:r>
                                <w:rPr>
                                  <w:rFonts w:hint="eastAsia" w:hAnsiTheme="minorEastAsia" w:eastAsiaTheme="minorEastAsia"/>
                                  <w:szCs w:val="21"/>
                                </w:rPr>
                                <w:t>2.0</w:t>
                              </w:r>
                            </w:p>
                          </w:txbxContent>
                        </wps:txbx>
                        <wps:bodyPr lIns="0" tIns="18000" rIns="0" bIns="0" anchor="ctr" anchorCtr="0" upright="1"/>
                      </wps:wsp>
                      <wps:wsp>
                        <wps:cNvPr id="89" name="文本框 89"/>
                        <wps:cNvSpPr txBox="1">
                          <a:spLocks noChangeAspect="1"/>
                        </wps:cNvSpPr>
                        <wps:spPr>
                          <a:xfrm>
                            <a:off x="3657600" y="342900"/>
                            <a:ext cx="1257300" cy="266065"/>
                          </a:xfrm>
                          <a:prstGeom prst="rect">
                            <a:avLst/>
                          </a:prstGeom>
                          <a:solidFill>
                            <a:srgbClr val="FFFFFF">
                              <a:alpha val="0"/>
                            </a:srgbClr>
                          </a:solidFill>
                          <a:ln w="3175">
                            <a:noFill/>
                          </a:ln>
                        </wps:spPr>
                        <wps:txbx>
                          <w:txbxContent>
                            <w:p w14:paraId="2EDA4098">
                              <w:pPr>
                                <w:jc w:val="center"/>
                                <w:rPr>
                                  <w:rFonts w:asciiTheme="minorEastAsia" w:hAnsiTheme="minorEastAsia" w:eastAsiaTheme="minorEastAsia"/>
                                  <w:szCs w:val="21"/>
                                </w:rPr>
                              </w:pPr>
                              <w:r>
                                <w:rPr>
                                  <w:rFonts w:hint="eastAsia" w:asciiTheme="minorEastAsia" w:hAnsiTheme="minorEastAsia" w:eastAsiaTheme="minorEastAsia"/>
                                  <w:szCs w:val="21"/>
                                </w:rPr>
                                <w:t>用于厂区洒水降尘</w:t>
                              </w:r>
                            </w:p>
                          </w:txbxContent>
                        </wps:txbx>
                        <wps:bodyPr lIns="0" tIns="18000" rIns="0" bIns="0" anchor="ctr" anchorCtr="0" upright="1"/>
                      </wps:wsp>
                      <wps:wsp>
                        <wps:cNvPr id="90" name="直接箭头连接符 90"/>
                        <wps:cNvCnPr/>
                        <wps:spPr>
                          <a:xfrm>
                            <a:off x="2742565" y="457200"/>
                            <a:ext cx="915035" cy="1270"/>
                          </a:xfrm>
                          <a:prstGeom prst="straightConnector1">
                            <a:avLst/>
                          </a:prstGeom>
                          <a:ln w="3175" cap="flat" cmpd="sng">
                            <a:solidFill>
                              <a:srgbClr val="000000"/>
                            </a:solidFill>
                            <a:prstDash val="solid"/>
                            <a:headEnd type="none" w="med" len="med"/>
                            <a:tailEnd type="triangle" w="med" len="med"/>
                          </a:ln>
                        </wps:spPr>
                        <wps:bodyPr/>
                      </wps:wsp>
                      <wps:wsp>
                        <wps:cNvPr id="91" name="直接箭头连接符 91"/>
                        <wps:cNvCnPr/>
                        <wps:spPr>
                          <a:xfrm>
                            <a:off x="2742565" y="1256030"/>
                            <a:ext cx="686435" cy="1270"/>
                          </a:xfrm>
                          <a:prstGeom prst="straightConnector1">
                            <a:avLst/>
                          </a:prstGeom>
                          <a:ln w="3175" cap="flat" cmpd="sng">
                            <a:solidFill>
                              <a:srgbClr val="000000"/>
                            </a:solidFill>
                            <a:prstDash val="solid"/>
                            <a:headEnd type="none" w="med" len="med"/>
                            <a:tailEnd type="triangle" w="med" len="med"/>
                          </a:ln>
                        </wps:spPr>
                        <wps:bodyPr/>
                      </wps:wsp>
                      <wps:wsp>
                        <wps:cNvPr id="92" name="直接箭头连接符 92"/>
                        <wps:cNvCnPr/>
                        <wps:spPr>
                          <a:xfrm flipV="1">
                            <a:off x="2743200" y="457200"/>
                            <a:ext cx="635" cy="800100"/>
                          </a:xfrm>
                          <a:prstGeom prst="straightConnector1">
                            <a:avLst/>
                          </a:prstGeom>
                          <a:ln w="3175" cap="flat" cmpd="sng">
                            <a:solidFill>
                              <a:srgbClr val="000000"/>
                            </a:solidFill>
                            <a:prstDash val="solid"/>
                            <a:headEnd type="none" w="med" len="med"/>
                            <a:tailEnd type="none" w="med" len="med"/>
                          </a:ln>
                        </wps:spPr>
                        <wps:bodyPr/>
                      </wps:wsp>
                      <wps:wsp>
                        <wps:cNvPr id="93" name="文本框 93"/>
                        <wps:cNvSpPr txBox="1">
                          <a:spLocks noChangeAspect="1"/>
                        </wps:cNvSpPr>
                        <wps:spPr>
                          <a:xfrm>
                            <a:off x="2733675" y="1028700"/>
                            <a:ext cx="695325" cy="229235"/>
                          </a:xfrm>
                          <a:prstGeom prst="rect">
                            <a:avLst/>
                          </a:prstGeom>
                          <a:noFill/>
                          <a:ln w="3175">
                            <a:noFill/>
                          </a:ln>
                        </wps:spPr>
                        <wps:txbx>
                          <w:txbxContent>
                            <w:p w14:paraId="22377127">
                              <w:pPr>
                                <w:jc w:val="center"/>
                                <w:rPr>
                                  <w:rFonts w:asciiTheme="minorEastAsia" w:hAnsiTheme="minorEastAsia" w:eastAsiaTheme="minorEastAsia"/>
                                  <w:szCs w:val="21"/>
                                </w:rPr>
                              </w:pPr>
                              <w:r>
                                <w:rPr>
                                  <w:rFonts w:hint="eastAsia" w:asciiTheme="minorEastAsia" w:hAnsiTheme="minorEastAsia" w:eastAsiaTheme="minorEastAsia"/>
                                  <w:szCs w:val="21"/>
                                </w:rPr>
                                <w:t>粪便污水</w:t>
                              </w:r>
                            </w:p>
                          </w:txbxContent>
                        </wps:txbx>
                        <wps:bodyPr lIns="0" tIns="0" rIns="0" bIns="0" anchor="ctr" anchorCtr="0" upright="1"/>
                      </wps:wsp>
                      <wps:wsp>
                        <wps:cNvPr id="94" name="文本框 94"/>
                        <wps:cNvSpPr txBox="1">
                          <a:spLocks noChangeAspect="1"/>
                        </wps:cNvSpPr>
                        <wps:spPr>
                          <a:xfrm>
                            <a:off x="2857500" y="457200"/>
                            <a:ext cx="456565" cy="228600"/>
                          </a:xfrm>
                          <a:prstGeom prst="rect">
                            <a:avLst/>
                          </a:prstGeom>
                          <a:solidFill>
                            <a:srgbClr val="FFFFFF">
                              <a:alpha val="0"/>
                            </a:srgbClr>
                          </a:solidFill>
                          <a:ln w="3175">
                            <a:noFill/>
                          </a:ln>
                        </wps:spPr>
                        <wps:txbx>
                          <w:txbxContent>
                            <w:p w14:paraId="673149A7">
                              <w:pPr>
                                <w:jc w:val="center"/>
                                <w:rPr>
                                  <w:rFonts w:eastAsiaTheme="minorEastAsia"/>
                                  <w:szCs w:val="21"/>
                                </w:rPr>
                              </w:pPr>
                              <w:r>
                                <w:rPr>
                                  <w:rFonts w:hint="eastAsia" w:hAnsiTheme="minorEastAsia" w:eastAsiaTheme="minorEastAsia"/>
                                  <w:szCs w:val="21"/>
                                </w:rPr>
                                <w:t>1.28</w:t>
                              </w:r>
                            </w:p>
                          </w:txbxContent>
                        </wps:txbx>
                        <wps:bodyPr lIns="0" tIns="18000" rIns="0" bIns="0" anchor="ctr" anchorCtr="0" upright="1"/>
                      </wps:wsp>
                      <wps:wsp>
                        <wps:cNvPr id="95" name="文本框 95"/>
                        <wps:cNvSpPr txBox="1">
                          <a:spLocks noChangeAspect="1"/>
                        </wps:cNvSpPr>
                        <wps:spPr>
                          <a:xfrm>
                            <a:off x="2857500" y="1257300"/>
                            <a:ext cx="456565" cy="228600"/>
                          </a:xfrm>
                          <a:prstGeom prst="rect">
                            <a:avLst/>
                          </a:prstGeom>
                          <a:solidFill>
                            <a:srgbClr val="FFFFFF">
                              <a:alpha val="0"/>
                            </a:srgbClr>
                          </a:solidFill>
                          <a:ln w="3175">
                            <a:solidFill>
                              <a:schemeClr val="bg2">
                                <a:lumMod val="25000"/>
                              </a:schemeClr>
                            </a:solidFill>
                          </a:ln>
                        </wps:spPr>
                        <wps:txbx>
                          <w:txbxContent>
                            <w:p w14:paraId="260D8FE0">
                              <w:pPr>
                                <w:jc w:val="center"/>
                                <w:rPr>
                                  <w:rFonts w:eastAsiaTheme="minorEastAsia"/>
                                  <w:szCs w:val="21"/>
                                </w:rPr>
                              </w:pPr>
                              <w:r>
                                <w:rPr>
                                  <w:rFonts w:hint="eastAsia" w:hAnsiTheme="minorEastAsia" w:eastAsiaTheme="minorEastAsia"/>
                                  <w:szCs w:val="21"/>
                                </w:rPr>
                                <w:t>0.32</w:t>
                              </w:r>
                            </w:p>
                          </w:txbxContent>
                        </wps:txbx>
                        <wps:bodyPr lIns="0" tIns="18000" rIns="0" bIns="0" anchor="ctr" anchorCtr="0" upright="1"/>
                      </wps:wsp>
                      <wps:wsp>
                        <wps:cNvPr id="96" name="文本框 96"/>
                        <wps:cNvSpPr txBox="1">
                          <a:spLocks noChangeAspect="1"/>
                        </wps:cNvSpPr>
                        <wps:spPr>
                          <a:xfrm>
                            <a:off x="2743200" y="0"/>
                            <a:ext cx="695325" cy="457835"/>
                          </a:xfrm>
                          <a:prstGeom prst="rect">
                            <a:avLst/>
                          </a:prstGeom>
                          <a:noFill/>
                          <a:ln w="3175">
                            <a:noFill/>
                          </a:ln>
                        </wps:spPr>
                        <wps:txbx>
                          <w:txbxContent>
                            <w:p w14:paraId="7153144A">
                              <w:pPr>
                                <w:jc w:val="center"/>
                                <w:rPr>
                                  <w:rFonts w:asciiTheme="minorEastAsia" w:hAnsiTheme="minorEastAsia" w:eastAsiaTheme="minorEastAsia"/>
                                  <w:szCs w:val="21"/>
                                </w:rPr>
                              </w:pPr>
                              <w:r>
                                <w:rPr>
                                  <w:rFonts w:hint="eastAsia" w:asciiTheme="minorEastAsia" w:hAnsiTheme="minorEastAsia" w:eastAsiaTheme="minorEastAsia"/>
                                  <w:szCs w:val="21"/>
                                </w:rPr>
                                <w:t>洗漱废水</w:t>
                              </w:r>
                            </w:p>
                            <w:p w14:paraId="561672E3">
                              <w:pPr>
                                <w:jc w:val="center"/>
                                <w:rPr>
                                  <w:rFonts w:asciiTheme="minorEastAsia" w:hAnsiTheme="minorEastAsia" w:eastAsiaTheme="minorEastAsia"/>
                                  <w:szCs w:val="21"/>
                                </w:rPr>
                              </w:pPr>
                              <w:r>
                                <w:rPr>
                                  <w:rFonts w:hint="eastAsia" w:asciiTheme="minorEastAsia" w:hAnsiTheme="minorEastAsia" w:eastAsiaTheme="minorEastAsia"/>
                                  <w:szCs w:val="21"/>
                                </w:rPr>
                                <w:t>厨房废水</w:t>
                              </w:r>
                            </w:p>
                          </w:txbxContent>
                        </wps:txbx>
                        <wps:bodyPr lIns="0" tIns="0" rIns="0" bIns="0" anchor="ctr" anchorCtr="0" upright="1"/>
                      </wps:wsp>
                    </wpc:wpc>
                  </a:graphicData>
                </a:graphic>
              </wp:inline>
            </w:drawing>
          </mc:Choice>
          <mc:Fallback>
            <w:pict>
              <v:group id="_x0000_s1026" o:spid="_x0000_s1026" o:spt="203" style="height:189pt;width:415.3pt;" coordsize="5274310,2400300" editas="canvas" o:gfxdata="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">
                <o:lock v:ext="edit" aspectratio="f"/>
                <v:shape id="_x0000_s1026" o:spid="_x0000_s1026" style="position:absolute;left:0;top:0;height:2400300;width:5274310;" filled="f" stroked="t" coordsize="21600,21600" o:gfxdata="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">
                  <v:fill on="f" focussize="0,0"/>
                  <v:stroke color="#262626 [2749]" joinstyle="round"/>
                  <v:imagedata o:title=""/>
                  <o:lock v:ext="edit" aspectratio="t"/>
                </v:shape>
                <v:shape id="_x0000_s1026" o:spid="_x0000_s1026" o:spt="32" type="#_x0000_t32" style="position:absolute;left:114300;top:1256030;height:1270;width:685800;"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NQJJbVAAAABQEAAA8AAAAAAAAAAQAg&#10;AAAAIgAAAGRycy9kb3ducmV2LnhtbFBLAQIUABQAAAAIAIdO4kBHeH3sEQIAAP8DAAAOAAAAAAAA&#10;AAEAIAAAACQBAABkcnMvZTJvRG9jLnhtbFBLBQYAAAAABgAGAFkBAACnBQAAAAA=&#10;">
                  <v:fill on="f" focussize="0,0"/>
                  <v:stroke weight="0.25pt" color="#000000" joinstyle="round" endarrow="block"/>
                  <v:imagedata o:title=""/>
                  <o:lock v:ext="edit" aspectratio="f"/>
                </v:shape>
                <v:shape id="_x0000_s1026" o:spid="_x0000_s1026" o:spt="202" type="#_x0000_t202" style="position:absolute;left:1371600;top:800100;height:229235;width:914400;v-text-anchor:middle;" fillcolor="#FFFFFF" filled="t" stroked="t" coordsize="21600,21600" o:gfxdata="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dHMOLUAAAABQEAAA8AAAAA&#10;AAAAAQAgAAAAIgAAAGRycy9kb3ducmV2LnhtbFBLAQIUABQAAAAIAIdO4kDHJb/SUQIAAMoEAAAO&#10;AAAAAAAAAAEAIAAAACMBAABkcnMvZTJvRG9jLnhtbFBLBQYAAAAABgAGAFkBAADmBQAAAAA=&#10;">
                  <v:fill on="t" opacity="0f" focussize="0,0"/>
                  <v:stroke weight="0.25pt" color="#000000" joinstyle="miter"/>
                  <v:imagedata o:title=""/>
                  <o:lock v:ext="edit" aspectratio="t"/>
                  <v:textbox inset="0mm,0mm,0mm,0mm">
                    <w:txbxContent>
                      <w:p w14:paraId="3473BA1B">
                        <w:pPr>
                          <w:jc w:val="center"/>
                          <w:rPr>
                            <w:rFonts w:asciiTheme="minorEastAsia" w:hAnsiTheme="minorEastAsia" w:eastAsiaTheme="minorEastAsia"/>
                            <w:szCs w:val="21"/>
                          </w:rPr>
                        </w:pPr>
                        <w:r>
                          <w:rPr>
                            <w:rFonts w:hint="eastAsia" w:asciiTheme="minorEastAsia" w:hAnsiTheme="minorEastAsia" w:eastAsiaTheme="minorEastAsia"/>
                            <w:szCs w:val="21"/>
                          </w:rPr>
                          <w:t>生活用水</w:t>
                        </w:r>
                      </w:p>
                    </w:txbxContent>
                  </v:textbox>
                </v:shape>
                <v:shape id="_x0000_s1026" o:spid="_x0000_s1026" o:spt="202" type="#_x0000_t202" style="position:absolute;left:1371600;top:1715135;height:229235;width:914400;v-text-anchor:middle;" fillcolor="#FFFFFF" filled="t" stroked="t" coordsize="21600,21600" o:gfxdata="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XRzDi1AAAAAUBAAAPAAAA&#10;AAAAAAEAIAAAACIAAABkcnMvZG93bnJldi54bWxQSwECFAAUAAAACACHTuJAtz95FlICAADLBAAA&#10;DgAAAAAAAAABACAAAAAjAQAAZHJzL2Uyb0RvYy54bWxQSwUGAAAAAAYABgBZAQAA5wUAAAAA&#10;">
                  <v:fill on="t" opacity="0f" focussize="0,0"/>
                  <v:stroke weight="0.25pt" color="#000000" joinstyle="miter"/>
                  <v:imagedata o:title=""/>
                  <o:lock v:ext="edit" aspectratio="t"/>
                  <v:textbox inset="0mm,0mm,0mm,0mm">
                    <w:txbxContent>
                      <w:p w14:paraId="6328CD4F">
                        <w:pPr>
                          <w:jc w:val="center"/>
                          <w:rPr>
                            <w:rFonts w:asciiTheme="minorEastAsia" w:hAnsiTheme="minorEastAsia" w:eastAsiaTheme="minorEastAsia"/>
                            <w:szCs w:val="21"/>
                          </w:rPr>
                        </w:pPr>
                        <w:r>
                          <w:rPr>
                            <w:rFonts w:hint="eastAsia" w:asciiTheme="minorEastAsia" w:hAnsiTheme="minorEastAsia" w:eastAsiaTheme="minorEastAsia"/>
                            <w:szCs w:val="21"/>
                          </w:rPr>
                          <w:t>生产用水</w:t>
                        </w:r>
                      </w:p>
                    </w:txbxContent>
                  </v:textbox>
                </v:shape>
                <v:shape id="_x0000_s1026" o:spid="_x0000_s1026" o:spt="32" type="#_x0000_t32" style="position:absolute;left:798830;top:913130;height:915670;width:1270;" filled="f" stroked="t" coordsize="21600,21600" o:gfxdata="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00wlF1AAAAAUBAAAPAAAAAAAAAAEAIAAAACIAAABkcnMv&#10;ZG93bnJldi54bWxQSwECFAAUAAAACACHTuJA/BKNogcCAAD6AwAADgAAAAAAAAABACAAAAAjAQAA&#10;ZHJzL2Uyb0RvYy54bWxQSwUGAAAAAAYABgBZAQAAnAUAAAAA&#10;">
                  <v:fill on="f" focussize="0,0"/>
                  <v:stroke weight="0.25pt" color="#000000" joinstyle="round"/>
                  <v:imagedata o:title=""/>
                  <o:lock v:ext="edit" aspectratio="f"/>
                </v:shape>
                <v:shape id="_x0000_s1026" o:spid="_x0000_s1026" o:spt="32" type="#_x0000_t32" style="position:absolute;left:800100;top:914400;height:635;width:570230;"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1AkltUAAAAFAQAADwAAAAAAAAABACAA&#10;AAAiAAAAZHJzL2Rvd25yZXYueG1sUEsBAhQAFAAAAAgAh07iQE0xDhUQAgAA/QMAAA4AAAAAAAAA&#10;AQAgAAAAJAEAAGRycy9lMm9Eb2MueG1sUEsFBgAAAAAGAAYAWQEAAKYFAAAAAA==&#10;">
                  <v:fill on="f" focussize="0,0"/>
                  <v:stroke weight="0.25pt" color="#000000" joinstyle="round" endarrow="block"/>
                  <v:imagedata o:title=""/>
                  <o:lock v:ext="edit" aspectratio="f"/>
                </v:shape>
                <v:shape id="_x0000_s1026" o:spid="_x0000_s1026" o:spt="32" type="#_x0000_t32" style="position:absolute;left:801370;top:1827530;height:1270;width:570230;"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Y1AkltUAAAAFAQAADwAAAAAAAAABACAA&#10;AAAiAAAAZHJzL2Rvd25yZXYueG1sUEsBAhQAFAAAAAgAh07iQHYuK/UQAgAA/wMAAA4AAAAAAAAA&#10;AQAgAAAAJAEAAGRycy9lMm9Eb2MueG1sUEsFBgAAAAAGAAYAWQEAAKYFAAAAAA==&#10;">
                  <v:fill on="f" focussize="0,0"/>
                  <v:stroke weight="0.25pt" color="#000000" joinstyle="round" endarrow="block"/>
                  <v:imagedata o:title=""/>
                  <o:lock v:ext="edit" aspectratio="f"/>
                </v:shape>
                <v:shape id="_x0000_s1026" o:spid="_x0000_s1026" o:spt="32" type="#_x0000_t32" style="position:absolute;left:2286000;top:1827530;height:2540;width:800100;"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jUCSW1QAAAAUBAAAPAAAAAAAA&#10;AAEAIAAAACIAAABkcnMvZG93bnJldi54bWxQSwECFAAUAAAACACHTuJA0w8sTxUCAAAABAAADgAA&#10;AAAAAAABACAAAAAkAQAAZHJzL2Uyb0RvYy54bWxQSwUGAAAAAAYABgBZAQAAqwUAAAAA&#10;">
                  <v:fill on="f" focussize="0,0"/>
                  <v:stroke weight="0.25pt" color="#000000" joinstyle="round" endarrow="block"/>
                  <v:imagedata o:title=""/>
                  <o:lock v:ext="edit" aspectratio="f"/>
                </v:shape>
                <v:shape id="_x0000_s1026" o:spid="_x0000_s1026" o:spt="32" type="#_x0000_t32" style="position:absolute;left:2286000;top:914400;height:635;width:447675;" filled="f" stroked="t" coordsize="21600,21600" o:gfxdata="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00wlF1AAAAAUBAAAPAAAAAAAAAAEAIAAAACIAAABk&#10;cnMvZG93bnJldi54bWxQSwECFAAUAAAACACHTuJA85iaXgoCAAD6AwAADgAAAAAAAAABACAAAAAj&#10;AQAAZHJzL2Uyb0RvYy54bWxQSwUGAAAAAAYABgBZAQAAnwUAAAAA&#10;">
                  <v:fill on="f" focussize="0,0"/>
                  <v:stroke weight="0.25pt" color="#000000" joinstyle="round"/>
                  <v:imagedata o:title=""/>
                  <o:lock v:ext="edit" aspectratio="f"/>
                </v:shape>
                <v:shape id="_x0000_s1026" o:spid="_x0000_s1026" o:spt="202" type="#_x0000_t202" style="position:absolute;left:3429635;top:1142365;height:228600;width:799465;v-text-anchor:middle;" fillcolor="#FFFFFF" filled="t" stroked="t" coordsize="21600,21600" o:gfxdata="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0cw4tQAAAAFAQAADwAA&#10;AAAAAAABACAAAAAiAAAAZHJzL2Rvd25yZXYueG1sUEsBAhQAFAAAAAgAh07iQEQZtO1TAgAAywQA&#10;AA4AAAAAAAAAAQAgAAAAIwEAAGRycy9lMm9Eb2MueG1sUEsFBgAAAAAGAAYAWQEAAOgFAAAAAA==&#10;">
                  <v:fill on="t" opacity="0f" focussize="0,0"/>
                  <v:stroke weight="0.25pt" color="#000000" joinstyle="miter"/>
                  <v:imagedata o:title=""/>
                  <o:lock v:ext="edit" aspectratio="t"/>
                  <v:textbox inset="0mm,0mm,0mm,0mm">
                    <w:txbxContent>
                      <w:p w14:paraId="7D06D581">
                        <w:pPr>
                          <w:jc w:val="center"/>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粪污收集池</w:t>
                        </w:r>
                      </w:p>
                    </w:txbxContent>
                  </v:textbox>
                </v:shape>
                <v:shape id="_x0000_s1026" o:spid="_x0000_s1026" o:spt="202" type="#_x0000_t202" style="position:absolute;left:3086100;top:1714500;height:229235;width:14859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Y7kca0gAAAAUBAAAPAAAAAAAAAAEA&#10;IAAAACIAAABkcnMvZG93bnJldi54bWxQSwECFAAUAAAACACHTuJAN3jotxUCAAAaBAAADgAAAAAA&#10;AAABACAAAAAhAQAAZHJzL2Uyb0RvYy54bWxQSwUGAAAAAAYABgBZAQAAqAUAAAAA&#10;">
                  <v:fill on="t" opacity="0f" focussize="0,0"/>
                  <v:stroke on="f" weight="0.25pt"/>
                  <v:imagedata o:title=""/>
                  <o:lock v:ext="edit" aspectratio="t"/>
                  <v:textbox inset="0mm,0.5mm,0mm,0mm">
                    <w:txbxContent>
                      <w:p w14:paraId="03D61A88">
                        <w:pPr>
                          <w:jc w:val="center"/>
                          <w:rPr>
                            <w:rFonts w:asciiTheme="minorEastAsia" w:hAnsiTheme="minorEastAsia" w:eastAsiaTheme="minorEastAsia"/>
                            <w:szCs w:val="21"/>
                          </w:rPr>
                        </w:pPr>
                        <w:r>
                          <w:rPr>
                            <w:rFonts w:hint="eastAsia" w:asciiTheme="minorEastAsia" w:hAnsiTheme="minorEastAsia" w:eastAsiaTheme="minorEastAsia"/>
                            <w:szCs w:val="21"/>
                          </w:rPr>
                          <w:t>全部蒸发或被地面吸收</w:t>
                        </w:r>
                      </w:p>
                    </w:txbxContent>
                  </v:textbox>
                </v:shape>
                <v:shape id="_x0000_s1026" o:spid="_x0000_s1026" o:spt="202" type="#_x0000_t202" style="position:absolute;left:1970405;top:2171700;height:228600;width:137223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O5HGtIAAAAFAQAADwAAAAAAAAABACAA&#10;AAAiAAAAZHJzL2Rvd25yZXYueG1sUEsBAhQAFAAAAAgAh07iQA1wHlITAgAAGgQAAA4AAAAAAAAA&#10;AQAgAAAAIQEAAGRycy9lMm9Eb2MueG1sUEsFBgAAAAAGAAYAWQEAAKYFAAAAAA==&#10;">
                  <v:fill on="t" opacity="0f" focussize="0,0"/>
                  <v:stroke on="f" weight="0.25pt"/>
                  <v:imagedata o:title=""/>
                  <o:lock v:ext="edit" aspectratio="t"/>
                  <v:textbox inset="0mm,0.5mm,0mm,0mm">
                    <w:txbxContent>
                      <w:p w14:paraId="5EBA43C8">
                        <w:pPr>
                          <w:jc w:val="center"/>
                          <w:rPr>
                            <w:rFonts w:asciiTheme="minorEastAsia" w:hAnsiTheme="minorEastAsia" w:eastAsiaTheme="minorEastAsia"/>
                            <w:szCs w:val="21"/>
                          </w:rPr>
                        </w:pPr>
                        <w:r>
                          <w:rPr>
                            <w:rFonts w:hint="eastAsia" w:asciiTheme="minorEastAsia" w:hAnsiTheme="minorEastAsia" w:eastAsiaTheme="minorEastAsia"/>
                            <w:szCs w:val="21"/>
                          </w:rPr>
                          <w:t>注：以上单位均为</w:t>
                        </w:r>
                        <w:r>
                          <w:rPr>
                            <w:rFonts w:hint="eastAsia" w:eastAsiaTheme="minorEastAsia"/>
                            <w:szCs w:val="21"/>
                            <w:lang w:eastAsia="zh-CN"/>
                          </w:rPr>
                          <w:t>mdfghss</w:t>
                        </w:r>
                        <w:r>
                          <w:rPr>
                            <w:rFonts w:eastAsiaTheme="minorEastAsia"/>
                            <w:szCs w:val="21"/>
                          </w:rPr>
                          <w:t>/d</w:t>
                        </w:r>
                      </w:p>
                    </w:txbxContent>
                  </v:textbox>
                </v:shape>
                <v:shape id="_x0000_s1026" o:spid="_x0000_s1026" o:spt="202" type="#_x0000_t202" style="position:absolute;left:114300;top:1028700;height:228600;width:45656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O5HGtIAAAAFAQAADwAAAAAAAAABACAA&#10;AAAiAAAAZHJzL2Rvd25yZXYueG1sUEsBAhQAFAAAAAgAh07iQD+c8i8TAgAAGAQAAA4AAAAAAAAA&#10;AQAgAAAAIQEAAGRycy9lMm9Eb2MueG1sUEsFBgAAAAAGAAYAWQEAAKYFAAAAAA==&#10;">
                  <v:fill on="t" opacity="0f" focussize="0,0"/>
                  <v:stroke on="f" weight="0.25pt"/>
                  <v:imagedata o:title=""/>
                  <o:lock v:ext="edit" aspectratio="t"/>
                  <v:textbox inset="0mm,0.5mm,0mm,0mm">
                    <w:txbxContent>
                      <w:p w14:paraId="3AC3C878">
                        <w:pPr>
                          <w:jc w:val="center"/>
                          <w:rPr>
                            <w:rFonts w:asciiTheme="minorEastAsia" w:hAnsiTheme="minorEastAsia" w:eastAsiaTheme="minorEastAsia"/>
                            <w:szCs w:val="21"/>
                          </w:rPr>
                        </w:pPr>
                        <w:r>
                          <w:rPr>
                            <w:rFonts w:hint="eastAsia" w:asciiTheme="minorEastAsia" w:hAnsiTheme="minorEastAsia" w:eastAsiaTheme="minorEastAsia"/>
                            <w:szCs w:val="21"/>
                          </w:rPr>
                          <w:t>自来水</w:t>
                        </w:r>
                      </w:p>
                    </w:txbxContent>
                  </v:textbox>
                </v:shape>
                <v:shape id="_x0000_s1026" o:spid="_x0000_s1026" o:spt="202" type="#_x0000_t202" style="position:absolute;left:0;top:1256030;height:458470;width:8001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&#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juRxrSAAAABQEAAA8AAAAAAAAAAQAgAAAAIgAAAGRy&#10;cy9kb3ducmV2LnhtbFBLAQIUABQAAAAIAIdO4kDIjt1yCwIAABMEAAAOAAAAAAAAAAEAIAAAACEB&#10;AABkcnMvZTJvRG9jLnhtbFBLBQYAAAAABgAGAFkBAACeBQAAAAA=&#10;">
                  <v:fill on="t" opacity="0f" focussize="0,0"/>
                  <v:stroke on="f" weight="0.25pt"/>
                  <v:imagedata o:title=""/>
                  <o:lock v:ext="edit" aspectratio="t"/>
                  <v:textbox inset="0mm,0.5mm,0mm,0mm">
                    <w:txbxContent>
                      <w:p w14:paraId="30BDB02B">
                        <w:pPr>
                          <w:ind w:firstLine="105" w:firstLineChars="50"/>
                          <w:rPr>
                            <w:rFonts w:eastAsiaTheme="minorEastAsia"/>
                            <w:szCs w:val="21"/>
                          </w:rPr>
                        </w:pPr>
                        <w:r>
                          <w:rPr>
                            <w:rFonts w:hint="eastAsia" w:asciiTheme="minorEastAsia" w:hAnsiTheme="minorEastAsia" w:eastAsiaTheme="minorEastAsia"/>
                            <w:szCs w:val="21"/>
                          </w:rPr>
                          <w:t>旱季</w:t>
                        </w:r>
                        <w:r>
                          <w:rPr>
                            <w:rFonts w:hint="eastAsia" w:eastAsiaTheme="minorEastAsia"/>
                            <w:szCs w:val="21"/>
                          </w:rPr>
                          <w:t>12.0</w:t>
                        </w:r>
                      </w:p>
                      <w:p w14:paraId="76118DDB">
                        <w:pPr>
                          <w:ind w:firstLine="105" w:firstLineChars="50"/>
                          <w:rPr>
                            <w:rFonts w:eastAsiaTheme="minorEastAsia"/>
                            <w:szCs w:val="21"/>
                          </w:rPr>
                        </w:pPr>
                        <w:r>
                          <w:rPr>
                            <w:rFonts w:hAnsiTheme="minorEastAsia" w:eastAsiaTheme="minorEastAsia"/>
                            <w:szCs w:val="21"/>
                          </w:rPr>
                          <w:t>雨季</w:t>
                        </w:r>
                        <w:r>
                          <w:rPr>
                            <w:rFonts w:hint="eastAsia" w:eastAsiaTheme="minorEastAsia"/>
                            <w:szCs w:val="21"/>
                          </w:rPr>
                          <w:t>0</w:t>
                        </w:r>
                      </w:p>
                    </w:txbxContent>
                  </v:textbox>
                </v:shape>
                <v:shape id="_x0000_s1026" o:spid="_x0000_s1026" o:spt="202" type="#_x0000_t202" style="position:absolute;left:685800;top:1600200;height:228600;width:8001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O5HGtIAAAAFAQAADwAAAAAAAAABACAAAAAiAAAA&#10;ZHJzL2Rvd25yZXYueG1sUEsBAhQAFAAAAAgAh07iQNsj2b0NAgAAGAQAAA4AAAAAAAAAAQAgAAAA&#10;IQEAAGRycy9lMm9Eb2MueG1sUEsFBgAAAAAGAAYAWQEAAKAFAAAAAA==&#10;">
                  <v:fill on="t" opacity="0f" focussize="0,0"/>
                  <v:stroke on="f" weight="0.25pt"/>
                  <v:imagedata o:title=""/>
                  <o:lock v:ext="edit" aspectratio="t"/>
                  <v:textbox inset="0mm,0.5mm,0mm,0mm">
                    <w:txbxContent>
                      <w:p w14:paraId="7A2FB60C">
                        <w:pPr>
                          <w:jc w:val="center"/>
                          <w:rPr>
                            <w:rFonts w:eastAsiaTheme="minorEastAsia"/>
                            <w:szCs w:val="21"/>
                          </w:rPr>
                        </w:pPr>
                        <w:r>
                          <w:rPr>
                            <w:rFonts w:hint="eastAsia" w:hAnsiTheme="minorEastAsia" w:eastAsiaTheme="minorEastAsia"/>
                            <w:szCs w:val="21"/>
                          </w:rPr>
                          <w:t>旱季10.0</w:t>
                        </w:r>
                      </w:p>
                    </w:txbxContent>
                  </v:textbox>
                </v:shape>
                <v:shape id="_x0000_s1026" o:spid="_x0000_s1026" o:spt="202" type="#_x0000_t202" style="position:absolute;left:2286000;top:685800;height:228600;width:45656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O5HGtIAAAAFAQAADwAAAAAAAAABACAAAAAi&#10;AAAAZHJzL2Rvd25yZXYueG1sUEsBAhQAFAAAAAgAh07iQExeeNQQAgAAGAQAAA4AAAAAAAAAAQAg&#10;AAAAIQEAAGRycy9lMm9Eb2MueG1sUEsFBgAAAAAGAAYAWQEAAKMFAAAAAA==&#10;">
                  <v:fill on="t" opacity="0f" focussize="0,0"/>
                  <v:stroke on="f" weight="0.25pt"/>
                  <v:imagedata o:title=""/>
                  <o:lock v:ext="edit" aspectratio="t"/>
                  <v:textbox inset="0mm,0.5mm,0mm,0mm">
                    <w:txbxContent>
                      <w:p w14:paraId="52C43807">
                        <w:pPr>
                          <w:jc w:val="center"/>
                          <w:rPr>
                            <w:rFonts w:eastAsiaTheme="minorEastAsia"/>
                            <w:szCs w:val="21"/>
                          </w:rPr>
                        </w:pPr>
                        <w:r>
                          <w:rPr>
                            <w:rFonts w:hint="eastAsia" w:hAnsiTheme="minorEastAsia" w:eastAsiaTheme="minorEastAsia"/>
                            <w:szCs w:val="21"/>
                          </w:rPr>
                          <w:t>1.6</w:t>
                        </w:r>
                      </w:p>
                    </w:txbxContent>
                  </v:textbox>
                </v:shape>
                <v:shape id="_x0000_s1026" o:spid="_x0000_s1026" o:spt="202" type="#_x0000_t202" style="position:absolute;left:4572000;top:1028700;height:457200;width:6858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Y7kca0gAAAAUBAAAPAAAAAAAAAAEAIAAAACIA&#10;AABkcnMvZG93bnJldi54bWxQSwECFAAUAAAACACHTuJAcsS7Aw8CAAAZBAAADgAAAAAAAAABACAA&#10;AAAhAQAAZHJzL2Uyb0RvYy54bWxQSwUGAAAAAAYABgBZAQAAogUAAAAA&#10;">
                  <v:fill on="t" opacity="0f" focussize="0,0"/>
                  <v:stroke on="f" weight="0.25pt"/>
                  <v:imagedata o:title=""/>
                  <o:lock v:ext="edit" aspectratio="t"/>
                  <v:textbox inset="0mm,0.5mm,0mm,0mm">
                    <w:txbxContent>
                      <w:p w14:paraId="3D0F2B9D">
                        <w:pPr>
                          <w:jc w:val="center"/>
                          <w:rPr>
                            <w:rFonts w:asciiTheme="minorEastAsia" w:hAnsiTheme="minorEastAsia" w:eastAsiaTheme="minorEastAsia"/>
                            <w:szCs w:val="21"/>
                          </w:rPr>
                        </w:pPr>
                        <w:r>
                          <w:rPr>
                            <w:rFonts w:hint="eastAsia" w:asciiTheme="minorEastAsia" w:hAnsiTheme="minorEastAsia" w:eastAsiaTheme="minorEastAsia"/>
                            <w:szCs w:val="21"/>
                          </w:rPr>
                          <w:t>定期清掏用作农肥</w:t>
                        </w:r>
                      </w:p>
                    </w:txbxContent>
                  </v:textbox>
                </v:shape>
                <v:shape id="_x0000_s1026" o:spid="_x0000_s1026" o:spt="202" type="#_x0000_t202" style="position:absolute;left:685800;top:1828800;height:228600;width:8001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O5HGtIAAAAFAQAADwAAAAAAAAABACAAAAAiAAAA&#10;ZHJzL2Rvd25yZXYueG1sUEsBAhQAFAAAAAgAh07iQJtvGv8NAgAAGAQAAA4AAAAAAAAAAQAgAAAA&#10;IQEAAGRycy9lMm9Eb2MueG1sUEsFBgAAAAAGAAYAWQEAAKAFAAAAAA==&#10;">
                  <v:fill on="t" opacity="0f" focussize="0,0"/>
                  <v:stroke on="f" weight="0.25pt"/>
                  <v:imagedata o:title=""/>
                  <o:lock v:ext="edit" aspectratio="t"/>
                  <v:textbox inset="0mm,0.5mm,0mm,0mm">
                    <w:txbxContent>
                      <w:p w14:paraId="0CCCA50D">
                        <w:pPr>
                          <w:jc w:val="center"/>
                          <w:rPr>
                            <w:rFonts w:eastAsiaTheme="minorEastAsia"/>
                            <w:szCs w:val="21"/>
                          </w:rPr>
                        </w:pPr>
                        <w:r>
                          <w:rPr>
                            <w:rFonts w:hint="eastAsia" w:hAnsiTheme="minorEastAsia" w:eastAsiaTheme="minorEastAsia"/>
                            <w:szCs w:val="21"/>
                          </w:rPr>
                          <w:t>雨季0</w:t>
                        </w:r>
                      </w:p>
                    </w:txbxContent>
                  </v:textbox>
                </v:shape>
                <v:shape id="_x0000_s1026" o:spid="_x0000_s1026" o:spt="202" type="#_x0000_t202" style="position:absolute;left:1714500;top:457200;height:227965;width:68516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Y7kca0gAAAAUBAAAPAAAAAAAAAAEAIAAA&#10;ACIAAABkcnMvZG93bnJldi54bWxQSwECFAAUAAAACACHTuJA0uEjBBICAAAYBAAADgAAAAAAAAAB&#10;ACAAAAAhAQAAZHJzL2Uyb0RvYy54bWxQSwUGAAAAAAYABgBZAQAApQUAAAAA&#10;">
                  <v:fill on="t" opacity="0f" focussize="0,0"/>
                  <v:stroke on="f" weight="0.25pt"/>
                  <v:imagedata o:title=""/>
                  <o:lock v:ext="edit" aspectratio="t"/>
                  <v:textbox inset="0mm,0.5mm,0mm,0mm">
                    <w:txbxContent>
                      <w:p w14:paraId="0971E98E">
                        <w:pPr>
                          <w:jc w:val="center"/>
                          <w:rPr>
                            <w:rFonts w:eastAsiaTheme="minorEastAsia"/>
                            <w:szCs w:val="21"/>
                          </w:rPr>
                        </w:pPr>
                        <w:r>
                          <w:rPr>
                            <w:rFonts w:hint="eastAsia" w:hAnsiTheme="minorEastAsia" w:eastAsiaTheme="minorEastAsia"/>
                            <w:szCs w:val="21"/>
                          </w:rPr>
                          <w:t>损耗0.4</w:t>
                        </w:r>
                      </w:p>
                    </w:txbxContent>
                  </v:textbox>
                </v:shape>
                <v:shape id="_x0000_s1026" o:spid="_x0000_s1026" o:spt="32" type="#_x0000_t32" style="position:absolute;left:1485900;top:608965;flip:y;height:191770;width:228600;" filled="f" stroked="t" coordsize="21600,21600" o:gfxdata="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KR2/dUAAAAF&#10;AQAADwAAAAAAAAABACAAAAAiAAAAZHJzL2Rvd25yZXYueG1sUEsBAhQAFAAAAAgAh07iQOl82zgf&#10;AgAADQQAAA4AAAAAAAAAAQAgAAAAJAEAAGRycy9lMm9Eb2MueG1sUEsFBgAAAAAGAAYAWQEAALUF&#10;AAAAAA==&#10;">
                  <v:fill on="f" focussize="0,0"/>
                  <v:stroke weight="0.25pt" color="#000000" joinstyle="round" dashstyle="dashDot" endarrow="block"/>
                  <v:imagedata o:title=""/>
                  <o:lock v:ext="edit" aspectratio="f"/>
                </v:shape>
                <v:shape id="_x0000_s1026" o:spid="_x0000_s1026" o:spt="32" type="#_x0000_t32" style="position:absolute;left:4229100;top:1256665;height:635;width:352425;"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jUCSW1QAAAAUBAAAPAAAAAAAA&#10;AAEAIAAAACIAAABkcnMvZG93bnJldi54bWxQSwECFAAUAAAACACHTuJA5XvaIBUCAAD/AwAADgAA&#10;AAAAAAABACAAAAAkAQAAZHJzL2Uyb0RvYy54bWxQSwUGAAAAAAYABgBZAQAAqwUAAAAA&#10;">
                  <v:fill on="f" focussize="0,0"/>
                  <v:stroke weight="0.25pt" color="#000000" joinstyle="round" endarrow="block"/>
                  <v:imagedata o:title=""/>
                  <o:lock v:ext="edit" aspectratio="f"/>
                </v:shape>
                <v:shape id="_x0000_s1026" o:spid="_x0000_s1026" o:spt="202" type="#_x0000_t202" style="position:absolute;left:800735;top:685800;height:228600;width:45656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juRxrSAAAABQEAAA8AAAAAAAAAAQAgAAAA&#10;IgAAAGRycy9kb3ducmV2LnhtbFBLAQIUABQAAAAIAIdO4kA1f24YEQIAABcEAAAOAAAAAAAAAAEA&#10;IAAAACEBAABkcnMvZTJvRG9jLnhtbFBLBQYAAAAABgAGAFkBAACkBQAAAAA=&#10;">
                  <v:fill on="t" opacity="0f" focussize="0,0"/>
                  <v:stroke on="f" weight="0.25pt"/>
                  <v:imagedata o:title=""/>
                  <o:lock v:ext="edit" aspectratio="t"/>
                  <v:textbox inset="0mm,0.5mm,0mm,0mm">
                    <w:txbxContent>
                      <w:p w14:paraId="0D7A8235">
                        <w:pPr>
                          <w:jc w:val="center"/>
                          <w:rPr>
                            <w:rFonts w:eastAsiaTheme="minorEastAsia"/>
                            <w:szCs w:val="21"/>
                          </w:rPr>
                        </w:pPr>
                        <w:r>
                          <w:rPr>
                            <w:rFonts w:hint="eastAsia" w:hAnsiTheme="minorEastAsia" w:eastAsiaTheme="minorEastAsia"/>
                            <w:szCs w:val="21"/>
                          </w:rPr>
                          <w:t>2.0</w:t>
                        </w:r>
                      </w:p>
                    </w:txbxContent>
                  </v:textbox>
                </v:shape>
                <v:shape id="_x0000_s1026" o:spid="_x0000_s1026" o:spt="202" type="#_x0000_t202" style="position:absolute;left:3657600;top:342900;height:266065;width:1257300;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juRxrSAAAABQEAAA8AAAAAAAAAAQAg&#10;AAAAIgAAAGRycy9kb3ducmV2LnhtbFBLAQIUABQAAAAIAIdO4kDzwPzNFAIAABkEAAAOAAAAAAAA&#10;AAEAIAAAACEBAABkcnMvZTJvRG9jLnhtbFBLBQYAAAAABgAGAFkBAACnBQAAAAA=&#10;">
                  <v:fill on="t" opacity="0f" focussize="0,0"/>
                  <v:stroke on="f" weight="0.25pt"/>
                  <v:imagedata o:title=""/>
                  <o:lock v:ext="edit" aspectratio="t"/>
                  <v:textbox inset="0mm,0.5mm,0mm,0mm">
                    <w:txbxContent>
                      <w:p w14:paraId="2EDA4098">
                        <w:pPr>
                          <w:jc w:val="center"/>
                          <w:rPr>
                            <w:rFonts w:asciiTheme="minorEastAsia" w:hAnsiTheme="minorEastAsia" w:eastAsiaTheme="minorEastAsia"/>
                            <w:szCs w:val="21"/>
                          </w:rPr>
                        </w:pPr>
                        <w:r>
                          <w:rPr>
                            <w:rFonts w:hint="eastAsia" w:asciiTheme="minorEastAsia" w:hAnsiTheme="minorEastAsia" w:eastAsiaTheme="minorEastAsia"/>
                            <w:szCs w:val="21"/>
                          </w:rPr>
                          <w:t>用于厂区洒水降尘</w:t>
                        </w:r>
                      </w:p>
                    </w:txbxContent>
                  </v:textbox>
                </v:shape>
                <v:shape id="_x0000_s1026" o:spid="_x0000_s1026" o:spt="32" type="#_x0000_t32" style="position:absolute;left:2742565;top:457200;height:1270;width:915035;"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NQJJbVAAAABQEAAA8AAAAAAAAA&#10;AQAgAAAAIgAAAGRycy9kb3ducmV2LnhtbFBLAQIUABQAAAAIAIdO4kBISGgoFAIAAP8DAAAOAAAA&#10;AAAAAAEAIAAAACQBAABkcnMvZTJvRG9jLnhtbFBLBQYAAAAABgAGAFkBAACqBQAAAAA=&#10;">
                  <v:fill on="f" focussize="0,0"/>
                  <v:stroke weight="0.25pt" color="#000000" joinstyle="round" endarrow="block"/>
                  <v:imagedata o:title=""/>
                  <o:lock v:ext="edit" aspectratio="f"/>
                </v:shape>
                <v:shape id="_x0000_s1026" o:spid="_x0000_s1026" o:spt="32" type="#_x0000_t32" style="position:absolute;left:2742565;top:1256030;height:1270;width:686435;" filled="f" stroked="t" coordsize="21600,21600" o:gfxdata="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Y1AkltUAAAAFAQAADwAAAAAAAAAB&#10;ACAAAAAiAAAAZHJzL2Rvd25yZXYueG1sUEsBAhQAFAAAAAgAh07iQAL2GE8TAgAAAAQAAA4AAAAA&#10;AAAAAQAgAAAAJAEAAGRycy9lMm9Eb2MueG1sUEsFBgAAAAAGAAYAWQEAAKkFAAAAAA==&#10;">
                  <v:fill on="f" focussize="0,0"/>
                  <v:stroke weight="0.25pt" color="#000000" joinstyle="round" endarrow="block"/>
                  <v:imagedata o:title=""/>
                  <o:lock v:ext="edit" aspectratio="f"/>
                </v:shape>
                <v:shape id="_x0000_s1026" o:spid="_x0000_s1026" o:spt="32" type="#_x0000_t32" style="position:absolute;left:2743200;top:457200;flip:y;height:800100;width:635;" filled="f" stroked="t" coordsize="21600,21600" o:gfxdata="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N70Z/1AAAAAUBAAAPAAAAAAAAAAEAIAAA&#10;ACIAAABkcnMvZG93bnJldi54bWxQSwECFAAUAAAACACHTuJAcj9+exACAAAEBAAADgAAAAAAAAAB&#10;ACAAAAAjAQAAZHJzL2Uyb0RvYy54bWxQSwUGAAAAAAYABgBZAQAApQUAAAAA&#10;">
                  <v:fill on="f" focussize="0,0"/>
                  <v:stroke weight="0.25pt" color="#000000" joinstyle="round"/>
                  <v:imagedata o:title=""/>
                  <o:lock v:ext="edit" aspectratio="f"/>
                </v:shape>
                <v:shape id="_x0000_s1026" o:spid="_x0000_s1026" o:spt="202" type="#_x0000_t202" style="position:absolute;left:2733675;top:1028700;height:229235;width:695325;v-text-anchor:middle;" filled="f" stroked="f" coordsize="21600,21600" o:gfxdata="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NWI+TXAAAABQEAAA8AAAAAAAAAAQAgAAAAIgAAAGRycy9kb3ducmV2LnhtbFBLAQIUABQA&#10;AAAIAIdO4kAkVI1U8QEAAM8DAAAOAAAAAAAAAAEAIAAAACYBAABkcnMvZTJvRG9jLnhtbFBLBQYA&#10;AAAABgAGAFkBAACJBQAAAAA=&#10;">
                  <v:fill on="f" focussize="0,0"/>
                  <v:stroke on="f" weight="0.25pt"/>
                  <v:imagedata o:title=""/>
                  <o:lock v:ext="edit" aspectratio="t"/>
                  <v:textbox inset="0mm,0mm,0mm,0mm">
                    <w:txbxContent>
                      <w:p w14:paraId="22377127">
                        <w:pPr>
                          <w:jc w:val="center"/>
                          <w:rPr>
                            <w:rFonts w:asciiTheme="minorEastAsia" w:hAnsiTheme="minorEastAsia" w:eastAsiaTheme="minorEastAsia"/>
                            <w:szCs w:val="21"/>
                          </w:rPr>
                        </w:pPr>
                        <w:r>
                          <w:rPr>
                            <w:rFonts w:hint="eastAsia" w:asciiTheme="minorEastAsia" w:hAnsiTheme="minorEastAsia" w:eastAsiaTheme="minorEastAsia"/>
                            <w:szCs w:val="21"/>
                          </w:rPr>
                          <w:t>粪便污水</w:t>
                        </w:r>
                      </w:p>
                    </w:txbxContent>
                  </v:textbox>
                </v:shape>
                <v:shape id="_x0000_s1026" o:spid="_x0000_s1026" o:spt="202" type="#_x0000_t202" style="position:absolute;left:2857500;top:457200;height:228600;width:456565;v-text-anchor:middle;" fillcolor="#FFFFFF" filled="t" stroked="f" coordsize="21600,21600" o:gfxdata="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Y7kca0gAAAAUBAAAPAAAAAAAAAAEAIAAA&#10;ACIAAABkcnMvZG93bnJldi54bWxQSwECFAAUAAAACACHTuJA6tJ29hICAAAYBAAADgAAAAAAAAAB&#10;ACAAAAAhAQAAZHJzL2Uyb0RvYy54bWxQSwUGAAAAAAYABgBZAQAApQUAAAAA&#10;">
                  <v:fill on="t" opacity="0f" focussize="0,0"/>
                  <v:stroke on="f" weight="0.25pt"/>
                  <v:imagedata o:title=""/>
                  <o:lock v:ext="edit" aspectratio="t"/>
                  <v:textbox inset="0mm,0.5mm,0mm,0mm">
                    <w:txbxContent>
                      <w:p w14:paraId="673149A7">
                        <w:pPr>
                          <w:jc w:val="center"/>
                          <w:rPr>
                            <w:rFonts w:eastAsiaTheme="minorEastAsia"/>
                            <w:szCs w:val="21"/>
                          </w:rPr>
                        </w:pPr>
                        <w:r>
                          <w:rPr>
                            <w:rFonts w:hint="eastAsia" w:hAnsiTheme="minorEastAsia" w:eastAsiaTheme="minorEastAsia"/>
                            <w:szCs w:val="21"/>
                          </w:rPr>
                          <w:t>1.28</w:t>
                        </w:r>
                      </w:p>
                    </w:txbxContent>
                  </v:textbox>
                </v:shape>
                <v:shape id="_x0000_s1026" o:spid="_x0000_s1026" o:spt="202" type="#_x0000_t202" style="position:absolute;left:2857500;top:1257300;height:228600;width:456565;v-text-anchor:middle;" fillcolor="#FFFFFF" filled="t" stroked="t" coordsize="21600,21600" o:gfxdata="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mvg2dUAAAAFAQAADwAAAAAAAAABACAAAAAiAAAAZHJzL2Rvd25yZXYueG1sUEsBAhQAFAAAAAgA&#10;h07iQC0EsO0oAgAAZAQAAA4AAAAAAAAAAQAgAAAAJAEAAGRycy9lMm9Eb2MueG1sUEsFBgAAAAAG&#10;AAYAWQEAAL4FAAAAAA==&#10;">
                  <v:fill on="t" opacity="0f" focussize="0,0"/>
                  <v:stroke weight="0.25pt" color="#3B3838 [814]" joinstyle="round"/>
                  <v:imagedata o:title=""/>
                  <o:lock v:ext="edit" aspectratio="t"/>
                  <v:textbox inset="0mm,0.5mm,0mm,0mm">
                    <w:txbxContent>
                      <w:p w14:paraId="260D8FE0">
                        <w:pPr>
                          <w:jc w:val="center"/>
                          <w:rPr>
                            <w:rFonts w:eastAsiaTheme="minorEastAsia"/>
                            <w:szCs w:val="21"/>
                          </w:rPr>
                        </w:pPr>
                        <w:r>
                          <w:rPr>
                            <w:rFonts w:hint="eastAsia" w:hAnsiTheme="minorEastAsia" w:eastAsiaTheme="minorEastAsia"/>
                            <w:szCs w:val="21"/>
                          </w:rPr>
                          <w:t>0.32</w:t>
                        </w:r>
                      </w:p>
                    </w:txbxContent>
                  </v:textbox>
                </v:shape>
                <v:shape id="_x0000_s1026" o:spid="_x0000_s1026" o:spt="202" type="#_x0000_t202" style="position:absolute;left:2743200;top:0;height:457835;width:695325;v-text-anchor:middle;" filled="f" stroked="f" coordsize="21600,21600" o:gfxdata="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NWI+TXAAAABQEAAA8AAAAAAAAAAQAgAAAAIgAAAGRycy9kb3ducmV2LnhtbFBLAQIUABQAAAAI&#10;AIdO4kCAqrus7gEAAMkDAAAOAAAAAAAAAAEAIAAAACYBAABkcnMvZTJvRG9jLnhtbFBLBQYAAAAA&#10;BgAGAFkBAACGBQAAAAA=&#10;">
                  <v:fill on="f" focussize="0,0"/>
                  <v:stroke on="f" weight="0.25pt"/>
                  <v:imagedata o:title=""/>
                  <o:lock v:ext="edit" aspectratio="t"/>
                  <v:textbox inset="0mm,0mm,0mm,0mm">
                    <w:txbxContent>
                      <w:p w14:paraId="7153144A">
                        <w:pPr>
                          <w:jc w:val="center"/>
                          <w:rPr>
                            <w:rFonts w:asciiTheme="minorEastAsia" w:hAnsiTheme="minorEastAsia" w:eastAsiaTheme="minorEastAsia"/>
                            <w:szCs w:val="21"/>
                          </w:rPr>
                        </w:pPr>
                        <w:r>
                          <w:rPr>
                            <w:rFonts w:hint="eastAsia" w:asciiTheme="minorEastAsia" w:hAnsiTheme="minorEastAsia" w:eastAsiaTheme="minorEastAsia"/>
                            <w:szCs w:val="21"/>
                          </w:rPr>
                          <w:t>洗漱废水</w:t>
                        </w:r>
                      </w:p>
                      <w:p w14:paraId="561672E3">
                        <w:pPr>
                          <w:jc w:val="center"/>
                          <w:rPr>
                            <w:rFonts w:asciiTheme="minorEastAsia" w:hAnsiTheme="minorEastAsia" w:eastAsiaTheme="minorEastAsia"/>
                            <w:szCs w:val="21"/>
                          </w:rPr>
                        </w:pPr>
                        <w:r>
                          <w:rPr>
                            <w:rFonts w:hint="eastAsia" w:asciiTheme="minorEastAsia" w:hAnsiTheme="minorEastAsia" w:eastAsiaTheme="minorEastAsia"/>
                            <w:szCs w:val="21"/>
                          </w:rPr>
                          <w:t>厨房废水</w:t>
                        </w:r>
                      </w:p>
                    </w:txbxContent>
                  </v:textbox>
                </v:shape>
                <w10:wrap type="none"/>
                <w10:anchorlock/>
              </v:group>
            </w:pict>
          </mc:Fallback>
        </mc:AlternateContent>
      </w:r>
    </w:p>
    <w:p w14:paraId="122733B8">
      <w:pPr>
        <w:pStyle w:val="45"/>
        <w:bidi w:val="0"/>
      </w:pPr>
      <w:r>
        <w:t>图</w:t>
      </w:r>
      <w:r>
        <w:rPr>
          <w:rFonts w:hint="eastAsia"/>
          <w:lang w:val="en-US" w:eastAsia="zh-CN"/>
        </w:rPr>
        <w:t>2.3-2</w:t>
      </w:r>
      <w:r>
        <w:t>项目水平衡图</w:t>
      </w:r>
    </w:p>
    <w:p w14:paraId="7C66C86D">
      <w:pPr>
        <w:pStyle w:val="5"/>
        <w:bidi w:val="0"/>
        <w:ind w:left="864" w:leftChars="0" w:hanging="864" w:firstLineChars="0"/>
      </w:pPr>
      <w:r>
        <w:t>声污染源分析</w:t>
      </w:r>
    </w:p>
    <w:p w14:paraId="07F6D7C6">
      <w:pPr>
        <w:pStyle w:val="41"/>
        <w:bidi w:val="0"/>
      </w:pPr>
      <w:r>
        <w:rPr>
          <w:rFonts w:hint="eastAsia"/>
        </w:rPr>
        <w:t>项目运营期产生的噪声主要包括爆破噪声、设备噪声、交通噪声及社会噪声。</w:t>
      </w:r>
    </w:p>
    <w:p w14:paraId="4090C455">
      <w:pPr>
        <w:pStyle w:val="41"/>
        <w:bidi w:val="0"/>
        <w:rPr>
          <w:b/>
          <w:bCs/>
        </w:rPr>
      </w:pPr>
      <w:r>
        <w:rPr>
          <w:rFonts w:hint="eastAsia"/>
          <w:b/>
          <w:bCs/>
        </w:rPr>
        <w:t>（1）爆破噪声</w:t>
      </w:r>
    </w:p>
    <w:p w14:paraId="4B35A174">
      <w:pPr>
        <w:pStyle w:val="41"/>
        <w:bidi w:val="0"/>
      </w:pPr>
      <w:r>
        <w:rPr>
          <w:rFonts w:hint="eastAsia"/>
        </w:rPr>
        <w:t>项目区</w:t>
      </w:r>
      <w:r>
        <w:t>大噪声主要</w:t>
      </w:r>
      <w:r>
        <w:rPr>
          <w:rFonts w:hint="eastAsia"/>
          <w:lang w:eastAsia="zh-CN"/>
        </w:rPr>
        <w:t>来自</w:t>
      </w:r>
      <w:r>
        <w:t>爆破，它能引起周围地面振动，在一定范围内使建筑物的寿命缩短。爆破噪声为突发性，源强为100</w:t>
      </w:r>
      <w:r>
        <w:rPr>
          <w:rFonts w:hint="eastAsia"/>
        </w:rPr>
        <w:t>~</w:t>
      </w:r>
      <w:r>
        <w:t>120dB(A</w:t>
      </w:r>
      <w:r>
        <w:rPr>
          <w:rFonts w:hint="eastAsia"/>
          <w:lang w:eastAsia="zh-CN"/>
        </w:rPr>
        <w:t>）</w:t>
      </w:r>
      <w:r>
        <w:t>。</w:t>
      </w:r>
    </w:p>
    <w:p w14:paraId="08121CA9">
      <w:pPr>
        <w:pStyle w:val="41"/>
        <w:bidi w:val="0"/>
        <w:rPr>
          <w:b/>
          <w:bCs/>
        </w:rPr>
      </w:pPr>
      <w:r>
        <w:rPr>
          <w:rFonts w:hint="eastAsia"/>
          <w:b/>
          <w:bCs/>
        </w:rPr>
        <w:t>（2）设备噪声</w:t>
      </w:r>
    </w:p>
    <w:p w14:paraId="46E7A1CC">
      <w:pPr>
        <w:pStyle w:val="41"/>
        <w:bidi w:val="0"/>
      </w:pPr>
      <w:r>
        <w:rPr>
          <w:rFonts w:hint="eastAsia"/>
        </w:rPr>
        <w:t>本项目产生噪声的设备主要有破碎机、空压机、潜孔钻机、凿岩机、挖掘机、转载机等，其噪声量在80~95</w:t>
      </w:r>
      <w:r>
        <w:t>dB（A）</w:t>
      </w:r>
      <w:r>
        <w:rPr>
          <w:rFonts w:hint="eastAsia"/>
        </w:rPr>
        <w:t>之间。</w:t>
      </w:r>
    </w:p>
    <w:p w14:paraId="071017DC">
      <w:pPr>
        <w:pStyle w:val="41"/>
        <w:bidi w:val="0"/>
        <w:rPr>
          <w:b/>
          <w:bCs/>
        </w:rPr>
      </w:pPr>
      <w:r>
        <w:rPr>
          <w:rFonts w:hint="eastAsia"/>
          <w:b/>
          <w:bCs/>
        </w:rPr>
        <w:t>（3）交通噪声</w:t>
      </w:r>
    </w:p>
    <w:p w14:paraId="602B4ECB">
      <w:pPr>
        <w:pStyle w:val="41"/>
        <w:bidi w:val="0"/>
      </w:pPr>
      <w:r>
        <w:rPr>
          <w:rFonts w:hint="eastAsia"/>
        </w:rPr>
        <w:t>进出厂区的运输车辆产生的车辆</w:t>
      </w:r>
      <w:r>
        <w:t>噪声</w:t>
      </w:r>
      <w:r>
        <w:rPr>
          <w:rFonts w:hint="eastAsia"/>
        </w:rPr>
        <w:t>，属于交通噪声，声压级在</w:t>
      </w:r>
      <w:r>
        <w:t>7</w:t>
      </w:r>
      <w:r>
        <w:rPr>
          <w:rFonts w:hint="eastAsia"/>
        </w:rPr>
        <w:t>0</w:t>
      </w:r>
      <w:r>
        <w:t>～</w:t>
      </w:r>
      <w:r>
        <w:rPr>
          <w:rFonts w:hint="eastAsia"/>
        </w:rPr>
        <w:t>75</w:t>
      </w:r>
      <w:r>
        <w:t>dB（A）</w:t>
      </w:r>
      <w:r>
        <w:rPr>
          <w:rFonts w:hint="eastAsia"/>
        </w:rPr>
        <w:t>之间。</w:t>
      </w:r>
    </w:p>
    <w:p w14:paraId="4B7C199C">
      <w:pPr>
        <w:pStyle w:val="41"/>
        <w:bidi w:val="0"/>
        <w:rPr>
          <w:b/>
          <w:bCs/>
        </w:rPr>
      </w:pPr>
      <w:r>
        <w:rPr>
          <w:rFonts w:hint="eastAsia"/>
          <w:b/>
          <w:bCs/>
        </w:rPr>
        <w:t>（4）社会噪声</w:t>
      </w:r>
    </w:p>
    <w:p w14:paraId="1576CCA3">
      <w:pPr>
        <w:pStyle w:val="41"/>
        <w:bidi w:val="0"/>
      </w:pPr>
      <w:r>
        <w:rPr>
          <w:rFonts w:hint="eastAsia"/>
        </w:rPr>
        <w:t>厂内工作人员日常生活产生的噪声，声压级在50</w:t>
      </w:r>
      <w:r>
        <w:t>～</w:t>
      </w:r>
      <w:r>
        <w:rPr>
          <w:rFonts w:hint="eastAsia"/>
        </w:rPr>
        <w:t>70</w:t>
      </w:r>
      <w:r>
        <w:t>dB（A）</w:t>
      </w:r>
      <w:r>
        <w:rPr>
          <w:rFonts w:hint="eastAsia"/>
        </w:rPr>
        <w:t>之间。</w:t>
      </w:r>
    </w:p>
    <w:p w14:paraId="174C8B2D">
      <w:pPr>
        <w:pStyle w:val="41"/>
        <w:bidi w:val="0"/>
        <w:rPr>
          <w:rFonts w:hint="eastAsia"/>
        </w:rPr>
      </w:pPr>
      <w:r>
        <w:rPr>
          <w:rFonts w:hint="eastAsia"/>
        </w:rPr>
        <w:t>综上所述，项目运营期噪声产生情况一览表，具体见表</w:t>
      </w:r>
      <w:r>
        <w:rPr>
          <w:rFonts w:hint="eastAsia"/>
          <w:lang w:val="en-US" w:eastAsia="zh-CN"/>
        </w:rPr>
        <w:t>2.3-3</w:t>
      </w:r>
      <w:r>
        <w:rPr>
          <w:rFonts w:hint="eastAsia"/>
        </w:rPr>
        <w:t>。</w:t>
      </w:r>
    </w:p>
    <w:p w14:paraId="0C637F8A">
      <w:pPr>
        <w:pStyle w:val="45"/>
        <w:bidi w:val="0"/>
        <w:rPr>
          <w:rFonts w:hint="eastAsia"/>
        </w:rPr>
      </w:pPr>
      <w:r>
        <w:t>表</w:t>
      </w:r>
      <w:r>
        <w:rPr>
          <w:rFonts w:hint="eastAsia"/>
          <w:lang w:val="en-US" w:eastAsia="zh-CN"/>
        </w:rPr>
        <w:t>2.3-3</w:t>
      </w:r>
      <w:r>
        <w:rPr>
          <w:rFonts w:hint="eastAsia"/>
        </w:rPr>
        <w:t>项目运营期噪声产生情况一览表</w:t>
      </w:r>
    </w:p>
    <w:tbl>
      <w:tblPr>
        <w:tblStyle w:val="34"/>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562"/>
        <w:gridCol w:w="1039"/>
        <w:gridCol w:w="1036"/>
        <w:gridCol w:w="1036"/>
        <w:gridCol w:w="1036"/>
        <w:gridCol w:w="1425"/>
      </w:tblGrid>
      <w:tr w14:paraId="2C28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Align w:val="center"/>
          </w:tcPr>
          <w:p w14:paraId="7AD3EBFA">
            <w:pPr>
              <w:pStyle w:val="43"/>
              <w:bidi w:val="0"/>
              <w:rPr>
                <w:b/>
                <w:bCs/>
              </w:rPr>
            </w:pPr>
            <w:r>
              <w:rPr>
                <w:rFonts w:hint="eastAsia"/>
                <w:b/>
                <w:bCs/>
              </w:rPr>
              <w:t>分类</w:t>
            </w:r>
          </w:p>
        </w:tc>
        <w:tc>
          <w:tcPr>
            <w:tcW w:w="958" w:type="pct"/>
            <w:vAlign w:val="center"/>
          </w:tcPr>
          <w:p w14:paraId="7D5F73BD">
            <w:pPr>
              <w:pStyle w:val="43"/>
              <w:bidi w:val="0"/>
              <w:rPr>
                <w:b/>
                <w:bCs/>
              </w:rPr>
            </w:pPr>
            <w:r>
              <w:rPr>
                <w:b/>
                <w:bCs/>
              </w:rPr>
              <w:t>声源</w:t>
            </w:r>
          </w:p>
        </w:tc>
        <w:tc>
          <w:tcPr>
            <w:tcW w:w="636" w:type="pct"/>
            <w:tcMar>
              <w:left w:w="57" w:type="dxa"/>
              <w:right w:w="57" w:type="dxa"/>
            </w:tcMar>
            <w:vAlign w:val="center"/>
          </w:tcPr>
          <w:p w14:paraId="375D9D17">
            <w:pPr>
              <w:pStyle w:val="43"/>
              <w:bidi w:val="0"/>
              <w:rPr>
                <w:b/>
                <w:bCs/>
              </w:rPr>
            </w:pPr>
            <w:r>
              <w:rPr>
                <w:b/>
                <w:bCs/>
              </w:rPr>
              <w:t>测距</w:t>
            </w:r>
            <w:r>
              <w:rPr>
                <w:rFonts w:hint="eastAsia"/>
                <w:b/>
                <w:bCs/>
              </w:rPr>
              <w:t>（</w:t>
            </w:r>
            <w:r>
              <w:rPr>
                <w:b/>
                <w:bCs/>
              </w:rPr>
              <w:t>m</w:t>
            </w:r>
            <w:r>
              <w:rPr>
                <w:rFonts w:hint="eastAsia"/>
                <w:b/>
                <w:bCs/>
              </w:rPr>
              <w:t>）</w:t>
            </w:r>
          </w:p>
        </w:tc>
        <w:tc>
          <w:tcPr>
            <w:tcW w:w="635" w:type="pct"/>
            <w:tcMar>
              <w:left w:w="57" w:type="dxa"/>
              <w:right w:w="57" w:type="dxa"/>
            </w:tcMar>
            <w:vAlign w:val="center"/>
          </w:tcPr>
          <w:p w14:paraId="577998C4">
            <w:pPr>
              <w:pStyle w:val="43"/>
              <w:bidi w:val="0"/>
              <w:rPr>
                <w:b/>
                <w:bCs/>
              </w:rPr>
            </w:pPr>
            <w:r>
              <w:rPr>
                <w:b/>
                <w:bCs/>
              </w:rPr>
              <w:t>数量（台）</w:t>
            </w:r>
          </w:p>
        </w:tc>
        <w:tc>
          <w:tcPr>
            <w:tcW w:w="635" w:type="pct"/>
            <w:tcMar>
              <w:left w:w="28" w:type="dxa"/>
              <w:right w:w="28" w:type="dxa"/>
            </w:tcMar>
            <w:vAlign w:val="center"/>
          </w:tcPr>
          <w:p w14:paraId="6104FC2B">
            <w:pPr>
              <w:pStyle w:val="43"/>
              <w:bidi w:val="0"/>
              <w:rPr>
                <w:b/>
                <w:bCs/>
              </w:rPr>
            </w:pPr>
            <w:r>
              <w:rPr>
                <w:b/>
                <w:bCs/>
              </w:rPr>
              <w:t>噪声值dB(A)</w:t>
            </w:r>
          </w:p>
        </w:tc>
        <w:tc>
          <w:tcPr>
            <w:tcW w:w="635" w:type="pct"/>
            <w:tcMar>
              <w:left w:w="28" w:type="dxa"/>
              <w:right w:w="28" w:type="dxa"/>
            </w:tcMar>
            <w:vAlign w:val="center"/>
          </w:tcPr>
          <w:p w14:paraId="0D1A1CD7">
            <w:pPr>
              <w:pStyle w:val="43"/>
              <w:bidi w:val="0"/>
              <w:rPr>
                <w:b/>
                <w:bCs/>
              </w:rPr>
            </w:pPr>
            <w:r>
              <w:rPr>
                <w:rFonts w:hint="eastAsia"/>
                <w:b/>
                <w:bCs/>
              </w:rPr>
              <w:t>叠加值</w:t>
            </w:r>
            <w:r>
              <w:rPr>
                <w:b/>
                <w:bCs/>
              </w:rPr>
              <w:t>dB(A)</w:t>
            </w:r>
          </w:p>
        </w:tc>
        <w:tc>
          <w:tcPr>
            <w:tcW w:w="874" w:type="pct"/>
            <w:vAlign w:val="center"/>
          </w:tcPr>
          <w:p w14:paraId="230EA9B4">
            <w:pPr>
              <w:pStyle w:val="43"/>
              <w:bidi w:val="0"/>
              <w:rPr>
                <w:b/>
                <w:bCs/>
              </w:rPr>
            </w:pPr>
            <w:r>
              <w:rPr>
                <w:rFonts w:hint="eastAsia"/>
                <w:b/>
                <w:bCs/>
              </w:rPr>
              <w:t>备注</w:t>
            </w:r>
          </w:p>
        </w:tc>
      </w:tr>
      <w:tr w14:paraId="1883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Merge w:val="restart"/>
            <w:vAlign w:val="center"/>
          </w:tcPr>
          <w:p w14:paraId="45D3B43B">
            <w:pPr>
              <w:pStyle w:val="43"/>
              <w:bidi w:val="0"/>
            </w:pPr>
            <w:r>
              <w:rPr>
                <w:rFonts w:hint="eastAsia"/>
              </w:rPr>
              <w:t>设备噪声</w:t>
            </w:r>
          </w:p>
        </w:tc>
        <w:tc>
          <w:tcPr>
            <w:tcW w:w="958" w:type="pct"/>
            <w:vAlign w:val="center"/>
          </w:tcPr>
          <w:p w14:paraId="66F7B0F6">
            <w:pPr>
              <w:pStyle w:val="43"/>
              <w:bidi w:val="0"/>
            </w:pPr>
            <w:r>
              <w:rPr>
                <w:rFonts w:hint="eastAsia"/>
              </w:rPr>
              <w:t>破碎机</w:t>
            </w:r>
          </w:p>
        </w:tc>
        <w:tc>
          <w:tcPr>
            <w:tcW w:w="636" w:type="pct"/>
            <w:vAlign w:val="center"/>
          </w:tcPr>
          <w:p w14:paraId="55DEF73C">
            <w:pPr>
              <w:pStyle w:val="43"/>
              <w:bidi w:val="0"/>
            </w:pPr>
            <w:r>
              <w:rPr>
                <w:rFonts w:hint="eastAsia"/>
              </w:rPr>
              <w:t>1</w:t>
            </w:r>
          </w:p>
        </w:tc>
        <w:tc>
          <w:tcPr>
            <w:tcW w:w="635" w:type="pct"/>
            <w:vAlign w:val="center"/>
          </w:tcPr>
          <w:p w14:paraId="33625919">
            <w:pPr>
              <w:pStyle w:val="43"/>
              <w:bidi w:val="0"/>
            </w:pPr>
            <w:r>
              <w:rPr>
                <w:rFonts w:hint="eastAsia"/>
              </w:rPr>
              <w:t>1</w:t>
            </w:r>
          </w:p>
        </w:tc>
        <w:tc>
          <w:tcPr>
            <w:tcW w:w="635" w:type="pct"/>
            <w:vAlign w:val="center"/>
          </w:tcPr>
          <w:p w14:paraId="5B2A86BE">
            <w:pPr>
              <w:pStyle w:val="43"/>
              <w:bidi w:val="0"/>
            </w:pPr>
            <w:r>
              <w:rPr>
                <w:rFonts w:hint="eastAsia"/>
              </w:rPr>
              <w:t>95</w:t>
            </w:r>
          </w:p>
        </w:tc>
        <w:tc>
          <w:tcPr>
            <w:tcW w:w="635" w:type="pct"/>
            <w:vAlign w:val="center"/>
          </w:tcPr>
          <w:p w14:paraId="6E5F4C96">
            <w:pPr>
              <w:pStyle w:val="43"/>
              <w:bidi w:val="0"/>
            </w:pPr>
            <w:r>
              <w:rPr>
                <w:rFonts w:hint="eastAsia"/>
              </w:rPr>
              <w:t>95</w:t>
            </w:r>
          </w:p>
        </w:tc>
        <w:tc>
          <w:tcPr>
            <w:tcW w:w="874" w:type="pct"/>
            <w:vMerge w:val="restart"/>
            <w:vAlign w:val="center"/>
          </w:tcPr>
          <w:p w14:paraId="59CD6729">
            <w:pPr>
              <w:pStyle w:val="43"/>
              <w:bidi w:val="0"/>
            </w:pPr>
            <w:r>
              <w:rPr>
                <w:rFonts w:hint="eastAsia"/>
              </w:rPr>
              <w:t>作业时间段内其噪声的产生具有连续性</w:t>
            </w:r>
          </w:p>
        </w:tc>
      </w:tr>
      <w:tr w14:paraId="5E01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Merge w:val="continue"/>
            <w:vAlign w:val="center"/>
          </w:tcPr>
          <w:p w14:paraId="092DB29C">
            <w:pPr>
              <w:pStyle w:val="43"/>
              <w:bidi w:val="0"/>
            </w:pPr>
          </w:p>
        </w:tc>
        <w:tc>
          <w:tcPr>
            <w:tcW w:w="958" w:type="pct"/>
            <w:vAlign w:val="center"/>
          </w:tcPr>
          <w:p w14:paraId="75974412">
            <w:pPr>
              <w:pStyle w:val="43"/>
              <w:bidi w:val="0"/>
            </w:pPr>
            <w:r>
              <w:rPr>
                <w:rFonts w:hint="eastAsia"/>
              </w:rPr>
              <w:t>空压机</w:t>
            </w:r>
          </w:p>
        </w:tc>
        <w:tc>
          <w:tcPr>
            <w:tcW w:w="636" w:type="pct"/>
            <w:vAlign w:val="center"/>
          </w:tcPr>
          <w:p w14:paraId="5DED405C">
            <w:pPr>
              <w:pStyle w:val="43"/>
              <w:bidi w:val="0"/>
            </w:pPr>
            <w:r>
              <w:rPr>
                <w:rFonts w:hint="eastAsia"/>
              </w:rPr>
              <w:t>1</w:t>
            </w:r>
          </w:p>
        </w:tc>
        <w:tc>
          <w:tcPr>
            <w:tcW w:w="635" w:type="pct"/>
            <w:vAlign w:val="center"/>
          </w:tcPr>
          <w:p w14:paraId="496B37B9">
            <w:pPr>
              <w:pStyle w:val="43"/>
              <w:bidi w:val="0"/>
            </w:pPr>
            <w:r>
              <w:rPr>
                <w:rFonts w:hint="eastAsia"/>
              </w:rPr>
              <w:t>2</w:t>
            </w:r>
          </w:p>
        </w:tc>
        <w:tc>
          <w:tcPr>
            <w:tcW w:w="635" w:type="pct"/>
            <w:vAlign w:val="center"/>
          </w:tcPr>
          <w:p w14:paraId="5B5703FE">
            <w:pPr>
              <w:pStyle w:val="43"/>
              <w:bidi w:val="0"/>
            </w:pPr>
            <w:r>
              <w:rPr>
                <w:rFonts w:hint="eastAsia"/>
              </w:rPr>
              <w:t>85</w:t>
            </w:r>
          </w:p>
        </w:tc>
        <w:tc>
          <w:tcPr>
            <w:tcW w:w="635" w:type="pct"/>
            <w:vAlign w:val="center"/>
          </w:tcPr>
          <w:p w14:paraId="63C06640">
            <w:pPr>
              <w:pStyle w:val="43"/>
              <w:bidi w:val="0"/>
            </w:pPr>
            <w:r>
              <w:rPr>
                <w:rFonts w:hint="eastAsia"/>
              </w:rPr>
              <w:t>88</w:t>
            </w:r>
          </w:p>
        </w:tc>
        <w:tc>
          <w:tcPr>
            <w:tcW w:w="874" w:type="pct"/>
            <w:vMerge w:val="continue"/>
            <w:vAlign w:val="center"/>
          </w:tcPr>
          <w:p w14:paraId="4D7732E2">
            <w:pPr>
              <w:pStyle w:val="43"/>
              <w:bidi w:val="0"/>
            </w:pPr>
          </w:p>
        </w:tc>
      </w:tr>
      <w:tr w14:paraId="627C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Merge w:val="continue"/>
            <w:vAlign w:val="center"/>
          </w:tcPr>
          <w:p w14:paraId="1DB604A9">
            <w:pPr>
              <w:pStyle w:val="43"/>
              <w:bidi w:val="0"/>
            </w:pPr>
          </w:p>
        </w:tc>
        <w:tc>
          <w:tcPr>
            <w:tcW w:w="958" w:type="pct"/>
            <w:vAlign w:val="center"/>
          </w:tcPr>
          <w:p w14:paraId="36AC0FFF">
            <w:pPr>
              <w:pStyle w:val="43"/>
              <w:bidi w:val="0"/>
            </w:pPr>
            <w:r>
              <w:rPr>
                <w:rFonts w:hint="eastAsia"/>
              </w:rPr>
              <w:t>潜孔钻机</w:t>
            </w:r>
          </w:p>
        </w:tc>
        <w:tc>
          <w:tcPr>
            <w:tcW w:w="636" w:type="pct"/>
            <w:vAlign w:val="center"/>
          </w:tcPr>
          <w:p w14:paraId="53C533CF">
            <w:pPr>
              <w:pStyle w:val="43"/>
              <w:bidi w:val="0"/>
            </w:pPr>
            <w:r>
              <w:rPr>
                <w:rFonts w:hint="eastAsia"/>
              </w:rPr>
              <w:t>1</w:t>
            </w:r>
          </w:p>
        </w:tc>
        <w:tc>
          <w:tcPr>
            <w:tcW w:w="635" w:type="pct"/>
            <w:vAlign w:val="center"/>
          </w:tcPr>
          <w:p w14:paraId="6A951057">
            <w:pPr>
              <w:pStyle w:val="43"/>
              <w:bidi w:val="0"/>
            </w:pPr>
            <w:r>
              <w:rPr>
                <w:rFonts w:hint="eastAsia"/>
              </w:rPr>
              <w:t>1</w:t>
            </w:r>
          </w:p>
        </w:tc>
        <w:tc>
          <w:tcPr>
            <w:tcW w:w="635" w:type="pct"/>
            <w:vAlign w:val="center"/>
          </w:tcPr>
          <w:p w14:paraId="13AF5B66">
            <w:pPr>
              <w:pStyle w:val="43"/>
              <w:bidi w:val="0"/>
            </w:pPr>
            <w:r>
              <w:rPr>
                <w:rFonts w:hint="eastAsia"/>
              </w:rPr>
              <w:t>90</w:t>
            </w:r>
          </w:p>
        </w:tc>
        <w:tc>
          <w:tcPr>
            <w:tcW w:w="635" w:type="pct"/>
            <w:vAlign w:val="center"/>
          </w:tcPr>
          <w:p w14:paraId="799F8DEA">
            <w:pPr>
              <w:pStyle w:val="43"/>
              <w:bidi w:val="0"/>
            </w:pPr>
            <w:r>
              <w:rPr>
                <w:rFonts w:hint="eastAsia"/>
              </w:rPr>
              <w:t>90</w:t>
            </w:r>
          </w:p>
        </w:tc>
        <w:tc>
          <w:tcPr>
            <w:tcW w:w="874" w:type="pct"/>
            <w:vMerge w:val="continue"/>
            <w:vAlign w:val="center"/>
          </w:tcPr>
          <w:p w14:paraId="01BCF466">
            <w:pPr>
              <w:pStyle w:val="43"/>
              <w:bidi w:val="0"/>
            </w:pPr>
          </w:p>
        </w:tc>
      </w:tr>
      <w:tr w14:paraId="553C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Merge w:val="continue"/>
            <w:vAlign w:val="center"/>
          </w:tcPr>
          <w:p w14:paraId="4DD150FD">
            <w:pPr>
              <w:pStyle w:val="43"/>
              <w:bidi w:val="0"/>
            </w:pPr>
          </w:p>
        </w:tc>
        <w:tc>
          <w:tcPr>
            <w:tcW w:w="958" w:type="pct"/>
            <w:vAlign w:val="center"/>
          </w:tcPr>
          <w:p w14:paraId="3ADF0B6B">
            <w:pPr>
              <w:pStyle w:val="43"/>
              <w:bidi w:val="0"/>
            </w:pPr>
            <w:r>
              <w:rPr>
                <w:rFonts w:hint="eastAsia"/>
              </w:rPr>
              <w:t>凿岩机</w:t>
            </w:r>
          </w:p>
        </w:tc>
        <w:tc>
          <w:tcPr>
            <w:tcW w:w="636" w:type="pct"/>
            <w:vAlign w:val="center"/>
          </w:tcPr>
          <w:p w14:paraId="6612D9C8">
            <w:pPr>
              <w:pStyle w:val="43"/>
              <w:bidi w:val="0"/>
            </w:pPr>
            <w:r>
              <w:rPr>
                <w:rFonts w:hint="eastAsia"/>
              </w:rPr>
              <w:t>1</w:t>
            </w:r>
          </w:p>
        </w:tc>
        <w:tc>
          <w:tcPr>
            <w:tcW w:w="635" w:type="pct"/>
            <w:vAlign w:val="center"/>
          </w:tcPr>
          <w:p w14:paraId="58746F16">
            <w:pPr>
              <w:pStyle w:val="43"/>
              <w:bidi w:val="0"/>
            </w:pPr>
            <w:r>
              <w:rPr>
                <w:rFonts w:hint="eastAsia"/>
              </w:rPr>
              <w:t>1</w:t>
            </w:r>
          </w:p>
        </w:tc>
        <w:tc>
          <w:tcPr>
            <w:tcW w:w="635" w:type="pct"/>
            <w:vAlign w:val="center"/>
          </w:tcPr>
          <w:p w14:paraId="5A6DC1DE">
            <w:pPr>
              <w:pStyle w:val="43"/>
              <w:bidi w:val="0"/>
            </w:pPr>
            <w:r>
              <w:rPr>
                <w:rFonts w:hint="eastAsia"/>
              </w:rPr>
              <w:t>90</w:t>
            </w:r>
          </w:p>
        </w:tc>
        <w:tc>
          <w:tcPr>
            <w:tcW w:w="635" w:type="pct"/>
            <w:vAlign w:val="center"/>
          </w:tcPr>
          <w:p w14:paraId="201DD34D">
            <w:pPr>
              <w:pStyle w:val="43"/>
              <w:bidi w:val="0"/>
            </w:pPr>
            <w:r>
              <w:rPr>
                <w:rFonts w:hint="eastAsia"/>
              </w:rPr>
              <w:t>90</w:t>
            </w:r>
          </w:p>
        </w:tc>
        <w:tc>
          <w:tcPr>
            <w:tcW w:w="874" w:type="pct"/>
            <w:vMerge w:val="continue"/>
            <w:vAlign w:val="center"/>
          </w:tcPr>
          <w:p w14:paraId="11EE5245">
            <w:pPr>
              <w:pStyle w:val="43"/>
              <w:bidi w:val="0"/>
            </w:pPr>
          </w:p>
        </w:tc>
      </w:tr>
      <w:tr w14:paraId="6B01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Merge w:val="continue"/>
            <w:vAlign w:val="center"/>
          </w:tcPr>
          <w:p w14:paraId="53D70B4B">
            <w:pPr>
              <w:pStyle w:val="43"/>
              <w:bidi w:val="0"/>
            </w:pPr>
          </w:p>
        </w:tc>
        <w:tc>
          <w:tcPr>
            <w:tcW w:w="958" w:type="pct"/>
            <w:vAlign w:val="center"/>
          </w:tcPr>
          <w:p w14:paraId="2B19EC28">
            <w:pPr>
              <w:pStyle w:val="43"/>
              <w:bidi w:val="0"/>
            </w:pPr>
            <w:r>
              <w:rPr>
                <w:rFonts w:hint="eastAsia"/>
              </w:rPr>
              <w:t>挖掘机</w:t>
            </w:r>
          </w:p>
        </w:tc>
        <w:tc>
          <w:tcPr>
            <w:tcW w:w="636" w:type="pct"/>
            <w:vAlign w:val="center"/>
          </w:tcPr>
          <w:p w14:paraId="7B69147F">
            <w:pPr>
              <w:pStyle w:val="43"/>
              <w:bidi w:val="0"/>
            </w:pPr>
            <w:r>
              <w:rPr>
                <w:rFonts w:hint="eastAsia"/>
              </w:rPr>
              <w:t>1</w:t>
            </w:r>
          </w:p>
        </w:tc>
        <w:tc>
          <w:tcPr>
            <w:tcW w:w="635" w:type="pct"/>
            <w:vAlign w:val="center"/>
          </w:tcPr>
          <w:p w14:paraId="7ED2112C">
            <w:pPr>
              <w:pStyle w:val="43"/>
              <w:bidi w:val="0"/>
            </w:pPr>
            <w:r>
              <w:rPr>
                <w:rFonts w:hint="eastAsia"/>
              </w:rPr>
              <w:t>3</w:t>
            </w:r>
          </w:p>
        </w:tc>
        <w:tc>
          <w:tcPr>
            <w:tcW w:w="635" w:type="pct"/>
            <w:vAlign w:val="center"/>
          </w:tcPr>
          <w:p w14:paraId="7D988CCC">
            <w:pPr>
              <w:pStyle w:val="43"/>
              <w:bidi w:val="0"/>
            </w:pPr>
            <w:r>
              <w:rPr>
                <w:rFonts w:hint="eastAsia"/>
              </w:rPr>
              <w:t>80</w:t>
            </w:r>
          </w:p>
        </w:tc>
        <w:tc>
          <w:tcPr>
            <w:tcW w:w="635" w:type="pct"/>
            <w:vAlign w:val="center"/>
          </w:tcPr>
          <w:p w14:paraId="6FD67644">
            <w:pPr>
              <w:pStyle w:val="43"/>
              <w:bidi w:val="0"/>
            </w:pPr>
            <w:r>
              <w:rPr>
                <w:rFonts w:hint="eastAsia"/>
              </w:rPr>
              <w:t>83</w:t>
            </w:r>
          </w:p>
        </w:tc>
        <w:tc>
          <w:tcPr>
            <w:tcW w:w="874" w:type="pct"/>
            <w:vMerge w:val="continue"/>
            <w:vAlign w:val="center"/>
          </w:tcPr>
          <w:p w14:paraId="6B1D42D0">
            <w:pPr>
              <w:pStyle w:val="43"/>
              <w:bidi w:val="0"/>
            </w:pPr>
          </w:p>
        </w:tc>
      </w:tr>
      <w:tr w14:paraId="2FBC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23" w:type="pct"/>
            <w:vMerge w:val="continue"/>
            <w:vAlign w:val="center"/>
          </w:tcPr>
          <w:p w14:paraId="7859EC43">
            <w:pPr>
              <w:pStyle w:val="43"/>
              <w:bidi w:val="0"/>
            </w:pPr>
          </w:p>
        </w:tc>
        <w:tc>
          <w:tcPr>
            <w:tcW w:w="958" w:type="pct"/>
            <w:vAlign w:val="center"/>
          </w:tcPr>
          <w:p w14:paraId="4847E07F">
            <w:pPr>
              <w:pStyle w:val="43"/>
              <w:bidi w:val="0"/>
            </w:pPr>
            <w:r>
              <w:rPr>
                <w:rFonts w:hint="eastAsia"/>
              </w:rPr>
              <w:t>转载机</w:t>
            </w:r>
          </w:p>
        </w:tc>
        <w:tc>
          <w:tcPr>
            <w:tcW w:w="636" w:type="pct"/>
            <w:vAlign w:val="center"/>
          </w:tcPr>
          <w:p w14:paraId="652B6BC6">
            <w:pPr>
              <w:pStyle w:val="43"/>
              <w:bidi w:val="0"/>
            </w:pPr>
            <w:r>
              <w:rPr>
                <w:rFonts w:hint="eastAsia"/>
              </w:rPr>
              <w:t>1</w:t>
            </w:r>
          </w:p>
        </w:tc>
        <w:tc>
          <w:tcPr>
            <w:tcW w:w="635" w:type="pct"/>
            <w:vAlign w:val="center"/>
          </w:tcPr>
          <w:p w14:paraId="1E615F23">
            <w:pPr>
              <w:pStyle w:val="43"/>
              <w:bidi w:val="0"/>
            </w:pPr>
            <w:r>
              <w:rPr>
                <w:rFonts w:hint="eastAsia"/>
              </w:rPr>
              <w:t>2</w:t>
            </w:r>
          </w:p>
        </w:tc>
        <w:tc>
          <w:tcPr>
            <w:tcW w:w="635" w:type="pct"/>
            <w:vAlign w:val="center"/>
          </w:tcPr>
          <w:p w14:paraId="5823685D">
            <w:pPr>
              <w:pStyle w:val="43"/>
              <w:bidi w:val="0"/>
            </w:pPr>
            <w:r>
              <w:rPr>
                <w:rFonts w:hint="eastAsia"/>
              </w:rPr>
              <w:t>80</w:t>
            </w:r>
          </w:p>
        </w:tc>
        <w:tc>
          <w:tcPr>
            <w:tcW w:w="635" w:type="pct"/>
            <w:vAlign w:val="center"/>
          </w:tcPr>
          <w:p w14:paraId="149CCC36">
            <w:pPr>
              <w:pStyle w:val="43"/>
              <w:bidi w:val="0"/>
            </w:pPr>
            <w:r>
              <w:rPr>
                <w:rFonts w:hint="eastAsia"/>
              </w:rPr>
              <w:t>85</w:t>
            </w:r>
          </w:p>
        </w:tc>
        <w:tc>
          <w:tcPr>
            <w:tcW w:w="874" w:type="pct"/>
            <w:vMerge w:val="continue"/>
            <w:vAlign w:val="center"/>
          </w:tcPr>
          <w:p w14:paraId="65FFD49D">
            <w:pPr>
              <w:pStyle w:val="43"/>
              <w:bidi w:val="0"/>
            </w:pPr>
          </w:p>
        </w:tc>
      </w:tr>
      <w:tr w14:paraId="2A3F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Align w:val="center"/>
          </w:tcPr>
          <w:p w14:paraId="682838E7">
            <w:pPr>
              <w:pStyle w:val="43"/>
              <w:bidi w:val="0"/>
            </w:pPr>
            <w:r>
              <w:rPr>
                <w:rFonts w:hint="eastAsia"/>
              </w:rPr>
              <w:t>交通噪声</w:t>
            </w:r>
          </w:p>
        </w:tc>
        <w:tc>
          <w:tcPr>
            <w:tcW w:w="958" w:type="pct"/>
            <w:vAlign w:val="center"/>
          </w:tcPr>
          <w:p w14:paraId="5824A0C9">
            <w:pPr>
              <w:pStyle w:val="43"/>
              <w:bidi w:val="0"/>
            </w:pPr>
            <w:r>
              <w:rPr>
                <w:rFonts w:hint="eastAsia"/>
              </w:rPr>
              <w:t>原料及产品运输车辆</w:t>
            </w:r>
          </w:p>
        </w:tc>
        <w:tc>
          <w:tcPr>
            <w:tcW w:w="636" w:type="pct"/>
            <w:vAlign w:val="center"/>
          </w:tcPr>
          <w:p w14:paraId="3469A837">
            <w:pPr>
              <w:pStyle w:val="43"/>
              <w:bidi w:val="0"/>
            </w:pPr>
            <w:r>
              <w:rPr>
                <w:rFonts w:hint="eastAsia"/>
              </w:rPr>
              <w:t>1</w:t>
            </w:r>
          </w:p>
        </w:tc>
        <w:tc>
          <w:tcPr>
            <w:tcW w:w="635" w:type="pct"/>
            <w:vAlign w:val="center"/>
          </w:tcPr>
          <w:p w14:paraId="00CDC973">
            <w:pPr>
              <w:pStyle w:val="43"/>
              <w:bidi w:val="0"/>
            </w:pPr>
            <w:r>
              <w:rPr>
                <w:rFonts w:hint="eastAsia"/>
              </w:rPr>
              <w:t>-</w:t>
            </w:r>
          </w:p>
        </w:tc>
        <w:tc>
          <w:tcPr>
            <w:tcW w:w="1271" w:type="pct"/>
            <w:gridSpan w:val="2"/>
            <w:vAlign w:val="center"/>
          </w:tcPr>
          <w:p w14:paraId="5C02450F">
            <w:pPr>
              <w:pStyle w:val="43"/>
              <w:bidi w:val="0"/>
            </w:pPr>
            <w:r>
              <w:rPr>
                <w:rFonts w:hint="eastAsia"/>
              </w:rPr>
              <w:t>在</w:t>
            </w:r>
            <w:r>
              <w:t>7</w:t>
            </w:r>
            <w:r>
              <w:rPr>
                <w:rFonts w:hint="eastAsia"/>
              </w:rPr>
              <w:t>0</w:t>
            </w:r>
            <w:r>
              <w:t>～</w:t>
            </w:r>
            <w:r>
              <w:rPr>
                <w:rFonts w:hint="eastAsia"/>
              </w:rPr>
              <w:t>75dB（A）之间</w:t>
            </w:r>
          </w:p>
        </w:tc>
        <w:tc>
          <w:tcPr>
            <w:tcW w:w="874" w:type="pct"/>
            <w:vAlign w:val="center"/>
          </w:tcPr>
          <w:p w14:paraId="5ED8E086">
            <w:pPr>
              <w:pStyle w:val="43"/>
              <w:bidi w:val="0"/>
            </w:pPr>
            <w:r>
              <w:rPr>
                <w:rFonts w:hint="eastAsia"/>
              </w:rPr>
              <w:t>车辆噪声的产生具有间断性</w:t>
            </w:r>
          </w:p>
        </w:tc>
      </w:tr>
      <w:tr w14:paraId="0265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Align w:val="center"/>
          </w:tcPr>
          <w:p w14:paraId="719F8F6A">
            <w:pPr>
              <w:pStyle w:val="43"/>
              <w:bidi w:val="0"/>
            </w:pPr>
            <w:r>
              <w:rPr>
                <w:rFonts w:hint="eastAsia"/>
              </w:rPr>
              <w:t>社会噪声</w:t>
            </w:r>
          </w:p>
        </w:tc>
        <w:tc>
          <w:tcPr>
            <w:tcW w:w="2230" w:type="pct"/>
            <w:gridSpan w:val="3"/>
            <w:vAlign w:val="center"/>
          </w:tcPr>
          <w:p w14:paraId="21765B7A">
            <w:pPr>
              <w:pStyle w:val="43"/>
              <w:bidi w:val="0"/>
            </w:pPr>
            <w:r>
              <w:rPr>
                <w:rFonts w:hint="eastAsia"/>
              </w:rPr>
              <w:t>场区工作人员日常生活产生的噪声</w:t>
            </w:r>
          </w:p>
        </w:tc>
        <w:tc>
          <w:tcPr>
            <w:tcW w:w="1271" w:type="pct"/>
            <w:gridSpan w:val="2"/>
            <w:vAlign w:val="center"/>
          </w:tcPr>
          <w:p w14:paraId="0B0CADD7">
            <w:pPr>
              <w:pStyle w:val="43"/>
              <w:bidi w:val="0"/>
            </w:pPr>
            <w:r>
              <w:rPr>
                <w:rFonts w:hint="eastAsia"/>
              </w:rPr>
              <w:t>在</w:t>
            </w:r>
            <w:r>
              <w:t>50～70</w:t>
            </w:r>
            <w:r>
              <w:rPr>
                <w:rFonts w:hint="eastAsia"/>
              </w:rPr>
              <w:t>dB（A）之间</w:t>
            </w:r>
          </w:p>
        </w:tc>
        <w:tc>
          <w:tcPr>
            <w:tcW w:w="874" w:type="pct"/>
            <w:vAlign w:val="center"/>
          </w:tcPr>
          <w:p w14:paraId="79DE075D">
            <w:pPr>
              <w:pStyle w:val="43"/>
              <w:bidi w:val="0"/>
            </w:pPr>
            <w:r>
              <w:rPr>
                <w:rFonts w:hint="eastAsia"/>
              </w:rPr>
              <w:t>-</w:t>
            </w:r>
          </w:p>
        </w:tc>
      </w:tr>
      <w:tr w14:paraId="4FE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3" w:type="pct"/>
            <w:vAlign w:val="center"/>
          </w:tcPr>
          <w:p w14:paraId="7ED61551">
            <w:pPr>
              <w:pStyle w:val="43"/>
              <w:bidi w:val="0"/>
            </w:pPr>
            <w:r>
              <w:rPr>
                <w:rFonts w:hint="eastAsia"/>
              </w:rPr>
              <w:t>爆破噪声</w:t>
            </w:r>
          </w:p>
        </w:tc>
        <w:tc>
          <w:tcPr>
            <w:tcW w:w="2230" w:type="pct"/>
            <w:gridSpan w:val="3"/>
            <w:vAlign w:val="center"/>
          </w:tcPr>
          <w:p w14:paraId="72652852">
            <w:pPr>
              <w:pStyle w:val="43"/>
              <w:bidi w:val="0"/>
            </w:pPr>
            <w:r>
              <w:rPr>
                <w:rFonts w:hint="eastAsia"/>
              </w:rPr>
              <w:t>项目爆破过</w:t>
            </w:r>
            <w:r>
              <w:rPr>
                <w:rFonts w:hint="eastAsia"/>
                <w:lang w:eastAsia="zh-CN"/>
              </w:rPr>
              <w:t>程中</w:t>
            </w:r>
            <w:r>
              <w:rPr>
                <w:rFonts w:hint="eastAsia"/>
              </w:rPr>
              <w:t>产生的噪声</w:t>
            </w:r>
          </w:p>
        </w:tc>
        <w:tc>
          <w:tcPr>
            <w:tcW w:w="1271" w:type="pct"/>
            <w:gridSpan w:val="2"/>
            <w:vAlign w:val="center"/>
          </w:tcPr>
          <w:p w14:paraId="4F878CEC">
            <w:pPr>
              <w:pStyle w:val="43"/>
              <w:bidi w:val="0"/>
            </w:pPr>
            <w:r>
              <w:rPr>
                <w:rFonts w:hint="eastAsia"/>
              </w:rPr>
              <w:t>在</w:t>
            </w:r>
            <w:r>
              <w:t>100</w:t>
            </w:r>
            <w:r>
              <w:rPr>
                <w:rFonts w:hint="eastAsia"/>
              </w:rPr>
              <w:t>~</w:t>
            </w:r>
            <w:r>
              <w:t>120dB(A</w:t>
            </w:r>
            <w:r>
              <w:rPr>
                <w:rFonts w:hint="eastAsia"/>
                <w:lang w:eastAsia="zh-CN"/>
              </w:rPr>
              <w:t>）</w:t>
            </w:r>
            <w:r>
              <w:rPr>
                <w:rFonts w:hint="eastAsia"/>
              </w:rPr>
              <w:t>之间</w:t>
            </w:r>
          </w:p>
        </w:tc>
        <w:tc>
          <w:tcPr>
            <w:tcW w:w="874" w:type="pct"/>
            <w:vAlign w:val="center"/>
          </w:tcPr>
          <w:p w14:paraId="29FE5EA5">
            <w:pPr>
              <w:pStyle w:val="43"/>
              <w:bidi w:val="0"/>
            </w:pPr>
            <w:r>
              <w:rPr>
                <w:rFonts w:hint="eastAsia"/>
              </w:rPr>
              <w:t>-</w:t>
            </w:r>
          </w:p>
        </w:tc>
      </w:tr>
    </w:tbl>
    <w:p w14:paraId="67A747C4">
      <w:pPr>
        <w:pStyle w:val="41"/>
        <w:bidi w:val="0"/>
        <w:rPr>
          <w:b/>
          <w:bCs/>
        </w:rPr>
      </w:pPr>
      <w:r>
        <w:rPr>
          <w:rFonts w:hint="eastAsia"/>
          <w:b/>
          <w:bCs/>
        </w:rPr>
        <w:t>（5）振动</w:t>
      </w:r>
    </w:p>
    <w:p w14:paraId="74E37CEF">
      <w:pPr>
        <w:pStyle w:val="41"/>
        <w:bidi w:val="0"/>
      </w:pPr>
      <w:r>
        <w:t>项目爆破及生产加工时会产生振动。爆破作用在振动区内所引起的振动强烈程度，随着一次爆破炸药量的多少而不同，本项目进行小爆破产生的影响也不大，大功率机械设备运行会对周边地面产生一定强度的冲击，引起中低频振动。</w:t>
      </w:r>
    </w:p>
    <w:p w14:paraId="08A39583">
      <w:pPr>
        <w:pStyle w:val="5"/>
        <w:bidi w:val="0"/>
        <w:ind w:left="864" w:leftChars="0" w:hanging="864" w:firstLineChars="0"/>
      </w:pPr>
      <w:r>
        <w:t>固体废物污染源</w:t>
      </w:r>
    </w:p>
    <w:p w14:paraId="76CD052B">
      <w:pPr>
        <w:pStyle w:val="41"/>
        <w:bidi w:val="0"/>
      </w:pPr>
      <w:r>
        <w:rPr>
          <w:rFonts w:hint="eastAsia"/>
        </w:rPr>
        <w:t>项目固体废弃物主要来源于项目在开采过程中产生的剥离废土石、项目工作人员的生活垃圾、机械维修产生的废机油、初期雨水收集池底泥等。</w:t>
      </w:r>
    </w:p>
    <w:p w14:paraId="70A5B424">
      <w:pPr>
        <w:pStyle w:val="41"/>
        <w:bidi w:val="0"/>
        <w:rPr>
          <w:b/>
          <w:bCs/>
        </w:rPr>
      </w:pPr>
      <w:r>
        <w:rPr>
          <w:rFonts w:hint="eastAsia"/>
          <w:b/>
          <w:bCs/>
        </w:rPr>
        <w:t>（1）剥离废土石</w:t>
      </w:r>
    </w:p>
    <w:p w14:paraId="130A5D55">
      <w:pPr>
        <w:pStyle w:val="41"/>
        <w:bidi w:val="0"/>
      </w:pPr>
      <w:r>
        <w:rPr>
          <w:rFonts w:hint="eastAsia"/>
        </w:rPr>
        <w:t>项目年开采量为</w:t>
      </w:r>
      <w:r>
        <w:rPr>
          <w:rFonts w:hint="eastAsia"/>
          <w:lang w:val="en-US" w:eastAsia="zh-CN"/>
        </w:rPr>
        <w:t>2</w:t>
      </w:r>
      <w:r>
        <w:rPr>
          <w:rFonts w:hint="eastAsia"/>
        </w:rPr>
        <w:t>0万t/a，项目在矿石开采过程中会产生剥离废土石，项目在矿石开采过程中产生的废土石约为</w:t>
      </w:r>
      <w:r>
        <w:rPr>
          <w:rFonts w:hint="eastAsia"/>
          <w:lang w:val="en-US" w:eastAsia="zh-CN"/>
        </w:rPr>
        <w:t>288</w:t>
      </w:r>
      <w:r>
        <w:rPr>
          <w:rFonts w:hint="eastAsia"/>
        </w:rPr>
        <w:t>00t/a。这部分废土石送至位于矿山东面</w:t>
      </w:r>
      <w:r>
        <w:t>后山洼</w:t>
      </w:r>
      <w:r>
        <w:rPr>
          <w:rFonts w:hint="eastAsia"/>
        </w:rPr>
        <w:t>的废土场堆存</w:t>
      </w:r>
      <w:r>
        <w:rPr>
          <w:rFonts w:hint="eastAsia"/>
          <w:lang w:val="en-US" w:eastAsia="zh-CN"/>
        </w:rPr>
        <w:t>后用于场地植被恢复及低洼处回填</w:t>
      </w:r>
      <w:r>
        <w:rPr>
          <w:rFonts w:hint="eastAsia"/>
        </w:rPr>
        <w:t>。废土场依托云南普阳煤化工有限责任公司砚山县红舍克东山石灰岩矿1号矿区的废土场。</w:t>
      </w:r>
    </w:p>
    <w:p w14:paraId="15054923">
      <w:pPr>
        <w:pStyle w:val="41"/>
        <w:bidi w:val="0"/>
        <w:rPr>
          <w:b/>
          <w:bCs/>
        </w:rPr>
      </w:pPr>
      <w:r>
        <w:rPr>
          <w:rFonts w:hint="eastAsia"/>
          <w:b/>
          <w:bCs/>
        </w:rPr>
        <w:t>（2）</w:t>
      </w:r>
      <w:r>
        <w:rPr>
          <w:b/>
          <w:bCs/>
        </w:rPr>
        <w:t>生活垃圾</w:t>
      </w:r>
      <w:r>
        <w:rPr>
          <w:b/>
          <w:bCs/>
        </w:rPr>
        <w:tab/>
      </w:r>
    </w:p>
    <w:p w14:paraId="2FBC689C">
      <w:pPr>
        <w:pStyle w:val="41"/>
        <w:bidi w:val="0"/>
      </w:pPr>
      <w:r>
        <w:t>项目运营期工作人员为</w:t>
      </w:r>
      <w:r>
        <w:rPr>
          <w:rFonts w:hint="eastAsia"/>
        </w:rPr>
        <w:t>20</w:t>
      </w:r>
      <w:r>
        <w:t>人，</w:t>
      </w:r>
      <w:r>
        <w:rPr>
          <w:rFonts w:hint="eastAsia"/>
        </w:rPr>
        <w:t>均在厂区内食宿。在厂区内食宿的生活垃圾产生系数按1.0kg/d计算，则项目运营期生活垃圾产生量为20kg/d，6.0t/a。这部分生活垃圾集中收集后清运至云南普阳煤化工有限责任公司垃圾收集点，与云南普阳煤化工有限责任公司生活垃圾一同处理。</w:t>
      </w:r>
    </w:p>
    <w:p w14:paraId="62284AD5">
      <w:pPr>
        <w:pStyle w:val="41"/>
        <w:bidi w:val="0"/>
        <w:rPr>
          <w:b/>
          <w:bCs/>
        </w:rPr>
      </w:pPr>
      <w:r>
        <w:rPr>
          <w:rFonts w:hint="eastAsia"/>
          <w:b/>
          <w:bCs/>
        </w:rPr>
        <w:t>（3）危险废物</w:t>
      </w:r>
    </w:p>
    <w:p w14:paraId="626788C6">
      <w:pPr>
        <w:pStyle w:val="41"/>
        <w:bidi w:val="0"/>
      </w:pPr>
      <w:r>
        <w:rPr>
          <w:rFonts w:hint="eastAsia"/>
        </w:rPr>
        <w:t>根据业主提供资料，项目在机械设备（如挖掘机、装载机、破碎机、汽车等）维修保养过</w:t>
      </w:r>
      <w:r>
        <w:rPr>
          <w:rFonts w:hint="eastAsia"/>
          <w:lang w:eastAsia="zh-CN"/>
        </w:rPr>
        <w:t>程中</w:t>
      </w:r>
      <w:r>
        <w:rPr>
          <w:rFonts w:hint="eastAsia"/>
        </w:rPr>
        <w:t>会产生一定量的废机油，其产生量约为100kg/a；设备检修保养过</w:t>
      </w:r>
      <w:r>
        <w:rPr>
          <w:rFonts w:hint="eastAsia"/>
          <w:lang w:eastAsia="zh-CN"/>
        </w:rPr>
        <w:t>程中</w:t>
      </w:r>
      <w:r>
        <w:rPr>
          <w:rFonts w:hint="eastAsia"/>
        </w:rPr>
        <w:t>产生的废机油属</w:t>
      </w:r>
      <w:r>
        <w:t>《国家危险废物名录》</w:t>
      </w:r>
      <w:r>
        <w:rPr>
          <w:rFonts w:hint="eastAsia"/>
        </w:rPr>
        <w:t>（</w:t>
      </w:r>
      <w:r>
        <w:rPr>
          <w:rFonts w:hint="eastAsia"/>
          <w:lang w:val="en-US" w:eastAsia="zh-CN"/>
        </w:rPr>
        <w:t>2025年</w:t>
      </w:r>
      <w:r>
        <w:rPr>
          <w:rFonts w:hint="eastAsia"/>
        </w:rPr>
        <w:t>）HW08废矿物油与含矿物油废物类危废（废物代码为900-214-08）。</w:t>
      </w:r>
    </w:p>
    <w:p w14:paraId="112E72C8">
      <w:pPr>
        <w:pStyle w:val="41"/>
        <w:bidi w:val="0"/>
        <w:rPr>
          <w:b/>
          <w:bCs/>
        </w:rPr>
      </w:pPr>
      <w:r>
        <w:rPr>
          <w:rFonts w:hint="eastAsia"/>
          <w:b/>
          <w:bCs/>
        </w:rPr>
        <w:t>（4）初期雨水收集池底泥</w:t>
      </w:r>
    </w:p>
    <w:p w14:paraId="162AE379">
      <w:pPr>
        <w:pStyle w:val="41"/>
        <w:bidi w:val="0"/>
        <w:rPr>
          <w:rFonts w:hint="default"/>
          <w:lang w:val="en-US" w:eastAsia="zh-CN"/>
        </w:rPr>
      </w:pPr>
      <w:r>
        <w:rPr>
          <w:rFonts w:hint="eastAsia"/>
        </w:rPr>
        <w:t>根据上述分析，项目初期雨水由排水沟收集，经初期雨水收集池处理后，用于厂区洒水降尘及生产用水，其中，初期雨水收集池会产生底泥。根据类比同类分析，项目初期雨水收集池产生的底泥量约为10t/a。这部分底泥定期清掏后，用作项目场区低洼处回填</w:t>
      </w:r>
      <w:r>
        <w:t>。</w:t>
      </w:r>
    </w:p>
    <w:p w14:paraId="7F5DCDA6">
      <w:pPr>
        <w:pStyle w:val="3"/>
        <w:bidi w:val="0"/>
        <w:ind w:left="575" w:leftChars="0" w:hanging="575" w:firstLineChars="0"/>
      </w:pPr>
      <w:bookmarkStart w:id="141" w:name="_Toc15874"/>
      <w:r>
        <w:rPr>
          <w:rFonts w:hint="eastAsia"/>
          <w:lang w:val="en-US" w:eastAsia="zh-CN"/>
        </w:rPr>
        <w:t>原项目</w:t>
      </w:r>
      <w:r>
        <w:t>存在的主要环境问题及“以新带老”措施</w:t>
      </w:r>
      <w:bookmarkEnd w:id="141"/>
    </w:p>
    <w:p w14:paraId="64235C3F">
      <w:pPr>
        <w:pStyle w:val="4"/>
        <w:bidi w:val="0"/>
        <w:rPr>
          <w:rFonts w:hint="default"/>
          <w:lang w:val="en-US" w:eastAsia="zh-CN"/>
        </w:rPr>
      </w:pPr>
      <w:bookmarkStart w:id="142" w:name="_Toc15094"/>
      <w:r>
        <w:rPr>
          <w:rFonts w:hint="eastAsia"/>
          <w:lang w:val="en-US" w:eastAsia="zh-CN"/>
        </w:rPr>
        <w:t>存在问题</w:t>
      </w:r>
      <w:bookmarkEnd w:id="142"/>
    </w:p>
    <w:p w14:paraId="761CE763">
      <w:pPr>
        <w:pStyle w:val="41"/>
        <w:bidi w:val="0"/>
        <w:rPr>
          <w:rFonts w:hint="default"/>
          <w:lang w:val="en-US"/>
        </w:rPr>
      </w:pPr>
      <w:r>
        <w:rPr>
          <w:rFonts w:hint="eastAsia"/>
          <w:lang w:val="en-US" w:eastAsia="zh-CN"/>
        </w:rPr>
        <w:t>根据现场踏勘，项目存在的主要环保问题：</w:t>
      </w:r>
      <w:r>
        <w:rPr>
          <w:lang w:val="en-US" w:eastAsia="zh-CN"/>
        </w:rPr>
        <w:t>弃土废渣露天堆放未全覆盖；生产区域密闭、喷淋抑尘设施不完善，废气无组织排放影响周边大气环境。</w:t>
      </w:r>
      <w:r>
        <w:rPr>
          <w:rFonts w:hint="eastAsia"/>
          <w:lang w:val="en-US" w:eastAsia="zh-CN"/>
        </w:rPr>
        <w:t>场区截排水设施不完善，初期雨水沉淀池容积较小，生态恢复情况不完善。</w:t>
      </w:r>
    </w:p>
    <w:p w14:paraId="16A6FE86">
      <w:pPr>
        <w:pStyle w:val="4"/>
        <w:bidi w:val="0"/>
        <w:rPr>
          <w:rFonts w:hint="default"/>
          <w:lang w:val="en-US" w:eastAsia="zh-CN"/>
        </w:rPr>
      </w:pPr>
      <w:bookmarkStart w:id="143" w:name="_Toc3042"/>
      <w:r>
        <w:t>“以新带老”措施</w:t>
      </w:r>
      <w:bookmarkEnd w:id="143"/>
    </w:p>
    <w:p w14:paraId="56D64577">
      <w:pPr>
        <w:pStyle w:val="41"/>
        <w:bidi w:val="0"/>
        <w:rPr>
          <w:rFonts w:hint="eastAsia"/>
          <w:lang w:val="en-US" w:eastAsia="zh-CN"/>
        </w:rPr>
      </w:pPr>
      <w:r>
        <w:rPr>
          <w:rFonts w:hint="eastAsia"/>
          <w:lang w:val="en-US" w:eastAsia="zh-CN"/>
        </w:rPr>
        <w:t>项目拟采取的“以新带老”措施包括：</w:t>
      </w:r>
    </w:p>
    <w:p w14:paraId="237B1330">
      <w:pPr>
        <w:pStyle w:val="41"/>
        <w:numPr>
          <w:ilvl w:val="0"/>
          <w:numId w:val="4"/>
        </w:numPr>
        <w:bidi w:val="0"/>
        <w:rPr>
          <w:rFonts w:hint="eastAsia"/>
          <w:lang w:val="en-US" w:eastAsia="zh-CN"/>
        </w:rPr>
      </w:pPr>
      <w:r>
        <w:rPr>
          <w:rFonts w:hint="eastAsia"/>
          <w:lang w:val="en-US" w:eastAsia="zh-CN"/>
        </w:rPr>
        <w:t>石料输送带设置彩钢瓦防护罩，下料口设置帆布或软管等防尘设施；</w:t>
      </w:r>
    </w:p>
    <w:p w14:paraId="3A5F2012">
      <w:pPr>
        <w:pStyle w:val="41"/>
        <w:numPr>
          <w:ilvl w:val="0"/>
          <w:numId w:val="4"/>
        </w:numPr>
        <w:bidi w:val="0"/>
        <w:rPr>
          <w:rFonts w:hint="default"/>
          <w:lang w:val="en-US" w:eastAsia="zh-CN"/>
        </w:rPr>
      </w:pPr>
      <w:r>
        <w:rPr>
          <w:rFonts w:hint="eastAsia"/>
          <w:lang w:val="en-US" w:eastAsia="zh-CN"/>
        </w:rPr>
        <w:t>废土石临时存放设置防尘网进行遮盖；</w:t>
      </w:r>
    </w:p>
    <w:p w14:paraId="39F7C22E">
      <w:pPr>
        <w:pStyle w:val="41"/>
        <w:numPr>
          <w:ilvl w:val="0"/>
          <w:numId w:val="4"/>
        </w:numPr>
        <w:bidi w:val="0"/>
        <w:rPr>
          <w:rFonts w:hint="default"/>
          <w:lang w:val="en-US" w:eastAsia="zh-CN"/>
        </w:rPr>
      </w:pPr>
      <w:r>
        <w:rPr>
          <w:rFonts w:hint="eastAsia"/>
          <w:lang w:val="en-US" w:eastAsia="zh-CN"/>
        </w:rPr>
        <w:t>破碎、筛分、打砂等环节设置集气罩+布袋除尘器+15m高DA001排气筒进行排放；</w:t>
      </w:r>
    </w:p>
    <w:p w14:paraId="4BEA82D5">
      <w:pPr>
        <w:pStyle w:val="41"/>
        <w:numPr>
          <w:ilvl w:val="0"/>
          <w:numId w:val="4"/>
        </w:numPr>
        <w:bidi w:val="0"/>
        <w:rPr>
          <w:rFonts w:hint="default"/>
          <w:lang w:val="en-US" w:eastAsia="zh-CN"/>
        </w:rPr>
      </w:pPr>
      <w:r>
        <w:rPr>
          <w:rFonts w:hint="eastAsia"/>
          <w:lang w:val="en-US" w:eastAsia="zh-CN"/>
        </w:rPr>
        <w:t>完善加工区、成品堆棚喷淋设施；</w:t>
      </w:r>
    </w:p>
    <w:p w14:paraId="51263177">
      <w:pPr>
        <w:pStyle w:val="41"/>
        <w:numPr>
          <w:ilvl w:val="0"/>
          <w:numId w:val="4"/>
        </w:numPr>
        <w:bidi w:val="0"/>
        <w:rPr>
          <w:rFonts w:hint="default"/>
          <w:lang w:val="en-US" w:eastAsia="zh-CN"/>
        </w:rPr>
      </w:pPr>
      <w:r>
        <w:rPr>
          <w:rFonts w:hint="eastAsia"/>
          <w:lang w:val="en-US" w:eastAsia="zh-CN"/>
        </w:rPr>
        <w:t>加强场区洒水降尘措施；</w:t>
      </w:r>
    </w:p>
    <w:p w14:paraId="7FB3F260">
      <w:pPr>
        <w:pStyle w:val="41"/>
        <w:numPr>
          <w:ilvl w:val="0"/>
          <w:numId w:val="4"/>
        </w:numPr>
        <w:bidi w:val="0"/>
        <w:rPr>
          <w:rFonts w:hint="default"/>
          <w:lang w:val="en-US" w:eastAsia="zh-CN"/>
        </w:rPr>
      </w:pPr>
      <w:r>
        <w:rPr>
          <w:rFonts w:hint="eastAsia"/>
          <w:lang w:val="en-US" w:eastAsia="zh-CN"/>
        </w:rPr>
        <w:t>完善场区截排水设施，扩建初期雨水沉淀池；</w:t>
      </w:r>
    </w:p>
    <w:p w14:paraId="6C4F0009">
      <w:pPr>
        <w:pStyle w:val="41"/>
        <w:numPr>
          <w:ilvl w:val="0"/>
          <w:numId w:val="4"/>
        </w:numPr>
        <w:bidi w:val="0"/>
        <w:rPr>
          <w:rFonts w:hint="default"/>
          <w:lang w:val="en-US" w:eastAsia="zh-CN"/>
        </w:rPr>
      </w:pPr>
      <w:r>
        <w:rPr>
          <w:rFonts w:hint="eastAsia"/>
          <w:lang w:val="en-US" w:eastAsia="zh-CN"/>
        </w:rPr>
        <w:t>进一步加强采区生态恢复措施。</w:t>
      </w:r>
    </w:p>
    <w:p w14:paraId="7E8DB911">
      <w:pPr>
        <w:pStyle w:val="2"/>
        <w:bidi w:val="0"/>
        <w:ind w:left="432" w:leftChars="0" w:hanging="432" w:firstLineChars="0"/>
      </w:pPr>
      <w:bookmarkStart w:id="144" w:name="_Toc31032"/>
      <w:r>
        <w:t>改</w:t>
      </w:r>
      <w:r>
        <w:rPr>
          <w:rFonts w:hint="eastAsia"/>
          <w:lang w:val="en-US" w:eastAsia="zh-CN"/>
        </w:rPr>
        <w:t>扩</w:t>
      </w:r>
      <w:r>
        <w:t>建工程概况</w:t>
      </w:r>
      <w:bookmarkEnd w:id="144"/>
    </w:p>
    <w:p w14:paraId="24A0353F">
      <w:pPr>
        <w:pStyle w:val="3"/>
        <w:bidi w:val="0"/>
        <w:ind w:left="575" w:leftChars="0" w:hanging="575" w:firstLineChars="0"/>
      </w:pPr>
      <w:bookmarkStart w:id="145" w:name="bookmark539"/>
      <w:bookmarkEnd w:id="145"/>
      <w:bookmarkStart w:id="146" w:name="_Toc10901"/>
      <w:r>
        <w:rPr>
          <w:rFonts w:hint="eastAsia"/>
          <w:lang w:val="en-US" w:eastAsia="zh-CN"/>
        </w:rPr>
        <w:t>改扩建</w:t>
      </w:r>
      <w:r>
        <w:t>项目概况</w:t>
      </w:r>
      <w:bookmarkEnd w:id="146"/>
    </w:p>
    <w:p w14:paraId="5782F543">
      <w:pPr>
        <w:pStyle w:val="41"/>
        <w:bidi w:val="0"/>
        <w:rPr>
          <w:rFonts w:hint="eastAsia"/>
          <w:lang w:eastAsia="zh-CN"/>
        </w:rPr>
      </w:pPr>
      <w:r>
        <w:rPr>
          <w:b/>
          <w:bCs/>
        </w:rPr>
        <w:t>项目名称：</w:t>
      </w:r>
      <w:r>
        <w:rPr>
          <w:rFonts w:hint="eastAsia"/>
          <w:lang w:eastAsia="zh-CN"/>
        </w:rPr>
        <w:t>砚山县红舍克东山石灰岩矿</w:t>
      </w:r>
    </w:p>
    <w:p w14:paraId="4B5F16F3">
      <w:pPr>
        <w:pStyle w:val="41"/>
        <w:bidi w:val="0"/>
      </w:pPr>
      <w:r>
        <w:rPr>
          <w:b/>
          <w:bCs/>
        </w:rPr>
        <w:t>建设单位：</w:t>
      </w:r>
      <w:r>
        <w:t>云南普阳煤化工有限责任公司</w:t>
      </w:r>
    </w:p>
    <w:p w14:paraId="1E48B7CC">
      <w:pPr>
        <w:pStyle w:val="41"/>
        <w:bidi w:val="0"/>
      </w:pPr>
      <w:r>
        <w:rPr>
          <w:b/>
          <w:bCs/>
        </w:rPr>
        <w:t>建设地点：</w:t>
      </w:r>
      <w:r>
        <w:rPr>
          <w:rFonts w:hint="eastAsia"/>
          <w:lang w:val="en-US" w:eastAsia="zh-CN"/>
        </w:rPr>
        <w:t>云南省文山州砚山县江那镇铳卡石门坎</w:t>
      </w:r>
      <w:r>
        <w:t>，地理极值坐标（2000国家大地坐标系）：东经104°17′56.355″－104°18′9.379″，北纬23°40′43.439″－23°41′7.378″，矿区中心点坐标（2000国家大地坐标系）东经104°30′25.433″</w:t>
      </w:r>
      <w:r>
        <w:rPr>
          <w:rFonts w:hint="eastAsia"/>
          <w:lang w:eastAsia="zh-CN"/>
        </w:rPr>
        <w:t>，</w:t>
      </w:r>
      <w:r>
        <w:t>北纬23°68′19.721″。</w:t>
      </w:r>
    </w:p>
    <w:p w14:paraId="61483FE5">
      <w:pPr>
        <w:pStyle w:val="41"/>
        <w:bidi w:val="0"/>
        <w:rPr>
          <w:rFonts w:hint="eastAsia"/>
          <w:lang w:eastAsia="zh-CN"/>
        </w:rPr>
      </w:pPr>
      <w:r>
        <w:rPr>
          <w:b/>
          <w:bCs/>
        </w:rPr>
        <w:t>建设性质：</w:t>
      </w:r>
      <w:r>
        <w:rPr>
          <w:rFonts w:hint="eastAsia"/>
          <w:lang w:val="en-US" w:eastAsia="zh-CN"/>
        </w:rPr>
        <w:t>改扩建</w:t>
      </w:r>
    </w:p>
    <w:p w14:paraId="6397D472">
      <w:pPr>
        <w:pStyle w:val="41"/>
        <w:bidi w:val="0"/>
      </w:pPr>
      <w:r>
        <w:rPr>
          <w:b/>
          <w:bCs/>
        </w:rPr>
        <w:t>生产规模：</w:t>
      </w:r>
      <w:r>
        <w:rPr>
          <w:rFonts w:hint="eastAsia"/>
          <w:lang w:val="en-US" w:eastAsia="zh-CN"/>
        </w:rPr>
        <w:t>50</w:t>
      </w:r>
      <w:r>
        <w:t>万t/a</w:t>
      </w:r>
    </w:p>
    <w:p w14:paraId="30CCF47E">
      <w:pPr>
        <w:pStyle w:val="41"/>
        <w:bidi w:val="0"/>
        <w:rPr>
          <w:rFonts w:hint="eastAsia" w:eastAsia="宋体"/>
          <w:kern w:val="0"/>
          <w:lang w:eastAsia="zh-CN"/>
        </w:rPr>
      </w:pPr>
      <w:r>
        <w:rPr>
          <w:b/>
          <w:bCs/>
        </w:rPr>
        <w:t>服务年限：</w:t>
      </w:r>
      <w:r>
        <w:rPr>
          <w:rFonts w:hint="eastAsia"/>
        </w:rPr>
        <w:t>设计露天境界内采出矿石量为1752.68万t，按拟定生产规模50万t/年计算</w:t>
      </w:r>
      <w:r>
        <w:rPr>
          <w:rFonts w:hint="eastAsia"/>
          <w:lang w:eastAsia="zh-CN"/>
        </w:rPr>
        <w:t>，</w:t>
      </w:r>
      <w:r>
        <w:rPr>
          <w:rFonts w:hint="eastAsia"/>
        </w:rPr>
        <w:t>矿山服务年限为</w:t>
      </w:r>
      <w:r>
        <w:rPr>
          <w:rFonts w:hint="eastAsia"/>
          <w:kern w:val="0"/>
        </w:rPr>
        <w:t>35.1年</w:t>
      </w:r>
      <w:r>
        <w:rPr>
          <w:rFonts w:hint="eastAsia"/>
          <w:kern w:val="0"/>
          <w:lang w:eastAsia="zh-CN"/>
        </w:rPr>
        <w:t>。</w:t>
      </w:r>
    </w:p>
    <w:p w14:paraId="46A4376F">
      <w:pPr>
        <w:pStyle w:val="41"/>
        <w:bidi w:val="0"/>
      </w:pPr>
      <w:r>
        <w:rPr>
          <w:b/>
          <w:bCs/>
        </w:rPr>
        <w:t>产品方案：</w:t>
      </w:r>
      <w:r>
        <w:t>项目产品主要为</w:t>
      </w:r>
      <w:r>
        <w:rPr>
          <w:rFonts w:hint="eastAsia"/>
          <w:lang w:val="en-US" w:eastAsia="zh-CN"/>
        </w:rPr>
        <w:t>石子、碎石、沙子</w:t>
      </w:r>
      <w:r>
        <w:t>，矿山开采的</w:t>
      </w:r>
      <w:r>
        <w:rPr>
          <w:rFonts w:hint="eastAsia"/>
          <w:lang w:val="en-US" w:eastAsia="zh-CN"/>
        </w:rPr>
        <w:t>石灰岩矿</w:t>
      </w:r>
      <w:r>
        <w:t>作为生产原料</w:t>
      </w:r>
    </w:p>
    <w:p w14:paraId="240BD0E4">
      <w:pPr>
        <w:pStyle w:val="41"/>
        <w:bidi w:val="0"/>
      </w:pPr>
      <w:r>
        <w:rPr>
          <w:b/>
          <w:bCs/>
        </w:rPr>
        <w:t>矿区面积：</w:t>
      </w:r>
      <w:r>
        <w:t>矿区范围由</w:t>
      </w:r>
      <w:r>
        <w:rPr>
          <w:rFonts w:hint="eastAsia"/>
          <w:lang w:val="en-US" w:eastAsia="zh-CN"/>
        </w:rPr>
        <w:t>13</w:t>
      </w:r>
      <w:r>
        <w:t>个拐点圈定，矿区面积为</w:t>
      </w:r>
      <w:r>
        <w:rPr>
          <w:lang w:bidi="ar"/>
        </w:rPr>
        <w:t>0.2895km</w:t>
      </w:r>
      <w:r>
        <w:rPr>
          <w:vertAlign w:val="superscript"/>
          <w:lang w:bidi="ar"/>
        </w:rPr>
        <w:t>2</w:t>
      </w:r>
      <w:r>
        <w:t>，开采标高为19</w:t>
      </w:r>
      <w:r>
        <w:rPr>
          <w:rFonts w:hint="eastAsia"/>
          <w:lang w:val="en-US" w:eastAsia="zh-CN"/>
        </w:rPr>
        <w:t>6</w:t>
      </w:r>
      <w:r>
        <w:t>0m</w:t>
      </w:r>
      <w:r>
        <w:rPr>
          <w:rFonts w:hint="eastAsia"/>
          <w:lang w:eastAsia="zh-CN"/>
        </w:rPr>
        <w:t>～</w:t>
      </w:r>
      <w:r>
        <w:t>1</w:t>
      </w:r>
      <w:r>
        <w:rPr>
          <w:rFonts w:hint="eastAsia"/>
          <w:lang w:val="en-US" w:eastAsia="zh-CN"/>
        </w:rPr>
        <w:t>565</w:t>
      </w:r>
      <w:r>
        <w:t>m</w:t>
      </w:r>
    </w:p>
    <w:p w14:paraId="04B21B96">
      <w:pPr>
        <w:pStyle w:val="41"/>
        <w:bidi w:val="0"/>
        <w:rPr>
          <w:rFonts w:hint="eastAsia"/>
          <w:lang w:val="en-US" w:eastAsia="zh-CN"/>
        </w:rPr>
      </w:pPr>
      <w:r>
        <w:rPr>
          <w:b/>
          <w:bCs/>
        </w:rPr>
        <w:t>矿山开采方式：</w:t>
      </w:r>
      <w:r>
        <w:rPr>
          <w:rFonts w:hint="eastAsia"/>
          <w:lang w:val="en-US" w:eastAsia="zh-CN"/>
        </w:rPr>
        <w:t>露天开采</w:t>
      </w:r>
    </w:p>
    <w:p w14:paraId="6CE30036">
      <w:pPr>
        <w:pStyle w:val="41"/>
        <w:bidi w:val="0"/>
        <w:rPr>
          <w:rFonts w:hint="default"/>
          <w:lang w:val="en-US" w:eastAsia="zh-CN"/>
        </w:rPr>
      </w:pPr>
      <w:r>
        <w:rPr>
          <w:rFonts w:hint="default"/>
          <w:b/>
          <w:bCs/>
          <w:lang w:val="en-US" w:eastAsia="zh-CN"/>
        </w:rPr>
        <w:t>开采方法：</w:t>
      </w:r>
      <w:r>
        <w:rPr>
          <w:rFonts w:hint="default"/>
          <w:lang w:val="en-US" w:eastAsia="zh-CN"/>
        </w:rPr>
        <w:t>依据矿山储量核实报告中矿岩赋存条件、矿体产状、埋深等特点，本项目开采方式为自上而下露天开采方式。</w:t>
      </w:r>
    </w:p>
    <w:p w14:paraId="2630FEC3">
      <w:pPr>
        <w:pStyle w:val="41"/>
        <w:bidi w:val="0"/>
        <w:rPr>
          <w:rFonts w:hint="eastAsia" w:eastAsia="宋体"/>
          <w:lang w:val="en-US" w:eastAsia="zh-CN"/>
        </w:rPr>
      </w:pPr>
      <w:r>
        <w:rPr>
          <w:b/>
          <w:bCs/>
        </w:rPr>
        <w:t>开采矿种：</w:t>
      </w:r>
      <w:r>
        <w:rPr>
          <w:rFonts w:hint="eastAsia"/>
          <w:b w:val="0"/>
          <w:bCs w:val="0"/>
          <w:lang w:val="en-US" w:eastAsia="zh-CN"/>
        </w:rPr>
        <w:t>石灰岩</w:t>
      </w:r>
    </w:p>
    <w:p w14:paraId="2383343C">
      <w:pPr>
        <w:pStyle w:val="41"/>
        <w:bidi w:val="0"/>
      </w:pPr>
      <w:r>
        <w:rPr>
          <w:b/>
          <w:bCs/>
        </w:rPr>
        <w:t>项目总投资：</w:t>
      </w:r>
      <w:r>
        <w:rPr>
          <w:rFonts w:hint="eastAsia"/>
          <w:lang w:val="en-US" w:eastAsia="zh-CN"/>
        </w:rPr>
        <w:t>1000</w:t>
      </w:r>
      <w:r>
        <w:t>万元</w:t>
      </w:r>
    </w:p>
    <w:p w14:paraId="09A20B8D">
      <w:pPr>
        <w:pStyle w:val="3"/>
        <w:bidi w:val="0"/>
      </w:pPr>
      <w:bookmarkStart w:id="147" w:name="bookmark98"/>
      <w:bookmarkEnd w:id="147"/>
      <w:bookmarkStart w:id="148" w:name="bookmark99"/>
      <w:bookmarkEnd w:id="148"/>
      <w:bookmarkStart w:id="149" w:name="_Toc7503"/>
      <w:r>
        <w:t>项目建设内容</w:t>
      </w:r>
      <w:bookmarkEnd w:id="149"/>
    </w:p>
    <w:p w14:paraId="68D3537A">
      <w:pPr>
        <w:pStyle w:val="41"/>
        <w:bidi w:val="0"/>
        <w:rPr>
          <w:rFonts w:hint="default"/>
          <w:lang w:val="en-US" w:eastAsia="zh-CN"/>
        </w:rPr>
        <w:sectPr>
          <w:footerReference r:id="rId7" w:type="default"/>
          <w:pgSz w:w="11906" w:h="16839"/>
          <w:pgMar w:top="1440" w:right="1800" w:bottom="1440" w:left="1800" w:header="0" w:footer="1195" w:gutter="0"/>
          <w:pgNumType w:fmt="decimal" w:start="1"/>
          <w:cols w:space="720" w:num="1"/>
        </w:sectPr>
      </w:pPr>
      <w:r>
        <w:rPr>
          <w:rFonts w:hint="default"/>
          <w:lang w:val="en-US" w:eastAsia="zh-CN"/>
        </w:rPr>
        <w:t>本项目建设内容主要由主体工程、辅助工程、公用工程、环保工程组成，具体见表</w:t>
      </w:r>
      <w:r>
        <w:rPr>
          <w:rFonts w:hint="eastAsia"/>
          <w:lang w:val="en-US" w:eastAsia="zh-CN"/>
        </w:rPr>
        <w:t>3</w:t>
      </w:r>
      <w:r>
        <w:rPr>
          <w:rFonts w:hint="default"/>
          <w:lang w:val="en-US" w:eastAsia="zh-CN"/>
        </w:rPr>
        <w:t>.2-1。</w:t>
      </w:r>
    </w:p>
    <w:p w14:paraId="0390C4F1">
      <w:pPr>
        <w:pStyle w:val="45"/>
        <w:bidi w:val="0"/>
        <w:rPr>
          <w:rFonts w:hint="default"/>
        </w:rPr>
      </w:pPr>
      <w:r>
        <w:rPr>
          <w:rFonts w:hint="default"/>
        </w:rPr>
        <w:t>表</w:t>
      </w:r>
      <w:r>
        <w:rPr>
          <w:rFonts w:hint="eastAsia"/>
          <w:lang w:val="en-US" w:eastAsia="zh-CN"/>
        </w:rPr>
        <w:t>3</w:t>
      </w:r>
      <w:r>
        <w:rPr>
          <w:rFonts w:hint="default"/>
          <w:lang w:val="en-US" w:eastAsia="zh-CN"/>
        </w:rPr>
        <w:t>.2-1</w:t>
      </w:r>
      <w:r>
        <w:rPr>
          <w:rFonts w:hint="default"/>
        </w:rPr>
        <w:t xml:space="preserve">  项目工程内容一览表</w:t>
      </w:r>
    </w:p>
    <w:tbl>
      <w:tblPr>
        <w:tblStyle w:val="34"/>
        <w:tblW w:w="47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922"/>
        <w:gridCol w:w="6101"/>
        <w:gridCol w:w="5624"/>
        <w:gridCol w:w="1122"/>
      </w:tblGrid>
      <w:tr w14:paraId="731F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0C1A2">
            <w:pPr>
              <w:pStyle w:val="43"/>
              <w:bidi w:val="0"/>
              <w:rPr>
                <w:rFonts w:hint="eastAsia"/>
                <w:b/>
                <w:bCs/>
              </w:rPr>
            </w:pPr>
            <w:r>
              <w:rPr>
                <w:rFonts w:hint="eastAsia"/>
                <w:b/>
                <w:bCs/>
                <w:lang w:val="en-US" w:eastAsia="zh-CN"/>
              </w:rPr>
              <w:t>工程内容</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D958">
            <w:pPr>
              <w:pStyle w:val="43"/>
              <w:bidi w:val="0"/>
              <w:rPr>
                <w:rFonts w:hint="eastAsia"/>
                <w:b/>
                <w:bCs/>
              </w:rPr>
            </w:pPr>
            <w:r>
              <w:rPr>
                <w:rFonts w:hint="eastAsia"/>
                <w:b/>
                <w:bCs/>
                <w:lang w:val="en-US" w:eastAsia="zh-CN"/>
              </w:rPr>
              <w:t>类别</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EFD4F">
            <w:pPr>
              <w:pStyle w:val="43"/>
              <w:bidi w:val="0"/>
              <w:rPr>
                <w:rFonts w:hint="eastAsia"/>
                <w:b/>
                <w:bCs/>
              </w:rPr>
            </w:pPr>
            <w:r>
              <w:rPr>
                <w:rFonts w:hint="eastAsia"/>
                <w:b/>
                <w:bCs/>
                <w:lang w:val="en-US" w:eastAsia="zh-CN"/>
              </w:rPr>
              <w:t>原项目建设内容</w:t>
            </w:r>
          </w:p>
        </w:tc>
        <w:tc>
          <w:tcPr>
            <w:tcW w:w="19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A225">
            <w:pPr>
              <w:pStyle w:val="43"/>
              <w:bidi w:val="0"/>
              <w:rPr>
                <w:rFonts w:hint="eastAsia"/>
                <w:b/>
                <w:bCs/>
              </w:rPr>
            </w:pPr>
            <w:r>
              <w:rPr>
                <w:rFonts w:hint="eastAsia"/>
                <w:b/>
                <w:bCs/>
                <w:lang w:val="en-US" w:eastAsia="zh-CN"/>
              </w:rPr>
              <w:t>改扩建后工程内容</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7555">
            <w:pPr>
              <w:pStyle w:val="43"/>
              <w:bidi w:val="0"/>
              <w:rPr>
                <w:rFonts w:hint="eastAsia"/>
                <w:b/>
                <w:bCs/>
              </w:rPr>
            </w:pPr>
            <w:r>
              <w:rPr>
                <w:rFonts w:hint="eastAsia"/>
                <w:b/>
                <w:bCs/>
                <w:lang w:val="en-US" w:eastAsia="zh-CN"/>
              </w:rPr>
              <w:t>备注</w:t>
            </w:r>
          </w:p>
        </w:tc>
      </w:tr>
      <w:tr w14:paraId="12F10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2F1BE">
            <w:pPr>
              <w:pStyle w:val="43"/>
              <w:bidi w:val="0"/>
              <w:rPr>
                <w:rFonts w:hint="eastAsia"/>
              </w:rPr>
            </w:pPr>
            <w:r>
              <w:rPr>
                <w:rFonts w:hint="eastAsia"/>
                <w:lang w:val="en-US" w:eastAsia="zh-CN"/>
              </w:rPr>
              <w:t>主体工程</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049B">
            <w:pPr>
              <w:pStyle w:val="43"/>
              <w:bidi w:val="0"/>
              <w:rPr>
                <w:rFonts w:hint="eastAsia"/>
              </w:rPr>
            </w:pPr>
            <w:r>
              <w:rPr>
                <w:rFonts w:hint="eastAsia"/>
                <w:lang w:val="en-US" w:eastAsia="zh-CN"/>
              </w:rPr>
              <w:t>项目矿区</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BE01">
            <w:pPr>
              <w:pStyle w:val="43"/>
              <w:bidi w:val="0"/>
              <w:rPr>
                <w:rFonts w:hint="eastAsia"/>
              </w:rPr>
            </w:pPr>
            <w:r>
              <w:rPr>
                <w:rFonts w:hint="eastAsia"/>
                <w:lang w:val="en-US" w:eastAsia="zh-CN"/>
              </w:rPr>
              <w:t>2号矿矿区面积为0.1984m</w:t>
            </w:r>
            <w:r>
              <w:rPr>
                <w:rFonts w:hint="eastAsia"/>
                <w:vertAlign w:val="superscript"/>
                <w:lang w:val="en-US" w:eastAsia="zh-CN"/>
              </w:rPr>
              <w:t>2</w:t>
            </w:r>
            <w:r>
              <w:rPr>
                <w:rFonts w:hint="eastAsia"/>
                <w:lang w:val="en-US" w:eastAsia="zh-CN"/>
              </w:rPr>
              <w:t>，开采区位于项目矿区南部，开采标高1682m～1572m。总矿区（含1号矿、2号矿）面积0.3201km</w:t>
            </w:r>
            <w:r>
              <w:rPr>
                <w:rFonts w:hint="eastAsia"/>
                <w:vertAlign w:val="superscript"/>
                <w:lang w:val="en-US" w:eastAsia="zh-CN"/>
              </w:rPr>
              <w:t>2</w:t>
            </w:r>
            <w:r>
              <w:rPr>
                <w:rFonts w:hint="eastAsia"/>
                <w:lang w:val="en-US" w:eastAsia="zh-CN"/>
              </w:rPr>
              <w:t>，开采标高1690m～1565m。</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6B0C6">
            <w:pPr>
              <w:pStyle w:val="43"/>
              <w:bidi w:val="0"/>
              <w:rPr>
                <w:rFonts w:hint="eastAsia"/>
              </w:rPr>
            </w:pPr>
            <w:r>
              <w:rPr>
                <w:rFonts w:hint="eastAsia"/>
                <w:lang w:val="en-US" w:eastAsia="zh-CN"/>
              </w:rPr>
              <w:t>项目矿区面积0.28956km</w:t>
            </w:r>
            <w:r>
              <w:rPr>
                <w:rFonts w:hint="eastAsia"/>
                <w:vertAlign w:val="superscript"/>
                <w:lang w:val="en-US" w:eastAsia="zh-CN"/>
              </w:rPr>
              <w:t>2</w:t>
            </w:r>
            <w:r>
              <w:rPr>
                <w:rFonts w:hint="eastAsia"/>
                <w:lang w:val="en-US" w:eastAsia="zh-CN"/>
              </w:rPr>
              <w:t>，</w:t>
            </w:r>
            <w:r>
              <w:rPr>
                <w:rFonts w:hint="eastAsia"/>
              </w:rPr>
              <w:t>设计露天采场面积0.215km</w:t>
            </w:r>
            <w:r>
              <w:rPr>
                <w:rFonts w:hint="eastAsia"/>
                <w:vertAlign w:val="superscript"/>
              </w:rPr>
              <w:t>2</w:t>
            </w:r>
            <w:r>
              <w:rPr>
                <w:rFonts w:hint="eastAsia"/>
                <w:vertAlign w:val="baseline"/>
                <w:lang w:eastAsia="zh-CN"/>
              </w:rPr>
              <w:t>，</w:t>
            </w:r>
            <w:r>
              <w:rPr>
                <w:rFonts w:hint="eastAsia"/>
                <w:lang w:val="en-US" w:eastAsia="zh-CN"/>
              </w:rPr>
              <w:t>开采标高1690m～1565m。</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967A">
            <w:pPr>
              <w:pStyle w:val="43"/>
              <w:bidi w:val="0"/>
              <w:rPr>
                <w:rFonts w:hint="eastAsia"/>
              </w:rPr>
            </w:pPr>
            <w:r>
              <w:rPr>
                <w:rFonts w:hint="eastAsia"/>
                <w:lang w:val="en-US" w:eastAsia="zh-CN"/>
              </w:rPr>
              <w:t>矿区面积缩减</w:t>
            </w:r>
          </w:p>
        </w:tc>
      </w:tr>
      <w:tr w14:paraId="048F1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E9F5C">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4A0F5">
            <w:pPr>
              <w:pStyle w:val="43"/>
              <w:bidi w:val="0"/>
              <w:rPr>
                <w:rFonts w:hint="eastAsia"/>
              </w:rPr>
            </w:pPr>
            <w:r>
              <w:rPr>
                <w:rFonts w:hint="eastAsia"/>
                <w:lang w:val="en-US" w:eastAsia="zh-CN"/>
              </w:rPr>
              <w:t>生产加工区</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EA99">
            <w:pPr>
              <w:pStyle w:val="43"/>
              <w:bidi w:val="0"/>
              <w:rPr>
                <w:rFonts w:hint="eastAsia"/>
              </w:rPr>
            </w:pPr>
            <w:r>
              <w:rPr>
                <w:rFonts w:hint="eastAsia"/>
                <w:lang w:val="en-US" w:eastAsia="zh-CN"/>
              </w:rPr>
              <w:t>生产加工区，加工区位于项目西南侧，占地面积约</w:t>
            </w:r>
            <w:r>
              <w:rPr>
                <w:rFonts w:hint="default"/>
                <w:lang w:val="en-US" w:eastAsia="zh-CN"/>
              </w:rPr>
              <w:t>5400m</w:t>
            </w:r>
            <w:r>
              <w:rPr>
                <w:vertAlign w:val="superscript"/>
                <w:lang w:val="en-US" w:eastAsia="zh-CN"/>
              </w:rPr>
              <w:t>2</w:t>
            </w:r>
            <w:r>
              <w:rPr>
                <w:rFonts w:hint="eastAsia"/>
                <w:lang w:val="en-US" w:eastAsia="zh-CN"/>
              </w:rPr>
              <w:t>，加工区共一条生产线，包含喂料口、破碎机、振动筛、砂机、传送带等设备。</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E5B7A">
            <w:pPr>
              <w:pStyle w:val="43"/>
              <w:bidi w:val="0"/>
              <w:rPr>
                <w:rFonts w:hint="eastAsia"/>
              </w:rPr>
            </w:pPr>
            <w:r>
              <w:rPr>
                <w:rFonts w:hint="eastAsia"/>
                <w:lang w:val="en-US" w:eastAsia="zh-CN"/>
              </w:rPr>
              <w:t>生产加工区，加工区位于项目西南侧，占地面积约</w:t>
            </w:r>
            <w:r>
              <w:rPr>
                <w:rFonts w:hint="default"/>
                <w:lang w:val="en-US" w:eastAsia="zh-CN"/>
              </w:rPr>
              <w:t>5400m</w:t>
            </w:r>
            <w:r>
              <w:rPr>
                <w:vertAlign w:val="superscript"/>
                <w:lang w:val="en-US" w:eastAsia="zh-CN"/>
              </w:rPr>
              <w:t>2</w:t>
            </w:r>
            <w:r>
              <w:rPr>
                <w:rFonts w:hint="eastAsia"/>
                <w:lang w:val="en-US" w:eastAsia="zh-CN"/>
              </w:rPr>
              <w:t>，加工区共一条生产线，包含喂料口、破碎机、振动筛、砂机、传送带等设备。</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4070">
            <w:pPr>
              <w:pStyle w:val="43"/>
              <w:bidi w:val="0"/>
              <w:rPr>
                <w:rFonts w:hint="eastAsia"/>
              </w:rPr>
            </w:pPr>
            <w:r>
              <w:rPr>
                <w:rFonts w:hint="eastAsia"/>
                <w:lang w:val="en-US" w:eastAsia="zh-CN"/>
              </w:rPr>
              <w:t>建筑物不变，更新设备。</w:t>
            </w:r>
          </w:p>
        </w:tc>
      </w:tr>
      <w:tr w14:paraId="68D1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E8546">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284D">
            <w:pPr>
              <w:pStyle w:val="43"/>
              <w:bidi w:val="0"/>
              <w:rPr>
                <w:rFonts w:hint="eastAsia"/>
              </w:rPr>
            </w:pPr>
            <w:r>
              <w:rPr>
                <w:rFonts w:hint="eastAsia"/>
                <w:lang w:val="en-US" w:eastAsia="zh-CN"/>
              </w:rPr>
              <w:t>砂石料场</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6ACA4">
            <w:pPr>
              <w:pStyle w:val="43"/>
              <w:bidi w:val="0"/>
              <w:rPr>
                <w:rFonts w:hint="eastAsia"/>
              </w:rPr>
            </w:pPr>
            <w:r>
              <w:rPr>
                <w:rFonts w:hint="eastAsia"/>
                <w:lang w:val="en-US" w:eastAsia="zh-CN"/>
              </w:rPr>
              <w:t>项目年生产规模为</w:t>
            </w:r>
            <w:r>
              <w:rPr>
                <w:rFonts w:hint="default"/>
                <w:lang w:val="en-US" w:eastAsia="zh-CN"/>
              </w:rPr>
              <w:t>20.0</w:t>
            </w:r>
            <w:r>
              <w:rPr>
                <w:rFonts w:hint="eastAsia"/>
                <w:lang w:val="en-US" w:eastAsia="zh-CN"/>
              </w:rPr>
              <w:t>万</w:t>
            </w:r>
            <w:r>
              <w:rPr>
                <w:rFonts w:hint="default"/>
                <w:lang w:val="en-US" w:eastAsia="zh-CN"/>
              </w:rPr>
              <w:t>t</w:t>
            </w:r>
            <w:r>
              <w:rPr>
                <w:rFonts w:hint="eastAsia"/>
                <w:lang w:val="en-US" w:eastAsia="zh-CN"/>
              </w:rPr>
              <w:t>，生产产品包括</w:t>
            </w:r>
            <w:r>
              <w:rPr>
                <w:rFonts w:hint="default"/>
                <w:lang w:val="en-US" w:eastAsia="zh-CN"/>
              </w:rPr>
              <w:t>30mm</w:t>
            </w:r>
            <w:r>
              <w:rPr>
                <w:rFonts w:hint="eastAsia"/>
                <w:lang w:val="en-US" w:eastAsia="zh-CN"/>
              </w:rPr>
              <w:t>～</w:t>
            </w:r>
            <w:r>
              <w:rPr>
                <w:rFonts w:hint="default"/>
                <w:lang w:val="en-US" w:eastAsia="zh-CN"/>
              </w:rPr>
              <w:t>60mm</w:t>
            </w:r>
            <w:r>
              <w:rPr>
                <w:rFonts w:hint="eastAsia"/>
                <w:lang w:val="en-US" w:eastAsia="zh-CN"/>
              </w:rPr>
              <w:t>的石子，</w:t>
            </w:r>
            <w:r>
              <w:rPr>
                <w:rFonts w:hint="default"/>
                <w:lang w:val="en-US" w:eastAsia="zh-CN"/>
              </w:rPr>
              <w:t>30mm</w:t>
            </w:r>
            <w:r>
              <w:rPr>
                <w:rFonts w:hint="eastAsia"/>
                <w:lang w:val="en-US" w:eastAsia="zh-CN"/>
              </w:rPr>
              <w:t>以下的公分石、砂子等。在项目区西南侧设有</w:t>
            </w:r>
            <w:r>
              <w:rPr>
                <w:rFonts w:hint="default"/>
                <w:lang w:val="en-US" w:eastAsia="zh-CN"/>
              </w:rPr>
              <w:t>1</w:t>
            </w:r>
            <w:r>
              <w:rPr>
                <w:rFonts w:hint="eastAsia"/>
                <w:lang w:val="en-US" w:eastAsia="zh-CN"/>
              </w:rPr>
              <w:t>个砂石料场，占地面积约</w:t>
            </w:r>
            <w:r>
              <w:rPr>
                <w:rFonts w:hint="default"/>
                <w:lang w:val="en-US" w:eastAsia="zh-CN"/>
              </w:rPr>
              <w:t>25000m²</w:t>
            </w:r>
            <w:r>
              <w:rPr>
                <w:rFonts w:hint="eastAsia"/>
                <w:lang w:val="en-US" w:eastAsia="zh-CN"/>
              </w:rPr>
              <w:t>，并建设有</w:t>
            </w:r>
            <w:r>
              <w:rPr>
                <w:rFonts w:hint="default"/>
                <w:lang w:val="en-US" w:eastAsia="zh-CN"/>
              </w:rPr>
              <w:t>9000m²</w:t>
            </w:r>
            <w:r>
              <w:rPr>
                <w:rFonts w:hint="eastAsia"/>
                <w:lang w:val="en-US" w:eastAsia="zh-CN"/>
              </w:rPr>
              <w:t>三面围挡的成品仓库。砂石料定期运至云南普阳煤化工有限责任公司电石厂作原料使用及外售，只在场区短暂存储。</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07945">
            <w:pPr>
              <w:pStyle w:val="43"/>
              <w:bidi w:val="0"/>
              <w:rPr>
                <w:rFonts w:hint="eastAsia"/>
              </w:rPr>
            </w:pPr>
            <w:r>
              <w:rPr>
                <w:rFonts w:hint="eastAsia"/>
                <w:lang w:val="en-US" w:eastAsia="zh-CN"/>
              </w:rPr>
              <w:t>项目年生产规模为</w:t>
            </w:r>
            <w:r>
              <w:rPr>
                <w:rFonts w:hint="default"/>
                <w:lang w:val="en-US" w:eastAsia="zh-CN"/>
              </w:rPr>
              <w:t>50.0</w:t>
            </w:r>
            <w:r>
              <w:rPr>
                <w:rFonts w:hint="eastAsia"/>
                <w:lang w:val="en-US" w:eastAsia="zh-CN"/>
              </w:rPr>
              <w:t>万</w:t>
            </w:r>
            <w:r>
              <w:rPr>
                <w:rFonts w:hint="default"/>
                <w:lang w:val="en-US" w:eastAsia="zh-CN"/>
              </w:rPr>
              <w:t>t</w:t>
            </w:r>
            <w:r>
              <w:rPr>
                <w:rFonts w:hint="eastAsia"/>
                <w:lang w:val="en-US" w:eastAsia="zh-CN"/>
              </w:rPr>
              <w:t>，生产产品包括</w:t>
            </w:r>
            <w:r>
              <w:rPr>
                <w:rFonts w:hint="default"/>
                <w:lang w:val="en-US" w:eastAsia="zh-CN"/>
              </w:rPr>
              <w:t>30mm</w:t>
            </w:r>
            <w:r>
              <w:rPr>
                <w:rFonts w:hint="eastAsia"/>
                <w:lang w:val="en-US" w:eastAsia="zh-CN"/>
              </w:rPr>
              <w:t>～</w:t>
            </w:r>
            <w:r>
              <w:rPr>
                <w:rFonts w:hint="default"/>
                <w:lang w:val="en-US" w:eastAsia="zh-CN"/>
              </w:rPr>
              <w:t>60mm</w:t>
            </w:r>
            <w:r>
              <w:rPr>
                <w:rFonts w:hint="eastAsia"/>
                <w:lang w:val="en-US" w:eastAsia="zh-CN"/>
              </w:rPr>
              <w:t>的石子，</w:t>
            </w:r>
            <w:r>
              <w:rPr>
                <w:rFonts w:hint="default"/>
                <w:lang w:val="en-US" w:eastAsia="zh-CN"/>
              </w:rPr>
              <w:t>30mm</w:t>
            </w:r>
            <w:r>
              <w:rPr>
                <w:rFonts w:hint="eastAsia"/>
                <w:lang w:val="en-US" w:eastAsia="zh-CN"/>
              </w:rPr>
              <w:t>以下的公分石、砂子等。在项目区西南侧设有</w:t>
            </w:r>
            <w:r>
              <w:rPr>
                <w:rFonts w:hint="default"/>
                <w:lang w:val="en-US" w:eastAsia="zh-CN"/>
              </w:rPr>
              <w:t>1</w:t>
            </w:r>
            <w:r>
              <w:rPr>
                <w:rFonts w:hint="eastAsia"/>
                <w:lang w:val="en-US" w:eastAsia="zh-CN"/>
              </w:rPr>
              <w:t>个砂石料场，占地面积约</w:t>
            </w:r>
            <w:r>
              <w:rPr>
                <w:rFonts w:hint="default"/>
                <w:lang w:val="en-US" w:eastAsia="zh-CN"/>
              </w:rPr>
              <w:t>25000m²</w:t>
            </w:r>
            <w:r>
              <w:rPr>
                <w:rFonts w:hint="eastAsia"/>
                <w:lang w:val="en-US" w:eastAsia="zh-CN"/>
              </w:rPr>
              <w:t>，并建设有</w:t>
            </w:r>
            <w:r>
              <w:rPr>
                <w:rFonts w:hint="default"/>
                <w:lang w:val="en-US" w:eastAsia="zh-CN"/>
              </w:rPr>
              <w:t>9000m²</w:t>
            </w:r>
            <w:r>
              <w:rPr>
                <w:rFonts w:hint="eastAsia"/>
                <w:lang w:val="en-US" w:eastAsia="zh-CN"/>
              </w:rPr>
              <w:t>三面围挡的成品仓库。砂石料定期运至云南普阳煤化工有限责任公司电石厂作原料使用及外售，只在场区短暂存储。</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16F4">
            <w:pPr>
              <w:pStyle w:val="43"/>
              <w:bidi w:val="0"/>
              <w:rPr>
                <w:rFonts w:hint="eastAsia"/>
              </w:rPr>
            </w:pPr>
            <w:r>
              <w:rPr>
                <w:rFonts w:hint="eastAsia"/>
                <w:lang w:val="en-US" w:eastAsia="zh-CN"/>
              </w:rPr>
              <w:t>沿用</w:t>
            </w:r>
          </w:p>
        </w:tc>
      </w:tr>
      <w:tr w14:paraId="40C90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2218B">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98509">
            <w:pPr>
              <w:pStyle w:val="43"/>
              <w:bidi w:val="0"/>
              <w:rPr>
                <w:rFonts w:hint="eastAsia"/>
              </w:rPr>
            </w:pPr>
            <w:r>
              <w:rPr>
                <w:rFonts w:hint="eastAsia"/>
                <w:lang w:val="en-US" w:eastAsia="zh-CN"/>
              </w:rPr>
              <w:t>表土堆场</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154B4">
            <w:pPr>
              <w:pStyle w:val="43"/>
              <w:bidi w:val="0"/>
              <w:rPr>
                <w:rFonts w:hint="eastAsia"/>
              </w:rPr>
            </w:pPr>
            <w:r>
              <w:rPr>
                <w:rFonts w:hint="eastAsia"/>
                <w:lang w:val="en-US" w:eastAsia="zh-CN"/>
              </w:rPr>
              <w:t>/</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789A3">
            <w:pPr>
              <w:pStyle w:val="43"/>
              <w:bidi w:val="0"/>
              <w:rPr>
                <w:rFonts w:hint="eastAsia"/>
              </w:rPr>
            </w:pPr>
            <w:r>
              <w:rPr>
                <w:rFonts w:hint="eastAsia"/>
                <w:lang w:val="en-US" w:eastAsia="zh-CN"/>
              </w:rPr>
              <w:t>矿山存在部分覆土，厚度0~1.3m，根据计算，覆土量约7.6万m</w:t>
            </w:r>
            <w:r>
              <w:rPr>
                <w:rFonts w:hint="eastAsia"/>
                <w:vertAlign w:val="superscript"/>
                <w:lang w:val="en-US" w:eastAsia="zh-CN"/>
              </w:rPr>
              <w:t>3</w:t>
            </w:r>
            <w:r>
              <w:rPr>
                <w:rFonts w:hint="eastAsia"/>
                <w:lang w:val="en-US" w:eastAsia="zh-CN"/>
              </w:rPr>
              <w:t>，设计在矿区内南侧设置一个临时表土堆场，矿山剥离覆土运至临时表土堆场堆存，待上部台阶靠帮后，将堆存表土用于矿区生态修复使用。</w:t>
            </w:r>
            <w:r>
              <w:rPr>
                <w:rFonts w:hint="eastAsia"/>
                <w:lang w:val="en-US" w:eastAsia="zh-CN"/>
              </w:rPr>
              <w:br w:type="textWrapping"/>
            </w:r>
            <w:r>
              <w:rPr>
                <w:rFonts w:hint="eastAsia"/>
                <w:lang w:val="en-US" w:eastAsia="zh-CN"/>
              </w:rPr>
              <w:t>设计临时表土堆场面积8251m</w:t>
            </w:r>
            <w:r>
              <w:rPr>
                <w:rFonts w:hint="eastAsia"/>
                <w:vertAlign w:val="superscript"/>
                <w:lang w:val="en-US" w:eastAsia="zh-CN"/>
              </w:rPr>
              <w:t>2</w:t>
            </w:r>
            <w:r>
              <w:rPr>
                <w:rFonts w:hint="eastAsia"/>
                <w:lang w:val="en-US" w:eastAsia="zh-CN"/>
              </w:rPr>
              <w:t>，设计一个台阶堆放，堆高10m，容积为8.3万m</w:t>
            </w:r>
            <w:r>
              <w:rPr>
                <w:rFonts w:hint="eastAsia"/>
                <w:vertAlign w:val="superscript"/>
                <w:lang w:val="en-US" w:eastAsia="zh-CN"/>
              </w:rPr>
              <w:t>3</w:t>
            </w:r>
            <w:r>
              <w:rPr>
                <w:rFonts w:hint="eastAsia"/>
                <w:lang w:val="en-US" w:eastAsia="zh-CN"/>
              </w:rPr>
              <w:t>，设计堆存表土边坡角为32°，可以满足矿山堆存表土需求。矿山剥离表土由自卸汽车运至临时表土堆场底部直接卸载至临时表土堆场内，由内向外逐步堆存。</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259F">
            <w:pPr>
              <w:pStyle w:val="43"/>
              <w:bidi w:val="0"/>
              <w:rPr>
                <w:rFonts w:hint="eastAsia"/>
              </w:rPr>
            </w:pPr>
            <w:r>
              <w:rPr>
                <w:rFonts w:hint="eastAsia"/>
                <w:lang w:val="en-US" w:eastAsia="zh-CN"/>
              </w:rPr>
              <w:t>新建</w:t>
            </w:r>
          </w:p>
        </w:tc>
      </w:tr>
      <w:tr w14:paraId="134BC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70C53">
            <w:pPr>
              <w:pStyle w:val="43"/>
              <w:bidi w:val="0"/>
              <w:rPr>
                <w:rFonts w:hint="eastAsia"/>
              </w:rPr>
            </w:pPr>
            <w:r>
              <w:rPr>
                <w:rFonts w:hint="eastAsia"/>
                <w:lang w:val="en-US" w:eastAsia="zh-CN"/>
              </w:rPr>
              <w:t>辅助工程</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70F44">
            <w:pPr>
              <w:pStyle w:val="43"/>
              <w:bidi w:val="0"/>
              <w:rPr>
                <w:rFonts w:hint="eastAsia"/>
              </w:rPr>
            </w:pPr>
            <w:r>
              <w:rPr>
                <w:rFonts w:hint="eastAsia"/>
                <w:lang w:val="en-US" w:eastAsia="zh-CN"/>
              </w:rPr>
              <w:t>办公生活用房</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B262">
            <w:pPr>
              <w:pStyle w:val="43"/>
              <w:bidi w:val="0"/>
              <w:rPr>
                <w:rFonts w:hint="eastAsia"/>
              </w:rPr>
            </w:pPr>
            <w:r>
              <w:rPr>
                <w:rFonts w:hint="eastAsia"/>
                <w:lang w:val="en-US" w:eastAsia="zh-CN"/>
              </w:rPr>
              <w:t>占地面积为</w:t>
            </w:r>
            <w:r>
              <w:rPr>
                <w:rFonts w:hint="default"/>
                <w:lang w:val="en-US" w:eastAsia="zh-CN"/>
              </w:rPr>
              <w:t>400m2</w:t>
            </w:r>
            <w:r>
              <w:rPr>
                <w:rFonts w:hint="eastAsia"/>
                <w:lang w:val="en-US" w:eastAsia="zh-CN"/>
              </w:rPr>
              <w:t>，建筑面积为</w:t>
            </w:r>
            <w:r>
              <w:rPr>
                <w:rFonts w:hint="default"/>
                <w:lang w:val="en-US" w:eastAsia="zh-CN"/>
              </w:rPr>
              <w:t>400m2</w:t>
            </w:r>
            <w:r>
              <w:rPr>
                <w:rFonts w:hint="eastAsia"/>
                <w:lang w:val="en-US" w:eastAsia="zh-CN"/>
              </w:rPr>
              <w:t>（轻型钢结构）。</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BB3EE">
            <w:pPr>
              <w:pStyle w:val="43"/>
              <w:bidi w:val="0"/>
              <w:rPr>
                <w:rFonts w:hint="eastAsia"/>
              </w:rPr>
            </w:pPr>
            <w:r>
              <w:rPr>
                <w:rFonts w:hint="eastAsia"/>
                <w:lang w:val="en-US" w:eastAsia="zh-CN"/>
              </w:rPr>
              <w:t>占地面积为</w:t>
            </w:r>
            <w:r>
              <w:rPr>
                <w:rFonts w:hint="default"/>
                <w:lang w:val="en-US" w:eastAsia="zh-CN"/>
              </w:rPr>
              <w:t>400m2</w:t>
            </w:r>
            <w:r>
              <w:rPr>
                <w:rFonts w:hint="eastAsia"/>
                <w:lang w:val="en-US" w:eastAsia="zh-CN"/>
              </w:rPr>
              <w:t>，建筑面积为</w:t>
            </w:r>
            <w:r>
              <w:rPr>
                <w:rFonts w:hint="default"/>
                <w:lang w:val="en-US" w:eastAsia="zh-CN"/>
              </w:rPr>
              <w:t>400m2</w:t>
            </w:r>
            <w:r>
              <w:rPr>
                <w:rFonts w:hint="eastAsia"/>
                <w:lang w:val="en-US" w:eastAsia="zh-CN"/>
              </w:rPr>
              <w:t>（轻型钢结构）。</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8EFF">
            <w:pPr>
              <w:pStyle w:val="43"/>
              <w:bidi w:val="0"/>
              <w:rPr>
                <w:rFonts w:hint="eastAsia"/>
              </w:rPr>
            </w:pPr>
            <w:r>
              <w:rPr>
                <w:rFonts w:hint="eastAsia"/>
                <w:lang w:val="en-US" w:eastAsia="zh-CN"/>
              </w:rPr>
              <w:t>沿用</w:t>
            </w:r>
          </w:p>
        </w:tc>
      </w:tr>
      <w:tr w14:paraId="3CF7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CE7C9">
            <w:pPr>
              <w:pStyle w:val="43"/>
              <w:bidi w:val="0"/>
              <w:rPr>
                <w:rFonts w:hint="eastAsia"/>
              </w:rPr>
            </w:pPr>
            <w:r>
              <w:rPr>
                <w:rFonts w:hint="eastAsia"/>
                <w:lang w:val="en-US" w:eastAsia="zh-CN"/>
              </w:rPr>
              <w:t>公用工程</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EB4D">
            <w:pPr>
              <w:pStyle w:val="43"/>
              <w:bidi w:val="0"/>
              <w:rPr>
                <w:rFonts w:hint="eastAsia"/>
              </w:rPr>
            </w:pPr>
            <w:r>
              <w:rPr>
                <w:rFonts w:hint="eastAsia"/>
                <w:lang w:val="en-US" w:eastAsia="zh-CN"/>
              </w:rPr>
              <w:t>给水工程</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9041">
            <w:pPr>
              <w:pStyle w:val="43"/>
              <w:bidi w:val="0"/>
              <w:rPr>
                <w:rFonts w:hint="eastAsia"/>
              </w:rPr>
            </w:pPr>
            <w:r>
              <w:rPr>
                <w:rFonts w:hint="eastAsia"/>
                <w:lang w:val="en-US" w:eastAsia="zh-CN"/>
              </w:rPr>
              <w:t>项目生产用水和生活用水全部来自云南普阳煤化工有限责任公司电石厂（已建供水管网），通过铺设管线接入项目场区，提供给项目生产及生活使用。</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1F16">
            <w:pPr>
              <w:pStyle w:val="43"/>
              <w:bidi w:val="0"/>
              <w:rPr>
                <w:rFonts w:hint="eastAsia"/>
              </w:rPr>
            </w:pPr>
            <w:r>
              <w:rPr>
                <w:rFonts w:hint="eastAsia"/>
                <w:lang w:val="en-US" w:eastAsia="zh-CN"/>
              </w:rPr>
              <w:t>项目生产用水和生活用水全部来自云南普阳煤化工有限责任公司电石厂（已建供水管网），通过铺设管线接入项目场区，提供给项目生产及生活使用。</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A1D7">
            <w:pPr>
              <w:pStyle w:val="43"/>
              <w:bidi w:val="0"/>
              <w:rPr>
                <w:rFonts w:hint="eastAsia"/>
              </w:rPr>
            </w:pPr>
            <w:r>
              <w:rPr>
                <w:rFonts w:hint="eastAsia"/>
                <w:lang w:val="en-US" w:eastAsia="zh-CN"/>
              </w:rPr>
              <w:t>沿用</w:t>
            </w:r>
          </w:p>
        </w:tc>
      </w:tr>
      <w:tr w14:paraId="23599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C76AE">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B2BC3">
            <w:pPr>
              <w:pStyle w:val="43"/>
              <w:bidi w:val="0"/>
              <w:rPr>
                <w:rFonts w:hint="eastAsia"/>
              </w:rPr>
            </w:pPr>
            <w:r>
              <w:rPr>
                <w:rFonts w:hint="eastAsia"/>
                <w:lang w:val="en-US" w:eastAsia="zh-CN"/>
              </w:rPr>
              <w:t>排水工程</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143F">
            <w:pPr>
              <w:pStyle w:val="43"/>
              <w:bidi w:val="0"/>
              <w:rPr>
                <w:rFonts w:hint="eastAsia"/>
              </w:rPr>
            </w:pPr>
            <w:r>
              <w:rPr>
                <w:rFonts w:hint="eastAsia"/>
                <w:lang w:val="en-US" w:eastAsia="zh-CN"/>
              </w:rPr>
              <w:t>工程严格实行雨污分流。项目区初期雨水经排水沟收集后排入项目区初期雨水收集池（</w:t>
            </w:r>
            <w:r>
              <w:rPr>
                <w:rFonts w:hint="default"/>
                <w:lang w:val="en-US" w:eastAsia="zh-CN"/>
              </w:rPr>
              <w:t>50</w:t>
            </w:r>
            <w:r>
              <w:rPr>
                <w:rFonts w:hint="eastAsia"/>
                <w:lang w:val="en-US" w:eastAsia="zh-CN"/>
              </w:rPr>
              <w:t>m</w:t>
            </w:r>
            <w:r>
              <w:rPr>
                <w:rFonts w:hint="eastAsia"/>
                <w:vertAlign w:val="superscript"/>
                <w:lang w:val="en-US" w:eastAsia="zh-CN"/>
              </w:rPr>
              <w:t>3</w:t>
            </w:r>
            <w:r>
              <w:rPr>
                <w:rFonts w:hint="eastAsia"/>
                <w:lang w:val="en-US" w:eastAsia="zh-CN"/>
              </w:rPr>
              <w:t>），经沉淀后用作场区降尘用水；生活污水经粪污收集池收集后，委托周边村民定期清掏用作农肥（其中，生活污水中的洗漱废水、厨房废水，经收集后用作场区洒水降尘）；项目矿区、砂石料场、生活区外侧设截洪沟用来阻截雨水进入场区。</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C49E">
            <w:pPr>
              <w:pStyle w:val="43"/>
              <w:bidi w:val="0"/>
              <w:rPr>
                <w:rFonts w:hint="eastAsia"/>
              </w:rPr>
            </w:pPr>
            <w:r>
              <w:rPr>
                <w:rFonts w:hint="eastAsia"/>
                <w:lang w:val="en-US" w:eastAsia="zh-CN"/>
              </w:rPr>
              <w:t>工程严格实行雨污分流。项目区初期雨水经排水沟收集后排入项目区初期雨水收集池（200m</w:t>
            </w:r>
            <w:r>
              <w:rPr>
                <w:rFonts w:hint="eastAsia"/>
                <w:vertAlign w:val="superscript"/>
                <w:lang w:val="en-US" w:eastAsia="zh-CN"/>
              </w:rPr>
              <w:t>3</w:t>
            </w:r>
            <w:r>
              <w:rPr>
                <w:rFonts w:hint="eastAsia"/>
                <w:lang w:val="en-US" w:eastAsia="zh-CN"/>
              </w:rPr>
              <w:t>），经沉淀后用作场区降尘用水；生活污水经粪污收集池收集后，委托周边村民定期清掏用作农肥；项目矿区、砂石料场、生活区外侧设截洪沟用来阻截雨水进入场区。</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2E4A">
            <w:pPr>
              <w:pStyle w:val="43"/>
              <w:bidi w:val="0"/>
              <w:rPr>
                <w:rFonts w:hint="eastAsia"/>
              </w:rPr>
            </w:pPr>
            <w:r>
              <w:rPr>
                <w:rFonts w:hint="eastAsia"/>
                <w:lang w:val="en-US" w:eastAsia="zh-CN"/>
              </w:rPr>
              <w:t>沿用</w:t>
            </w:r>
          </w:p>
        </w:tc>
      </w:tr>
      <w:tr w14:paraId="06198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AEED9">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ACAB">
            <w:pPr>
              <w:pStyle w:val="43"/>
              <w:bidi w:val="0"/>
              <w:rPr>
                <w:rFonts w:hint="eastAsia"/>
              </w:rPr>
            </w:pPr>
            <w:r>
              <w:rPr>
                <w:rFonts w:hint="eastAsia"/>
                <w:lang w:val="en-US" w:eastAsia="zh-CN"/>
              </w:rPr>
              <w:t>供电工程</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3A4CA">
            <w:pPr>
              <w:pStyle w:val="43"/>
              <w:bidi w:val="0"/>
              <w:rPr>
                <w:rFonts w:hint="eastAsia"/>
              </w:rPr>
            </w:pPr>
            <w:r>
              <w:rPr>
                <w:rFonts w:hint="eastAsia"/>
                <w:lang w:val="en-US" w:eastAsia="zh-CN"/>
              </w:rPr>
              <w:t>项目用电来自云南普阳煤化工有限责任公司电石厂供电电网，就近架空线引至项目区，项目区设有</w:t>
            </w:r>
            <w:r>
              <w:rPr>
                <w:rFonts w:hint="default"/>
                <w:lang w:val="en-US" w:eastAsia="zh-CN"/>
              </w:rPr>
              <w:t>1</w:t>
            </w:r>
            <w:r>
              <w:rPr>
                <w:rFonts w:hint="eastAsia"/>
                <w:lang w:val="en-US" w:eastAsia="zh-CN"/>
              </w:rPr>
              <w:t>台</w:t>
            </w:r>
            <w:r>
              <w:rPr>
                <w:rFonts w:hint="default"/>
                <w:lang w:val="en-US" w:eastAsia="zh-CN"/>
              </w:rPr>
              <w:t>800kVA</w:t>
            </w:r>
            <w:r>
              <w:rPr>
                <w:rFonts w:hint="eastAsia"/>
                <w:lang w:val="en-US" w:eastAsia="zh-CN"/>
              </w:rPr>
              <w:t>变压器，经变压器变压后供生产、生活用电。</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BCD0">
            <w:pPr>
              <w:pStyle w:val="43"/>
              <w:bidi w:val="0"/>
              <w:rPr>
                <w:rFonts w:hint="eastAsia"/>
              </w:rPr>
            </w:pPr>
            <w:r>
              <w:rPr>
                <w:rFonts w:hint="eastAsia"/>
                <w:lang w:val="en-US" w:eastAsia="zh-CN"/>
              </w:rPr>
              <w:t>项目用电来自云南普阳煤化工有限责任公司电石厂供电电网，就近架空线引至项目区，项目区设有</w:t>
            </w:r>
            <w:r>
              <w:rPr>
                <w:rFonts w:hint="default"/>
                <w:lang w:val="en-US" w:eastAsia="zh-CN"/>
              </w:rPr>
              <w:t>1</w:t>
            </w:r>
            <w:r>
              <w:rPr>
                <w:rFonts w:hint="eastAsia"/>
                <w:lang w:val="en-US" w:eastAsia="zh-CN"/>
              </w:rPr>
              <w:t>台</w:t>
            </w:r>
            <w:r>
              <w:rPr>
                <w:rFonts w:hint="default"/>
                <w:lang w:val="en-US" w:eastAsia="zh-CN"/>
              </w:rPr>
              <w:t>800kVA</w:t>
            </w:r>
            <w:r>
              <w:rPr>
                <w:rFonts w:hint="eastAsia"/>
                <w:lang w:val="en-US" w:eastAsia="zh-CN"/>
              </w:rPr>
              <w:t>变压器，经变压器变压后供生产、生活用电。</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BA35">
            <w:pPr>
              <w:pStyle w:val="43"/>
              <w:bidi w:val="0"/>
              <w:rPr>
                <w:rFonts w:hint="eastAsia"/>
              </w:rPr>
            </w:pPr>
            <w:r>
              <w:rPr>
                <w:rFonts w:hint="eastAsia"/>
                <w:lang w:val="en-US" w:eastAsia="zh-CN"/>
              </w:rPr>
              <w:t>沿用</w:t>
            </w:r>
          </w:p>
        </w:tc>
      </w:tr>
      <w:tr w14:paraId="0AAF2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142A0">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13CC4">
            <w:pPr>
              <w:pStyle w:val="43"/>
              <w:bidi w:val="0"/>
              <w:rPr>
                <w:rFonts w:hint="eastAsia"/>
              </w:rPr>
            </w:pPr>
            <w:r>
              <w:rPr>
                <w:rFonts w:hint="eastAsia"/>
                <w:lang w:val="en-US" w:eastAsia="zh-CN"/>
              </w:rPr>
              <w:t>通信工程</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02D4B">
            <w:pPr>
              <w:pStyle w:val="43"/>
              <w:bidi w:val="0"/>
              <w:rPr>
                <w:rFonts w:hint="eastAsia"/>
              </w:rPr>
            </w:pPr>
            <w:r>
              <w:rPr>
                <w:rFonts w:hint="eastAsia"/>
                <w:lang w:val="en-US" w:eastAsia="zh-CN"/>
              </w:rPr>
              <w:t>项目区域中国移动、中国联通、中国电信网络完备，主要生产工人、管理人员配备手机，可以保障在安全生产管理中通讯或联系畅通。</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BC57">
            <w:pPr>
              <w:pStyle w:val="43"/>
              <w:bidi w:val="0"/>
              <w:rPr>
                <w:rFonts w:hint="eastAsia"/>
              </w:rPr>
            </w:pPr>
            <w:r>
              <w:rPr>
                <w:rFonts w:hint="eastAsia"/>
                <w:lang w:val="en-US" w:eastAsia="zh-CN"/>
              </w:rPr>
              <w:t>项目区域中国移动、中国联通、中国电信网络完备，主要生产工人、管理人员配备手机，可以保障在安全生产管理中通讯或联系畅通。</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F75A">
            <w:pPr>
              <w:pStyle w:val="43"/>
              <w:bidi w:val="0"/>
              <w:rPr>
                <w:rFonts w:hint="eastAsia"/>
              </w:rPr>
            </w:pPr>
            <w:r>
              <w:rPr>
                <w:rFonts w:hint="eastAsia"/>
                <w:lang w:val="en-US" w:eastAsia="zh-CN"/>
              </w:rPr>
              <w:t>沿用</w:t>
            </w:r>
          </w:p>
        </w:tc>
      </w:tr>
      <w:tr w14:paraId="7DAE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220DE">
            <w:pPr>
              <w:pStyle w:val="43"/>
              <w:bidi w:val="0"/>
              <w:rPr>
                <w:rFonts w:hint="eastAsia"/>
              </w:rPr>
            </w:pPr>
            <w:r>
              <w:rPr>
                <w:rFonts w:hint="eastAsia"/>
                <w:lang w:val="en-US" w:eastAsia="zh-CN"/>
              </w:rPr>
              <w:t>环保工程</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0C992">
            <w:pPr>
              <w:pStyle w:val="43"/>
              <w:bidi w:val="0"/>
              <w:rPr>
                <w:rFonts w:hint="eastAsia"/>
              </w:rPr>
            </w:pPr>
            <w:r>
              <w:rPr>
                <w:rFonts w:hint="eastAsia"/>
                <w:lang w:val="en-US" w:eastAsia="zh-CN"/>
              </w:rPr>
              <w:t>废水处理</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89BB">
            <w:pPr>
              <w:pStyle w:val="43"/>
              <w:bidi w:val="0"/>
              <w:rPr>
                <w:rFonts w:hint="eastAsia"/>
              </w:rPr>
            </w:pPr>
            <w:r>
              <w:rPr>
                <w:rFonts w:hint="eastAsia"/>
                <w:lang w:val="en-US" w:eastAsia="zh-CN"/>
              </w:rPr>
              <w:t>粪污收集池，位于项目西南侧办公生活区，用来收集员工粪便等，委托周边村民定期清掏用作农肥。</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F68E5">
            <w:pPr>
              <w:pStyle w:val="43"/>
              <w:bidi w:val="0"/>
              <w:rPr>
                <w:rFonts w:hint="eastAsia"/>
              </w:rPr>
            </w:pPr>
            <w:r>
              <w:rPr>
                <w:rFonts w:hint="eastAsia"/>
                <w:lang w:val="en-US" w:eastAsia="zh-CN"/>
              </w:rPr>
              <w:t>粪污收集池，位于项目西南侧办公生活区，用来收集员工粪便等，委托周边村民定期清掏用作农肥。</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5E2A">
            <w:pPr>
              <w:pStyle w:val="43"/>
              <w:bidi w:val="0"/>
              <w:rPr>
                <w:rFonts w:hint="eastAsia"/>
              </w:rPr>
            </w:pPr>
            <w:r>
              <w:rPr>
                <w:rFonts w:hint="eastAsia"/>
                <w:lang w:val="en-US" w:eastAsia="zh-CN"/>
              </w:rPr>
              <w:t>沿用</w:t>
            </w:r>
          </w:p>
        </w:tc>
      </w:tr>
      <w:tr w14:paraId="08E15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F7E36">
            <w:pPr>
              <w:pStyle w:val="43"/>
              <w:bidi w:val="0"/>
              <w:rPr>
                <w:rFonts w:hint="eastAsia"/>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FC92C">
            <w:pPr>
              <w:pStyle w:val="43"/>
              <w:bidi w:val="0"/>
              <w:rPr>
                <w:rFonts w:hint="eastAsia"/>
              </w:rPr>
            </w:pP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E37A">
            <w:pPr>
              <w:pStyle w:val="43"/>
              <w:bidi w:val="0"/>
              <w:rPr>
                <w:rFonts w:hint="eastAsia"/>
              </w:rPr>
            </w:pPr>
            <w:r>
              <w:rPr>
                <w:rFonts w:hint="eastAsia"/>
                <w:lang w:val="en-US" w:eastAsia="zh-CN"/>
              </w:rPr>
              <w:t>项目设有截洪沟、排水沟，截洪沟用来阻截雨水进入场区，排水沟用来收集和引排场区内的积水。</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A5E51">
            <w:pPr>
              <w:pStyle w:val="43"/>
              <w:bidi w:val="0"/>
              <w:rPr>
                <w:rFonts w:hint="eastAsia"/>
              </w:rPr>
            </w:pPr>
            <w:r>
              <w:rPr>
                <w:rFonts w:hint="eastAsia"/>
                <w:lang w:val="en-US" w:eastAsia="zh-CN"/>
              </w:rPr>
              <w:t>项目设置截洪沟、排水沟，截洪沟用来阻截雨水进入场区，排水沟用来收集和引排场区内的积水。</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61A5">
            <w:pPr>
              <w:pStyle w:val="43"/>
              <w:bidi w:val="0"/>
              <w:rPr>
                <w:rFonts w:hint="default"/>
                <w:lang w:val="en-US"/>
              </w:rPr>
            </w:pPr>
            <w:r>
              <w:rPr>
                <w:rFonts w:hint="eastAsia"/>
                <w:lang w:val="en-US" w:eastAsia="zh-CN"/>
              </w:rPr>
              <w:t>沿用+改造</w:t>
            </w:r>
          </w:p>
        </w:tc>
      </w:tr>
      <w:tr w14:paraId="27405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DACDF">
            <w:pPr>
              <w:pStyle w:val="43"/>
              <w:bidi w:val="0"/>
              <w:rPr>
                <w:rFonts w:hint="eastAsia"/>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3E3A5">
            <w:pPr>
              <w:pStyle w:val="43"/>
              <w:bidi w:val="0"/>
              <w:rPr>
                <w:rFonts w:hint="eastAsia"/>
              </w:rPr>
            </w:pP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AAB4">
            <w:pPr>
              <w:pStyle w:val="43"/>
              <w:bidi w:val="0"/>
              <w:rPr>
                <w:rFonts w:hint="eastAsia"/>
              </w:rPr>
            </w:pPr>
            <w:r>
              <w:rPr>
                <w:rFonts w:hint="eastAsia"/>
                <w:lang w:val="en-US" w:eastAsia="zh-CN"/>
              </w:rPr>
              <w:t>项目设有初期雨水收集池（</w:t>
            </w:r>
            <w:r>
              <w:rPr>
                <w:rFonts w:hint="default"/>
                <w:lang w:val="en-US" w:eastAsia="zh-CN"/>
              </w:rPr>
              <w:t>50</w:t>
            </w:r>
            <w:r>
              <w:rPr>
                <w:rFonts w:hint="eastAsia"/>
                <w:lang w:val="en-US" w:eastAsia="zh-CN"/>
              </w:rPr>
              <w:t>m</w:t>
            </w:r>
            <w:r>
              <w:rPr>
                <w:rFonts w:hint="eastAsia"/>
                <w:vertAlign w:val="superscript"/>
                <w:lang w:val="en-US" w:eastAsia="zh-CN"/>
              </w:rPr>
              <w:t>3</w:t>
            </w:r>
            <w:r>
              <w:rPr>
                <w:rFonts w:hint="eastAsia"/>
                <w:lang w:val="en-US" w:eastAsia="zh-CN"/>
              </w:rPr>
              <w:t>），用于收集场区内雨水，经沉淀后用作场区降尘用水。</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A6A2">
            <w:pPr>
              <w:pStyle w:val="43"/>
              <w:bidi w:val="0"/>
              <w:rPr>
                <w:rFonts w:hint="eastAsia"/>
              </w:rPr>
            </w:pPr>
            <w:r>
              <w:rPr>
                <w:rFonts w:hint="eastAsia"/>
                <w:lang w:val="en-US" w:eastAsia="zh-CN"/>
              </w:rPr>
              <w:t>拟将初期雨水收集池扩大到200</w:t>
            </w:r>
            <w:r>
              <w:rPr>
                <w:rFonts w:hint="default"/>
                <w:lang w:val="en-US" w:eastAsia="zh-CN"/>
              </w:rPr>
              <w:t>0</w:t>
            </w:r>
            <w:r>
              <w:rPr>
                <w:rFonts w:hint="eastAsia"/>
                <w:lang w:val="en-US" w:eastAsia="zh-CN"/>
              </w:rPr>
              <w:t>m</w:t>
            </w:r>
            <w:r>
              <w:rPr>
                <w:rFonts w:hint="eastAsia"/>
                <w:vertAlign w:val="superscript"/>
                <w:lang w:val="en-US" w:eastAsia="zh-CN"/>
              </w:rPr>
              <w:t>3</w:t>
            </w:r>
            <w:r>
              <w:rPr>
                <w:rFonts w:hint="eastAsia"/>
                <w:lang w:val="en-US" w:eastAsia="zh-CN"/>
              </w:rPr>
              <w:t>，用于收集场区内雨水，经沉淀后用作场区降尘用水。</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83B0">
            <w:pPr>
              <w:pStyle w:val="43"/>
              <w:bidi w:val="0"/>
              <w:rPr>
                <w:rFonts w:hint="eastAsia"/>
              </w:rPr>
            </w:pPr>
            <w:r>
              <w:rPr>
                <w:rFonts w:hint="eastAsia"/>
                <w:lang w:val="en-US" w:eastAsia="zh-CN"/>
              </w:rPr>
              <w:t>沿用+改造</w:t>
            </w:r>
          </w:p>
        </w:tc>
      </w:tr>
      <w:tr w14:paraId="314B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545DD">
            <w:pPr>
              <w:pStyle w:val="43"/>
              <w:bidi w:val="0"/>
              <w:rPr>
                <w:rFonts w:hint="eastAsia"/>
              </w:rPr>
            </w:pP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BB05F">
            <w:pPr>
              <w:pStyle w:val="43"/>
              <w:bidi w:val="0"/>
              <w:rPr>
                <w:rFonts w:hint="eastAsia"/>
              </w:rPr>
            </w:pPr>
            <w:r>
              <w:rPr>
                <w:rFonts w:hint="eastAsia"/>
                <w:lang w:val="en-US" w:eastAsia="zh-CN"/>
              </w:rPr>
              <w:t>废气处理</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E4119">
            <w:pPr>
              <w:pStyle w:val="43"/>
              <w:bidi w:val="0"/>
              <w:rPr>
                <w:rFonts w:hint="eastAsia"/>
              </w:rPr>
            </w:pPr>
            <w:r>
              <w:rPr>
                <w:rFonts w:hint="eastAsia"/>
                <w:lang w:val="en-US" w:eastAsia="zh-CN"/>
              </w:rPr>
              <w:t>砂石料生产加工区：在破碎机喂料口和破碎环节设置喷雾洒水装置，并设置配套水箱。</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655A1">
            <w:pPr>
              <w:pStyle w:val="43"/>
              <w:bidi w:val="0"/>
              <w:rPr>
                <w:rFonts w:hint="eastAsia"/>
              </w:rPr>
            </w:pPr>
            <w:r>
              <w:rPr>
                <w:rFonts w:hint="eastAsia"/>
                <w:lang w:val="en-US" w:eastAsia="zh-CN"/>
              </w:rPr>
              <w:t>砂石料生产加工区：在破碎机喂料口和破碎环节设置喷雾洒水装置，并设置配套水箱；石料输送带设置彩钢瓦防护罩，下料口设置帆布或软管等防尘设施。</w:t>
            </w:r>
            <w:r>
              <w:rPr>
                <w:rFonts w:hint="default" w:ascii="Times New Roman" w:hAnsi="Times New Roman" w:cs="Times New Roman"/>
                <w:color w:val="000000" w:themeColor="text1"/>
                <w:highlight w:val="none"/>
                <w:lang w:val="en-US" w:eastAsia="zh-CN"/>
                <w14:textFill>
                  <w14:solidFill>
                    <w14:schemeClr w14:val="tx1"/>
                  </w14:solidFill>
                </w14:textFill>
              </w:rPr>
              <w:t>在砂石加工工序（破碎工序、筛分和打砂工序）设置集气罩收集粉尘并经布袋除尘器处理达标后经15m高DA001排气筒排放</w:t>
            </w:r>
            <w:r>
              <w:rPr>
                <w:rFonts w:hint="eastAsia" w:ascii="Times New Roman" w:hAnsi="Times New Roman" w:cs="Times New Roman"/>
                <w:color w:val="000000" w:themeColor="text1"/>
                <w:highlight w:val="none"/>
                <w:lang w:val="en-US" w:eastAsia="zh-CN"/>
                <w14:textFill>
                  <w14:solidFill>
                    <w14:schemeClr w14:val="tx1"/>
                  </w14:solidFill>
                </w14:textFill>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C5EB">
            <w:pPr>
              <w:pStyle w:val="43"/>
              <w:bidi w:val="0"/>
              <w:rPr>
                <w:rFonts w:hint="default"/>
                <w:lang w:val="en-US"/>
              </w:rPr>
            </w:pPr>
            <w:r>
              <w:rPr>
                <w:rFonts w:hint="eastAsia"/>
                <w:lang w:val="en-US" w:eastAsia="zh-CN"/>
              </w:rPr>
              <w:t>沿用+改造</w:t>
            </w:r>
          </w:p>
        </w:tc>
      </w:tr>
      <w:tr w14:paraId="6CA55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62AE">
            <w:pPr>
              <w:pStyle w:val="43"/>
              <w:bidi w:val="0"/>
              <w:rPr>
                <w:rFonts w:hint="eastAsia"/>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6EE17">
            <w:pPr>
              <w:pStyle w:val="43"/>
              <w:bidi w:val="0"/>
              <w:rPr>
                <w:rFonts w:hint="eastAsia"/>
              </w:rPr>
            </w:pP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598D0">
            <w:pPr>
              <w:pStyle w:val="43"/>
              <w:bidi w:val="0"/>
              <w:rPr>
                <w:rFonts w:hint="eastAsia"/>
              </w:rPr>
            </w:pPr>
            <w:r>
              <w:rPr>
                <w:rFonts w:hint="eastAsia"/>
                <w:lang w:val="en-US" w:eastAsia="zh-CN"/>
              </w:rPr>
              <w:t>项目砂石料场、场区道路等设置固定喷淋设施，喷洒适量水，以减少露天堆放扬尘排放量；石料运输环节不能装载过满，需对车厢进行覆盖。</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B529F">
            <w:pPr>
              <w:pStyle w:val="43"/>
              <w:bidi w:val="0"/>
              <w:rPr>
                <w:rFonts w:hint="eastAsia"/>
              </w:rPr>
            </w:pPr>
            <w:r>
              <w:rPr>
                <w:rFonts w:hint="eastAsia"/>
                <w:lang w:val="en-US" w:eastAsia="zh-CN"/>
              </w:rPr>
              <w:t>项目砂石料场、场区道路等设置固定喷淋设施，喷洒适量水，以减少露天堆放扬尘排放量；石料运输环节不能装载过满，需对车厢进行覆盖。</w:t>
            </w:r>
            <w:r>
              <w:rPr>
                <w:rFonts w:hint="default" w:ascii="Times New Roman" w:hAnsi="Times New Roman" w:cs="Times New Roman"/>
                <w:color w:val="000000" w:themeColor="text1"/>
                <w:highlight w:val="none"/>
                <w:lang w:val="en-US" w:eastAsia="zh-CN"/>
                <w14:textFill>
                  <w14:solidFill>
                    <w14:schemeClr w14:val="tx1"/>
                  </w14:solidFill>
                </w14:textFill>
              </w:rPr>
              <w:t>配备洒水车、雾炮机，晴天对露天采场、表土堆场、弃渣场、堆料场、运输道路区进行洒水降尘和保洁</w:t>
            </w:r>
            <w:r>
              <w:rPr>
                <w:rFonts w:hint="eastAsia" w:ascii="Times New Roman" w:hAnsi="Times New Roman" w:cs="Times New Roman"/>
                <w:color w:val="000000" w:themeColor="text1"/>
                <w:highlight w:val="none"/>
                <w:lang w:val="en-US" w:eastAsia="zh-CN"/>
                <w14:textFill>
                  <w14:solidFill>
                    <w14:schemeClr w14:val="tx1"/>
                  </w14:solidFill>
                </w14:textFill>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F0B8">
            <w:pPr>
              <w:pStyle w:val="43"/>
              <w:bidi w:val="0"/>
              <w:rPr>
                <w:rFonts w:hint="default"/>
                <w:lang w:val="en-US"/>
              </w:rPr>
            </w:pPr>
            <w:r>
              <w:rPr>
                <w:rFonts w:hint="eastAsia"/>
                <w:lang w:val="en-US" w:eastAsia="zh-CN"/>
              </w:rPr>
              <w:t>沿用+改造</w:t>
            </w:r>
          </w:p>
        </w:tc>
      </w:tr>
      <w:tr w14:paraId="7DBC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53642">
            <w:pPr>
              <w:pStyle w:val="43"/>
              <w:bidi w:val="0"/>
              <w:rPr>
                <w:rFonts w:hint="eastAsia"/>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93E6">
            <w:pPr>
              <w:pStyle w:val="43"/>
              <w:bidi w:val="0"/>
              <w:rPr>
                <w:rFonts w:hint="eastAsia"/>
              </w:rPr>
            </w:pPr>
            <w:r>
              <w:rPr>
                <w:rFonts w:hint="eastAsia"/>
                <w:lang w:val="en-US" w:eastAsia="zh-CN"/>
              </w:rPr>
              <w:t>噪声控制</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5D38E">
            <w:pPr>
              <w:pStyle w:val="43"/>
              <w:bidi w:val="0"/>
              <w:rPr>
                <w:rFonts w:hint="eastAsia"/>
              </w:rPr>
            </w:pPr>
            <w:r>
              <w:rPr>
                <w:rFonts w:hint="eastAsia"/>
                <w:lang w:val="en-US" w:eastAsia="zh-CN"/>
              </w:rPr>
              <w:t>对高噪声的设备安装减振垫、消声器等措施；在厂区周围及道路两旁的空地种植树木，减少噪声对周围环境的影响。</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66062">
            <w:pPr>
              <w:pStyle w:val="43"/>
              <w:bidi w:val="0"/>
              <w:rPr>
                <w:rFonts w:hint="eastAsia"/>
              </w:rPr>
            </w:pPr>
            <w:r>
              <w:rPr>
                <w:rFonts w:hint="eastAsia"/>
                <w:lang w:val="en-US" w:eastAsia="zh-CN"/>
              </w:rPr>
              <w:t>对高噪声的设备安装减振垫、消声器等措施；在厂区周围及道路两旁的空地种植树木，减少噪声对周围环境的影响。</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743D">
            <w:pPr>
              <w:pStyle w:val="43"/>
              <w:bidi w:val="0"/>
              <w:rPr>
                <w:rFonts w:hint="eastAsia"/>
              </w:rPr>
            </w:pPr>
            <w:r>
              <w:rPr>
                <w:rFonts w:hint="eastAsia"/>
                <w:lang w:val="en-US" w:eastAsia="zh-CN"/>
              </w:rPr>
              <w:t>沿用</w:t>
            </w:r>
          </w:p>
        </w:tc>
      </w:tr>
      <w:tr w14:paraId="1720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7C17B">
            <w:pPr>
              <w:pStyle w:val="43"/>
              <w:bidi w:val="0"/>
              <w:rPr>
                <w:rFonts w:hint="eastAsia"/>
              </w:rPr>
            </w:pPr>
          </w:p>
        </w:tc>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42E98">
            <w:pPr>
              <w:pStyle w:val="43"/>
              <w:bidi w:val="0"/>
              <w:rPr>
                <w:rFonts w:hint="eastAsia"/>
              </w:rPr>
            </w:pPr>
            <w:r>
              <w:rPr>
                <w:rFonts w:hint="eastAsia"/>
                <w:lang w:val="en-US" w:eastAsia="zh-CN"/>
              </w:rPr>
              <w:t>固体废弃物处理</w:t>
            </w: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0FA27">
            <w:pPr>
              <w:pStyle w:val="43"/>
              <w:bidi w:val="0"/>
              <w:rPr>
                <w:rFonts w:hint="eastAsia"/>
              </w:rPr>
            </w:pPr>
            <w:r>
              <w:rPr>
                <w:rFonts w:hint="eastAsia"/>
                <w:lang w:val="en-US" w:eastAsia="zh-CN"/>
              </w:rPr>
              <w:t>项目矿山在开采过程中，会产生剥离废土石，这部分废土石运送至位于矿山东面后山洼的废土场堆存（废土场依托云南普阳煤化工有限责任公司砚山县红舍克东山石灰岩矿</w:t>
            </w:r>
            <w:r>
              <w:rPr>
                <w:rFonts w:hint="default"/>
                <w:lang w:val="en-US" w:eastAsia="zh-CN"/>
              </w:rPr>
              <w:t>1</w:t>
            </w:r>
            <w:r>
              <w:rPr>
                <w:rFonts w:hint="eastAsia"/>
                <w:lang w:val="en-US" w:eastAsia="zh-CN"/>
              </w:rPr>
              <w:t>号矿区的废土场）；项目生活办公区设有垃圾收集桶，生活垃圾集中收集后，统一处理。</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ACE6">
            <w:pPr>
              <w:pStyle w:val="43"/>
              <w:bidi w:val="0"/>
              <w:rPr>
                <w:rFonts w:hint="eastAsia"/>
              </w:rPr>
            </w:pPr>
            <w:r>
              <w:rPr>
                <w:rFonts w:hint="eastAsia"/>
                <w:lang w:val="en-US" w:eastAsia="zh-CN"/>
              </w:rPr>
              <w:t>项目矿山在开采过程中，剥离的表土进入表土堆场；项目生活办公区设有垃圾收集桶，生活垃圾集中收集后，统一处理。</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27609">
            <w:pPr>
              <w:pStyle w:val="43"/>
              <w:bidi w:val="0"/>
              <w:rPr>
                <w:rFonts w:hint="default"/>
                <w:lang w:val="en-US"/>
              </w:rPr>
            </w:pPr>
            <w:r>
              <w:rPr>
                <w:rFonts w:hint="eastAsia"/>
                <w:lang w:val="en-US" w:eastAsia="zh-CN"/>
              </w:rPr>
              <w:t>沿用+新建</w:t>
            </w:r>
          </w:p>
        </w:tc>
      </w:tr>
      <w:tr w14:paraId="181AC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BDAF5">
            <w:pPr>
              <w:pStyle w:val="43"/>
              <w:bidi w:val="0"/>
              <w:rPr>
                <w:rFonts w:hint="eastAsia"/>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E1B2">
            <w:pPr>
              <w:pStyle w:val="43"/>
              <w:bidi w:val="0"/>
              <w:rPr>
                <w:rFonts w:hint="eastAsia"/>
              </w:rPr>
            </w:pPr>
          </w:p>
        </w:tc>
        <w:tc>
          <w:tcPr>
            <w:tcW w:w="2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C9387">
            <w:pPr>
              <w:pStyle w:val="43"/>
              <w:bidi w:val="0"/>
              <w:rPr>
                <w:rFonts w:hint="eastAsia"/>
              </w:rPr>
            </w:pPr>
            <w:r>
              <w:rPr>
                <w:rFonts w:hint="eastAsia"/>
                <w:lang w:val="en-US" w:eastAsia="zh-CN"/>
              </w:rPr>
              <w:t>项目依托电石厂危险废物暂存间，项目产生的危险废物（废机油）经专用收集桶收集后，存于危险废物暂存间内，委托文山同磊再生资源回收有限公司定期处置。</w:t>
            </w:r>
          </w:p>
        </w:tc>
        <w:tc>
          <w:tcPr>
            <w:tcW w:w="1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99D8">
            <w:pPr>
              <w:pStyle w:val="43"/>
              <w:bidi w:val="0"/>
              <w:rPr>
                <w:rFonts w:hint="eastAsia"/>
              </w:rPr>
            </w:pPr>
            <w:r>
              <w:rPr>
                <w:rFonts w:hint="eastAsia"/>
                <w:lang w:val="en-US" w:eastAsia="zh-CN"/>
              </w:rPr>
              <w:t>项目依托电石厂危险废物暂存间，项目产生的危险废物（废机油）经专用收集桶收集后，存于危险废物暂存间内，委托文山同磊再生资源回收有限公司定期处置。</w:t>
            </w: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BEBE">
            <w:pPr>
              <w:pStyle w:val="43"/>
              <w:bidi w:val="0"/>
              <w:rPr>
                <w:rFonts w:hint="eastAsia"/>
              </w:rPr>
            </w:pPr>
            <w:r>
              <w:rPr>
                <w:rFonts w:hint="eastAsia"/>
                <w:lang w:val="en-US" w:eastAsia="zh-CN"/>
              </w:rPr>
              <w:t>沿用</w:t>
            </w:r>
          </w:p>
        </w:tc>
      </w:tr>
    </w:tbl>
    <w:p w14:paraId="484C8DDE">
      <w:pPr>
        <w:pStyle w:val="41"/>
        <w:bidi w:val="0"/>
        <w:rPr>
          <w:rFonts w:hint="default"/>
          <w:lang w:val="en-US" w:eastAsia="zh-CN"/>
        </w:rPr>
      </w:pPr>
    </w:p>
    <w:p w14:paraId="0D2DEF0C">
      <w:pPr>
        <w:pStyle w:val="41"/>
        <w:bidi w:val="0"/>
        <w:rPr>
          <w:rFonts w:hint="default"/>
          <w:lang w:val="en-US" w:eastAsia="zh-CN"/>
        </w:rPr>
        <w:sectPr>
          <w:pgSz w:w="16839" w:h="11906" w:orient="landscape"/>
          <w:pgMar w:top="1785" w:right="400" w:bottom="1719" w:left="1358" w:header="0" w:footer="1195" w:gutter="0"/>
          <w:pgNumType w:fmt="decimal"/>
          <w:cols w:space="720" w:num="1"/>
        </w:sectPr>
      </w:pPr>
    </w:p>
    <w:p w14:paraId="06461586">
      <w:pPr>
        <w:pStyle w:val="3"/>
        <w:bidi w:val="0"/>
        <w:ind w:left="575" w:leftChars="0" w:hanging="575" w:firstLineChars="0"/>
        <w:rPr>
          <w:rFonts w:hint="default"/>
          <w:lang w:val="en-US" w:eastAsia="zh-CN"/>
        </w:rPr>
      </w:pPr>
      <w:bookmarkStart w:id="150" w:name="_Toc11356"/>
      <w:bookmarkStart w:id="151" w:name="_Toc6112"/>
      <w:r>
        <w:rPr>
          <w:rFonts w:hint="default"/>
          <w:lang w:val="en-US" w:eastAsia="zh-CN"/>
        </w:rPr>
        <w:t>产品方案</w:t>
      </w:r>
      <w:bookmarkEnd w:id="150"/>
      <w:bookmarkEnd w:id="151"/>
    </w:p>
    <w:p w14:paraId="22E1DE90">
      <w:pPr>
        <w:pStyle w:val="41"/>
        <w:bidi w:val="0"/>
        <w:rPr>
          <w:rFonts w:hint="default"/>
          <w:lang w:eastAsia="zh-CN"/>
        </w:rPr>
      </w:pPr>
      <w:r>
        <w:rPr>
          <w:rFonts w:hint="default"/>
          <w:lang w:eastAsia="zh-CN"/>
        </w:rPr>
        <w:t>根据</w:t>
      </w:r>
      <w:r>
        <w:rPr>
          <w:rFonts w:hint="default"/>
          <w:lang w:val="en-US" w:eastAsia="zh-CN"/>
        </w:rPr>
        <w:t>建设单位</w:t>
      </w:r>
      <w:r>
        <w:rPr>
          <w:rFonts w:hint="default"/>
          <w:lang w:eastAsia="zh-CN"/>
        </w:rPr>
        <w:t>提供的资料，项目</w:t>
      </w:r>
      <w:r>
        <w:rPr>
          <w:rFonts w:hint="default"/>
          <w:lang w:val="en-US" w:eastAsia="zh-CN"/>
        </w:rPr>
        <w:t>以矿山开采的</w:t>
      </w:r>
      <w:r>
        <w:rPr>
          <w:rFonts w:hint="eastAsia"/>
          <w:lang w:val="en-US" w:eastAsia="zh-CN"/>
        </w:rPr>
        <w:t>石</w:t>
      </w:r>
      <w:r>
        <w:rPr>
          <w:rFonts w:hint="default"/>
          <w:lang w:val="en-US" w:eastAsia="zh-CN"/>
        </w:rPr>
        <w:t>灰岩矿作为原料，主要生产</w:t>
      </w:r>
      <w:r>
        <w:rPr>
          <w:rFonts w:hint="eastAsia"/>
          <w:lang w:val="en-US" w:eastAsia="zh-CN"/>
        </w:rPr>
        <w:t>电石生产用石子以及碎石、砂子。其中，石子为项目电石厂配套产品，碎石、砂子外售，本次扩建后，石子数量不变，外售的碎石、砂子产量增大</w:t>
      </w:r>
      <w:r>
        <w:rPr>
          <w:rFonts w:hint="default"/>
          <w:lang w:eastAsia="zh-CN"/>
        </w:rPr>
        <w:t>。项目具体产品方案见</w:t>
      </w:r>
      <w:r>
        <w:rPr>
          <w:rFonts w:hint="default"/>
          <w:lang w:val="en-US" w:eastAsia="zh-CN"/>
        </w:rPr>
        <w:t>下</w:t>
      </w:r>
      <w:r>
        <w:rPr>
          <w:rFonts w:hint="default"/>
          <w:lang w:eastAsia="zh-CN"/>
        </w:rPr>
        <w:t>表。</w:t>
      </w:r>
    </w:p>
    <w:p w14:paraId="75F22434">
      <w:pPr>
        <w:pStyle w:val="45"/>
        <w:bidi w:val="0"/>
        <w:rPr>
          <w:rFonts w:hint="default"/>
          <w:lang w:val="en-US" w:eastAsia="zh-CN"/>
        </w:rPr>
      </w:pPr>
      <w:r>
        <w:rPr>
          <w:rFonts w:hint="default"/>
        </w:rPr>
        <w:t>表</w:t>
      </w:r>
      <w:r>
        <w:rPr>
          <w:rFonts w:hint="eastAsia"/>
          <w:lang w:val="en-US" w:eastAsia="zh-CN"/>
        </w:rPr>
        <w:t>3</w:t>
      </w:r>
      <w:r>
        <w:rPr>
          <w:rFonts w:hint="default"/>
          <w:lang w:val="en-US" w:eastAsia="zh-CN"/>
        </w:rPr>
        <w:t>.3-1</w:t>
      </w:r>
      <w:r>
        <w:rPr>
          <w:rFonts w:hint="default"/>
        </w:rPr>
        <w:t xml:space="preserve">  </w:t>
      </w:r>
      <w:r>
        <w:rPr>
          <w:rFonts w:hint="default"/>
          <w:lang w:val="en-US" w:eastAsia="zh-CN"/>
        </w:rPr>
        <w:t>项目</w:t>
      </w:r>
      <w:r>
        <w:rPr>
          <w:rFonts w:hint="default"/>
        </w:rPr>
        <w:t>产品方案</w:t>
      </w:r>
      <w:r>
        <w:rPr>
          <w:rFonts w:hint="eastAsia"/>
          <w:lang w:val="en-US" w:eastAsia="zh-CN"/>
        </w:rPr>
        <w:t xml:space="preserve">  单位：万</w:t>
      </w:r>
      <w:r>
        <w:rPr>
          <w:lang w:val="en-US" w:eastAsia="zh-CN"/>
        </w:rPr>
        <w:t>t/a</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31"/>
        <w:gridCol w:w="1435"/>
        <w:gridCol w:w="1529"/>
        <w:gridCol w:w="1566"/>
        <w:gridCol w:w="1568"/>
        <w:gridCol w:w="1690"/>
      </w:tblGrid>
      <w:tr w14:paraId="7B78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429" w:type="pct"/>
            <w:shd w:val="clear" w:color="auto" w:fill="auto"/>
            <w:vAlign w:val="center"/>
          </w:tcPr>
          <w:p w14:paraId="16EFC0B0">
            <w:pPr>
              <w:pStyle w:val="43"/>
              <w:bidi w:val="0"/>
              <w:rPr>
                <w:rFonts w:hint="eastAsia"/>
                <w:b/>
                <w:bCs/>
              </w:rPr>
            </w:pPr>
            <w:bookmarkStart w:id="152" w:name="_Toc14944"/>
            <w:bookmarkStart w:id="153" w:name="_Toc23332"/>
            <w:r>
              <w:rPr>
                <w:rFonts w:hint="eastAsia"/>
                <w:b/>
                <w:bCs/>
                <w:lang w:val="en-US" w:eastAsia="zh-CN"/>
              </w:rPr>
              <w:t>序号</w:t>
            </w:r>
          </w:p>
        </w:tc>
        <w:tc>
          <w:tcPr>
            <w:tcW w:w="842" w:type="pct"/>
            <w:shd w:val="clear" w:color="auto" w:fill="auto"/>
            <w:vAlign w:val="center"/>
          </w:tcPr>
          <w:p w14:paraId="39E5DF42">
            <w:pPr>
              <w:pStyle w:val="43"/>
              <w:bidi w:val="0"/>
              <w:rPr>
                <w:rFonts w:hint="eastAsia"/>
                <w:b/>
                <w:bCs/>
              </w:rPr>
            </w:pPr>
            <w:r>
              <w:rPr>
                <w:rFonts w:hint="eastAsia"/>
                <w:b/>
                <w:bCs/>
                <w:lang w:val="en-US" w:eastAsia="zh-CN"/>
              </w:rPr>
              <w:t>产品品种</w:t>
            </w:r>
          </w:p>
        </w:tc>
        <w:tc>
          <w:tcPr>
            <w:tcW w:w="897" w:type="pct"/>
            <w:shd w:val="clear" w:color="auto" w:fill="auto"/>
            <w:vAlign w:val="center"/>
          </w:tcPr>
          <w:p w14:paraId="3FEE16A6">
            <w:pPr>
              <w:pStyle w:val="43"/>
              <w:bidi w:val="0"/>
              <w:rPr>
                <w:rFonts w:hint="eastAsia"/>
                <w:b/>
                <w:bCs/>
              </w:rPr>
            </w:pPr>
            <w:r>
              <w:rPr>
                <w:rFonts w:hint="eastAsia"/>
                <w:b/>
                <w:bCs/>
                <w:lang w:val="en-US" w:eastAsia="zh-CN"/>
              </w:rPr>
              <w:t>规格</w:t>
            </w:r>
            <w:r>
              <w:rPr>
                <w:b/>
                <w:bCs/>
                <w:lang w:val="en-US" w:eastAsia="zh-CN"/>
              </w:rPr>
              <w:t>/粒径</w:t>
            </w:r>
          </w:p>
        </w:tc>
        <w:tc>
          <w:tcPr>
            <w:tcW w:w="919" w:type="pct"/>
            <w:shd w:val="clear" w:color="auto" w:fill="auto"/>
            <w:vAlign w:val="center"/>
          </w:tcPr>
          <w:p w14:paraId="062BC574">
            <w:pPr>
              <w:pStyle w:val="43"/>
              <w:bidi w:val="0"/>
              <w:rPr>
                <w:rFonts w:hint="eastAsia"/>
                <w:b/>
                <w:bCs/>
              </w:rPr>
            </w:pPr>
            <w:r>
              <w:rPr>
                <w:rFonts w:hint="eastAsia"/>
                <w:b/>
                <w:bCs/>
                <w:lang w:val="en-US" w:eastAsia="zh-CN"/>
              </w:rPr>
              <w:t>原项目产能</w:t>
            </w:r>
          </w:p>
        </w:tc>
        <w:tc>
          <w:tcPr>
            <w:tcW w:w="920" w:type="pct"/>
            <w:shd w:val="clear" w:color="auto" w:fill="auto"/>
            <w:vAlign w:val="center"/>
          </w:tcPr>
          <w:p w14:paraId="60CAB979">
            <w:pPr>
              <w:pStyle w:val="43"/>
              <w:bidi w:val="0"/>
              <w:rPr>
                <w:rFonts w:hint="eastAsia"/>
                <w:b/>
                <w:bCs/>
              </w:rPr>
            </w:pPr>
            <w:r>
              <w:rPr>
                <w:rFonts w:hint="eastAsia"/>
                <w:b/>
                <w:bCs/>
                <w:lang w:val="en-US" w:eastAsia="zh-CN"/>
              </w:rPr>
              <w:t>扩建后总产能</w:t>
            </w:r>
          </w:p>
        </w:tc>
        <w:tc>
          <w:tcPr>
            <w:tcW w:w="991" w:type="pct"/>
            <w:shd w:val="clear" w:color="auto" w:fill="auto"/>
            <w:noWrap/>
            <w:vAlign w:val="center"/>
          </w:tcPr>
          <w:p w14:paraId="5D546F4F">
            <w:pPr>
              <w:pStyle w:val="43"/>
              <w:bidi w:val="0"/>
              <w:rPr>
                <w:rFonts w:hint="eastAsia"/>
                <w:b/>
                <w:bCs/>
              </w:rPr>
            </w:pPr>
            <w:r>
              <w:rPr>
                <w:rFonts w:hint="eastAsia"/>
                <w:b/>
                <w:bCs/>
                <w:lang w:val="en-US" w:eastAsia="zh-CN"/>
              </w:rPr>
              <w:t>备注</w:t>
            </w:r>
          </w:p>
        </w:tc>
      </w:tr>
      <w:tr w14:paraId="498A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 w:type="pct"/>
            <w:shd w:val="clear" w:color="auto" w:fill="auto"/>
            <w:vAlign w:val="center"/>
          </w:tcPr>
          <w:p w14:paraId="1DC02DFF">
            <w:pPr>
              <w:pStyle w:val="43"/>
              <w:bidi w:val="0"/>
              <w:rPr>
                <w:rFonts w:hint="default"/>
              </w:rPr>
            </w:pPr>
            <w:r>
              <w:rPr>
                <w:rFonts w:hint="default"/>
                <w:lang w:val="en-US" w:eastAsia="zh-CN"/>
              </w:rPr>
              <w:t>1</w:t>
            </w:r>
          </w:p>
        </w:tc>
        <w:tc>
          <w:tcPr>
            <w:tcW w:w="842" w:type="pct"/>
            <w:shd w:val="clear" w:color="auto" w:fill="auto"/>
            <w:vAlign w:val="center"/>
          </w:tcPr>
          <w:p w14:paraId="5E1057E1">
            <w:pPr>
              <w:pStyle w:val="43"/>
              <w:bidi w:val="0"/>
              <w:rPr>
                <w:rFonts w:hint="eastAsia"/>
              </w:rPr>
            </w:pPr>
            <w:r>
              <w:rPr>
                <w:rFonts w:hint="eastAsia"/>
                <w:lang w:val="en-US" w:eastAsia="zh-CN"/>
              </w:rPr>
              <w:t>石子</w:t>
            </w:r>
          </w:p>
        </w:tc>
        <w:tc>
          <w:tcPr>
            <w:tcW w:w="897" w:type="pct"/>
            <w:shd w:val="clear" w:color="auto" w:fill="auto"/>
            <w:vAlign w:val="center"/>
          </w:tcPr>
          <w:p w14:paraId="22B73F5C">
            <w:pPr>
              <w:pStyle w:val="43"/>
              <w:bidi w:val="0"/>
              <w:rPr>
                <w:rFonts w:hint="default"/>
              </w:rPr>
            </w:pPr>
            <w:r>
              <w:rPr>
                <w:rFonts w:hint="default"/>
                <w:lang w:val="en-US" w:eastAsia="zh-CN"/>
              </w:rPr>
              <w:t>30</w:t>
            </w:r>
            <w:r>
              <w:rPr>
                <w:rFonts w:hint="eastAsia"/>
                <w:lang w:val="en-US" w:eastAsia="zh-CN"/>
              </w:rPr>
              <w:t>—</w:t>
            </w:r>
            <w:r>
              <w:rPr>
                <w:rFonts w:hint="default"/>
                <w:lang w:val="en-US" w:eastAsia="zh-CN"/>
              </w:rPr>
              <w:t>60mm</w:t>
            </w:r>
          </w:p>
        </w:tc>
        <w:tc>
          <w:tcPr>
            <w:tcW w:w="919" w:type="pct"/>
            <w:shd w:val="clear" w:color="auto" w:fill="auto"/>
            <w:vAlign w:val="center"/>
          </w:tcPr>
          <w:p w14:paraId="46A4165A">
            <w:pPr>
              <w:pStyle w:val="43"/>
              <w:bidi w:val="0"/>
              <w:rPr>
                <w:rFonts w:hint="default"/>
              </w:rPr>
            </w:pPr>
            <w:r>
              <w:rPr>
                <w:rFonts w:hint="default"/>
                <w:lang w:val="en-US" w:eastAsia="zh-CN"/>
              </w:rPr>
              <w:t>14</w:t>
            </w:r>
          </w:p>
        </w:tc>
        <w:tc>
          <w:tcPr>
            <w:tcW w:w="920" w:type="pct"/>
            <w:shd w:val="clear" w:color="auto" w:fill="auto"/>
            <w:vAlign w:val="center"/>
          </w:tcPr>
          <w:p w14:paraId="1C3CE39D">
            <w:pPr>
              <w:pStyle w:val="43"/>
              <w:bidi w:val="0"/>
              <w:rPr>
                <w:rFonts w:hint="default"/>
                <w:lang w:val="en-US" w:eastAsia="zh-CN"/>
              </w:rPr>
            </w:pPr>
            <w:r>
              <w:rPr>
                <w:rFonts w:hint="eastAsia"/>
                <w:lang w:val="en-US" w:eastAsia="zh-CN"/>
              </w:rPr>
              <w:t>14</w:t>
            </w:r>
          </w:p>
        </w:tc>
        <w:tc>
          <w:tcPr>
            <w:tcW w:w="991" w:type="pct"/>
            <w:shd w:val="clear" w:color="auto" w:fill="auto"/>
            <w:noWrap/>
            <w:vAlign w:val="center"/>
          </w:tcPr>
          <w:p w14:paraId="126CDB16">
            <w:pPr>
              <w:pStyle w:val="43"/>
              <w:bidi w:val="0"/>
              <w:rPr>
                <w:rFonts w:hint="eastAsia"/>
              </w:rPr>
            </w:pPr>
            <w:r>
              <w:rPr>
                <w:rFonts w:hint="eastAsia"/>
                <w:lang w:val="en-US" w:eastAsia="zh-CN"/>
              </w:rPr>
              <w:t>项目电石厂原料</w:t>
            </w:r>
          </w:p>
        </w:tc>
      </w:tr>
      <w:tr w14:paraId="5308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 w:type="pct"/>
            <w:vMerge w:val="restart"/>
            <w:shd w:val="clear" w:color="auto" w:fill="auto"/>
            <w:vAlign w:val="center"/>
          </w:tcPr>
          <w:p w14:paraId="084823C9">
            <w:pPr>
              <w:pStyle w:val="43"/>
              <w:bidi w:val="0"/>
              <w:rPr>
                <w:rFonts w:hint="default"/>
              </w:rPr>
            </w:pPr>
            <w:r>
              <w:rPr>
                <w:rFonts w:hint="default"/>
                <w:lang w:val="en-US" w:eastAsia="zh-CN"/>
              </w:rPr>
              <w:t>2</w:t>
            </w:r>
          </w:p>
        </w:tc>
        <w:tc>
          <w:tcPr>
            <w:tcW w:w="842" w:type="pct"/>
            <w:shd w:val="clear" w:color="auto" w:fill="auto"/>
            <w:vAlign w:val="center"/>
          </w:tcPr>
          <w:p w14:paraId="3B1CD66B">
            <w:pPr>
              <w:pStyle w:val="43"/>
              <w:bidi w:val="0"/>
              <w:rPr>
                <w:rFonts w:hint="eastAsia"/>
              </w:rPr>
            </w:pPr>
            <w:r>
              <w:rPr>
                <w:rFonts w:hint="eastAsia"/>
                <w:lang w:val="en-US" w:eastAsia="zh-CN"/>
              </w:rPr>
              <w:t>碎石</w:t>
            </w:r>
          </w:p>
        </w:tc>
        <w:tc>
          <w:tcPr>
            <w:tcW w:w="897" w:type="pct"/>
            <w:shd w:val="clear" w:color="auto" w:fill="auto"/>
            <w:vAlign w:val="center"/>
          </w:tcPr>
          <w:p w14:paraId="72E0D790">
            <w:pPr>
              <w:pStyle w:val="43"/>
              <w:bidi w:val="0"/>
              <w:rPr>
                <w:rFonts w:hint="default"/>
              </w:rPr>
            </w:pPr>
            <w:r>
              <w:rPr>
                <w:rFonts w:hint="default"/>
                <w:lang w:val="en-US" w:eastAsia="zh-CN"/>
              </w:rPr>
              <w:t>0.5</w:t>
            </w:r>
            <w:r>
              <w:rPr>
                <w:rFonts w:hint="eastAsia"/>
                <w:lang w:val="en-US" w:eastAsia="zh-CN"/>
              </w:rPr>
              <w:t>—</w:t>
            </w:r>
            <w:r>
              <w:rPr>
                <w:rFonts w:hint="default"/>
                <w:lang w:val="en-US" w:eastAsia="zh-CN"/>
              </w:rPr>
              <w:t>30mm</w:t>
            </w:r>
          </w:p>
        </w:tc>
        <w:tc>
          <w:tcPr>
            <w:tcW w:w="919" w:type="pct"/>
            <w:vMerge w:val="restart"/>
            <w:shd w:val="clear" w:color="auto" w:fill="auto"/>
            <w:vAlign w:val="center"/>
          </w:tcPr>
          <w:p w14:paraId="2D3DE730">
            <w:pPr>
              <w:pStyle w:val="43"/>
              <w:bidi w:val="0"/>
              <w:rPr>
                <w:rFonts w:hint="default"/>
              </w:rPr>
            </w:pPr>
            <w:r>
              <w:rPr>
                <w:rFonts w:hint="default"/>
                <w:lang w:val="en-US" w:eastAsia="zh-CN"/>
              </w:rPr>
              <w:t>6</w:t>
            </w:r>
          </w:p>
        </w:tc>
        <w:tc>
          <w:tcPr>
            <w:tcW w:w="920" w:type="pct"/>
            <w:shd w:val="clear" w:color="auto" w:fill="auto"/>
            <w:vAlign w:val="center"/>
          </w:tcPr>
          <w:p w14:paraId="69964F20">
            <w:pPr>
              <w:pStyle w:val="43"/>
              <w:bidi w:val="0"/>
              <w:rPr>
                <w:rFonts w:hint="default"/>
                <w:lang w:val="en-US" w:eastAsia="zh-CN"/>
              </w:rPr>
            </w:pPr>
            <w:r>
              <w:rPr>
                <w:rFonts w:hint="eastAsia"/>
                <w:lang w:val="en-US" w:eastAsia="zh-CN"/>
              </w:rPr>
              <w:t>24</w:t>
            </w:r>
          </w:p>
        </w:tc>
        <w:tc>
          <w:tcPr>
            <w:tcW w:w="991" w:type="pct"/>
            <w:vMerge w:val="restart"/>
            <w:shd w:val="clear" w:color="auto" w:fill="auto"/>
            <w:noWrap/>
            <w:vAlign w:val="center"/>
          </w:tcPr>
          <w:p w14:paraId="21D0B24B">
            <w:pPr>
              <w:pStyle w:val="43"/>
              <w:bidi w:val="0"/>
              <w:rPr>
                <w:rFonts w:hint="eastAsia"/>
              </w:rPr>
            </w:pPr>
            <w:r>
              <w:rPr>
                <w:rFonts w:hint="eastAsia"/>
                <w:lang w:val="en-US" w:eastAsia="zh-CN"/>
              </w:rPr>
              <w:t>外售</w:t>
            </w:r>
          </w:p>
        </w:tc>
      </w:tr>
      <w:tr w14:paraId="28C2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429" w:type="pct"/>
            <w:vMerge w:val="continue"/>
            <w:shd w:val="clear" w:color="auto" w:fill="auto"/>
            <w:vAlign w:val="center"/>
          </w:tcPr>
          <w:p w14:paraId="67A02AB3">
            <w:pPr>
              <w:pStyle w:val="43"/>
              <w:bidi w:val="0"/>
              <w:rPr>
                <w:rFonts w:hint="default"/>
              </w:rPr>
            </w:pPr>
          </w:p>
        </w:tc>
        <w:tc>
          <w:tcPr>
            <w:tcW w:w="842" w:type="pct"/>
            <w:shd w:val="clear" w:color="auto" w:fill="auto"/>
            <w:noWrap/>
            <w:vAlign w:val="center"/>
          </w:tcPr>
          <w:p w14:paraId="71ED7347">
            <w:pPr>
              <w:pStyle w:val="43"/>
              <w:bidi w:val="0"/>
              <w:rPr>
                <w:rFonts w:hint="eastAsia"/>
              </w:rPr>
            </w:pPr>
            <w:r>
              <w:rPr>
                <w:rFonts w:hint="eastAsia"/>
                <w:lang w:val="en-US" w:eastAsia="zh-CN"/>
              </w:rPr>
              <w:t>沙子</w:t>
            </w:r>
          </w:p>
        </w:tc>
        <w:tc>
          <w:tcPr>
            <w:tcW w:w="897" w:type="pct"/>
            <w:shd w:val="clear" w:color="auto" w:fill="auto"/>
            <w:noWrap/>
            <w:vAlign w:val="center"/>
          </w:tcPr>
          <w:p w14:paraId="35CED67C">
            <w:pPr>
              <w:pStyle w:val="43"/>
              <w:bidi w:val="0"/>
              <w:rPr>
                <w:rFonts w:hint="eastAsia"/>
              </w:rPr>
            </w:pPr>
            <w:r>
              <w:rPr>
                <w:rFonts w:hint="eastAsia"/>
                <w:lang w:val="en-US" w:eastAsia="zh-CN"/>
              </w:rPr>
              <w:t>&lt;0.5mm</w:t>
            </w:r>
          </w:p>
        </w:tc>
        <w:tc>
          <w:tcPr>
            <w:tcW w:w="919" w:type="pct"/>
            <w:vMerge w:val="continue"/>
            <w:shd w:val="clear" w:color="auto" w:fill="auto"/>
            <w:vAlign w:val="center"/>
          </w:tcPr>
          <w:p w14:paraId="6C817989">
            <w:pPr>
              <w:pStyle w:val="43"/>
              <w:bidi w:val="0"/>
              <w:rPr>
                <w:rFonts w:hint="default"/>
              </w:rPr>
            </w:pPr>
          </w:p>
        </w:tc>
        <w:tc>
          <w:tcPr>
            <w:tcW w:w="920" w:type="pct"/>
            <w:shd w:val="clear" w:color="auto" w:fill="auto"/>
            <w:vAlign w:val="center"/>
          </w:tcPr>
          <w:p w14:paraId="094182F6">
            <w:pPr>
              <w:pStyle w:val="43"/>
              <w:bidi w:val="0"/>
              <w:rPr>
                <w:rFonts w:hint="default" w:eastAsia="宋体"/>
                <w:lang w:val="en-US" w:eastAsia="zh-CN"/>
              </w:rPr>
            </w:pPr>
            <w:r>
              <w:rPr>
                <w:rFonts w:hint="eastAsia"/>
                <w:lang w:val="en-US" w:eastAsia="zh-CN"/>
              </w:rPr>
              <w:t>12</w:t>
            </w:r>
          </w:p>
        </w:tc>
        <w:tc>
          <w:tcPr>
            <w:tcW w:w="991" w:type="pct"/>
            <w:vMerge w:val="continue"/>
            <w:shd w:val="clear" w:color="auto" w:fill="auto"/>
            <w:noWrap/>
            <w:vAlign w:val="center"/>
          </w:tcPr>
          <w:p w14:paraId="18A36374">
            <w:pPr>
              <w:pStyle w:val="43"/>
              <w:bidi w:val="0"/>
              <w:rPr>
                <w:rFonts w:hint="eastAsia"/>
              </w:rPr>
            </w:pPr>
          </w:p>
        </w:tc>
      </w:tr>
      <w:tr w14:paraId="1F0C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9" w:type="pct"/>
            <w:shd w:val="clear" w:color="auto" w:fill="auto"/>
            <w:vAlign w:val="center"/>
          </w:tcPr>
          <w:p w14:paraId="294818B1">
            <w:pPr>
              <w:pStyle w:val="43"/>
              <w:bidi w:val="0"/>
              <w:rPr>
                <w:rFonts w:hint="eastAsia"/>
                <w:b/>
                <w:bCs/>
              </w:rPr>
            </w:pPr>
            <w:r>
              <w:rPr>
                <w:rFonts w:hint="eastAsia"/>
                <w:b/>
                <w:bCs/>
                <w:lang w:val="en-US" w:eastAsia="zh-CN"/>
              </w:rPr>
              <w:t>合计</w:t>
            </w:r>
          </w:p>
        </w:tc>
        <w:tc>
          <w:tcPr>
            <w:tcW w:w="842" w:type="pct"/>
            <w:shd w:val="clear" w:color="auto" w:fill="auto"/>
            <w:vAlign w:val="center"/>
          </w:tcPr>
          <w:p w14:paraId="60EC3CF2">
            <w:pPr>
              <w:pStyle w:val="43"/>
              <w:bidi w:val="0"/>
              <w:rPr>
                <w:rFonts w:hint="default"/>
                <w:b/>
                <w:bCs/>
              </w:rPr>
            </w:pPr>
            <w:r>
              <w:rPr>
                <w:rFonts w:hint="default"/>
                <w:b/>
                <w:bCs/>
                <w:lang w:val="en-US" w:eastAsia="zh-CN"/>
              </w:rPr>
              <w:t>/</w:t>
            </w:r>
          </w:p>
        </w:tc>
        <w:tc>
          <w:tcPr>
            <w:tcW w:w="897" w:type="pct"/>
            <w:shd w:val="clear" w:color="auto" w:fill="auto"/>
            <w:vAlign w:val="center"/>
          </w:tcPr>
          <w:p w14:paraId="022F30B0">
            <w:pPr>
              <w:pStyle w:val="43"/>
              <w:bidi w:val="0"/>
              <w:rPr>
                <w:rFonts w:hint="default"/>
                <w:b/>
                <w:bCs/>
              </w:rPr>
            </w:pPr>
            <w:r>
              <w:rPr>
                <w:rFonts w:hint="default"/>
                <w:b/>
                <w:bCs/>
                <w:lang w:val="en-US" w:eastAsia="zh-CN"/>
              </w:rPr>
              <w:t>/</w:t>
            </w:r>
          </w:p>
        </w:tc>
        <w:tc>
          <w:tcPr>
            <w:tcW w:w="919" w:type="pct"/>
            <w:shd w:val="clear" w:color="auto" w:fill="auto"/>
            <w:vAlign w:val="center"/>
          </w:tcPr>
          <w:p w14:paraId="0544B900">
            <w:pPr>
              <w:pStyle w:val="43"/>
              <w:bidi w:val="0"/>
              <w:rPr>
                <w:rFonts w:hint="default"/>
                <w:b/>
                <w:bCs/>
              </w:rPr>
            </w:pPr>
            <w:r>
              <w:rPr>
                <w:rFonts w:hint="default"/>
                <w:b/>
                <w:bCs/>
                <w:lang w:val="en-US" w:eastAsia="zh-CN"/>
              </w:rPr>
              <w:t>20</w:t>
            </w:r>
          </w:p>
        </w:tc>
        <w:tc>
          <w:tcPr>
            <w:tcW w:w="920" w:type="pct"/>
            <w:shd w:val="clear" w:color="auto" w:fill="auto"/>
            <w:vAlign w:val="center"/>
          </w:tcPr>
          <w:p w14:paraId="0F1DB107">
            <w:pPr>
              <w:pStyle w:val="43"/>
              <w:bidi w:val="0"/>
              <w:rPr>
                <w:rFonts w:hint="default"/>
                <w:b/>
                <w:bCs/>
              </w:rPr>
            </w:pPr>
            <w:r>
              <w:rPr>
                <w:rFonts w:hint="default"/>
                <w:b/>
                <w:bCs/>
                <w:lang w:val="en-US" w:eastAsia="zh-CN"/>
              </w:rPr>
              <w:t>50</w:t>
            </w:r>
          </w:p>
        </w:tc>
        <w:tc>
          <w:tcPr>
            <w:tcW w:w="991" w:type="pct"/>
            <w:shd w:val="clear" w:color="auto" w:fill="auto"/>
            <w:noWrap/>
            <w:vAlign w:val="center"/>
          </w:tcPr>
          <w:p w14:paraId="7A7B2E33">
            <w:pPr>
              <w:pStyle w:val="43"/>
              <w:bidi w:val="0"/>
              <w:rPr>
                <w:rFonts w:hint="eastAsia"/>
              </w:rPr>
            </w:pPr>
          </w:p>
        </w:tc>
      </w:tr>
    </w:tbl>
    <w:p w14:paraId="4B52745C">
      <w:pPr>
        <w:pStyle w:val="3"/>
        <w:bidi w:val="0"/>
        <w:ind w:left="575" w:leftChars="0" w:hanging="575" w:firstLineChars="0"/>
        <w:rPr>
          <w:rFonts w:hint="default"/>
          <w:lang w:val="en-US" w:eastAsia="zh-CN"/>
        </w:rPr>
      </w:pPr>
      <w:r>
        <w:rPr>
          <w:rFonts w:hint="default"/>
          <w:lang w:val="en-US" w:eastAsia="zh-CN"/>
        </w:rPr>
        <w:t>主要原辅材料</w:t>
      </w:r>
      <w:bookmarkEnd w:id="152"/>
      <w:bookmarkEnd w:id="153"/>
    </w:p>
    <w:p w14:paraId="4A3D1ED7">
      <w:pPr>
        <w:pStyle w:val="41"/>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lang w:val="en-US" w:eastAsia="zh-CN"/>
        </w:rPr>
        <w:t>根据建设单位提供的资料，项目运营期主要原辅材料用量和能源消耗如下。</w:t>
      </w:r>
    </w:p>
    <w:p w14:paraId="19E5C064">
      <w:pPr>
        <w:pStyle w:val="45"/>
        <w:bidi w:val="0"/>
        <w:rPr>
          <w:rFonts w:hint="default"/>
        </w:rPr>
      </w:pPr>
      <w:r>
        <w:rPr>
          <w:rFonts w:hint="default"/>
        </w:rPr>
        <w:t>表</w:t>
      </w:r>
      <w:r>
        <w:rPr>
          <w:rFonts w:hint="eastAsia"/>
          <w:lang w:val="en-US" w:eastAsia="zh-CN"/>
        </w:rPr>
        <w:t>3</w:t>
      </w:r>
      <w:r>
        <w:rPr>
          <w:rFonts w:hint="default"/>
          <w:lang w:val="en-US" w:eastAsia="zh-CN"/>
        </w:rPr>
        <w:t>.4-1</w:t>
      </w:r>
      <w:r>
        <w:rPr>
          <w:rFonts w:hint="default"/>
        </w:rPr>
        <w:t xml:space="preserve"> </w:t>
      </w:r>
      <w:r>
        <w:rPr>
          <w:rFonts w:hint="default"/>
          <w:lang w:val="en-US" w:eastAsia="zh-CN"/>
        </w:rPr>
        <w:t xml:space="preserve"> </w:t>
      </w:r>
      <w:r>
        <w:rPr>
          <w:rFonts w:hint="default"/>
        </w:rPr>
        <w:t>项目主要原辅材料及能源消耗</w:t>
      </w:r>
    </w:p>
    <w:tbl>
      <w:tblPr>
        <w:tblStyle w:val="34"/>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36"/>
        <w:gridCol w:w="1706"/>
        <w:gridCol w:w="1831"/>
        <w:gridCol w:w="3853"/>
      </w:tblGrid>
      <w:tr w14:paraId="0BEE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036" w:type="dxa"/>
            <w:shd w:val="clear" w:color="auto" w:fill="auto"/>
            <w:noWrap/>
            <w:vAlign w:val="center"/>
          </w:tcPr>
          <w:p w14:paraId="794A12B6">
            <w:pPr>
              <w:pStyle w:val="43"/>
              <w:bidi w:val="0"/>
              <w:rPr>
                <w:rFonts w:hint="eastAsia"/>
                <w:b/>
                <w:bCs/>
              </w:rPr>
            </w:pPr>
            <w:bookmarkStart w:id="154" w:name="_Toc19617"/>
            <w:bookmarkStart w:id="155" w:name="_Toc21687"/>
            <w:r>
              <w:rPr>
                <w:rFonts w:hint="eastAsia"/>
                <w:b/>
                <w:bCs/>
                <w:lang w:val="en-US" w:eastAsia="zh-CN"/>
              </w:rPr>
              <w:t>名称</w:t>
            </w:r>
          </w:p>
        </w:tc>
        <w:tc>
          <w:tcPr>
            <w:tcW w:w="1706" w:type="dxa"/>
            <w:shd w:val="clear" w:color="auto" w:fill="auto"/>
            <w:noWrap/>
            <w:vAlign w:val="center"/>
          </w:tcPr>
          <w:p w14:paraId="0CCAD708">
            <w:pPr>
              <w:pStyle w:val="43"/>
              <w:bidi w:val="0"/>
              <w:rPr>
                <w:rFonts w:hint="eastAsia"/>
                <w:b/>
                <w:bCs/>
              </w:rPr>
            </w:pPr>
            <w:r>
              <w:rPr>
                <w:rFonts w:hint="eastAsia"/>
                <w:b/>
                <w:bCs/>
                <w:lang w:val="en-US" w:eastAsia="zh-CN"/>
              </w:rPr>
              <w:t>原项目消耗量</w:t>
            </w:r>
          </w:p>
        </w:tc>
        <w:tc>
          <w:tcPr>
            <w:tcW w:w="1831" w:type="dxa"/>
            <w:shd w:val="clear" w:color="auto" w:fill="auto"/>
            <w:noWrap/>
            <w:vAlign w:val="center"/>
          </w:tcPr>
          <w:p w14:paraId="5DFA1994">
            <w:pPr>
              <w:pStyle w:val="43"/>
              <w:bidi w:val="0"/>
              <w:rPr>
                <w:rFonts w:hint="eastAsia"/>
                <w:b/>
                <w:bCs/>
              </w:rPr>
            </w:pPr>
            <w:r>
              <w:rPr>
                <w:rFonts w:hint="eastAsia"/>
                <w:b/>
                <w:bCs/>
                <w:lang w:val="en-US" w:eastAsia="zh-CN"/>
              </w:rPr>
              <w:t>扩建后总消耗量</w:t>
            </w:r>
          </w:p>
        </w:tc>
        <w:tc>
          <w:tcPr>
            <w:tcW w:w="3853" w:type="dxa"/>
            <w:shd w:val="clear" w:color="auto" w:fill="auto"/>
            <w:noWrap/>
            <w:vAlign w:val="center"/>
          </w:tcPr>
          <w:p w14:paraId="4850502A">
            <w:pPr>
              <w:pStyle w:val="43"/>
              <w:bidi w:val="0"/>
              <w:rPr>
                <w:rFonts w:hint="eastAsia"/>
                <w:b/>
                <w:bCs/>
              </w:rPr>
            </w:pPr>
            <w:r>
              <w:rPr>
                <w:rFonts w:hint="eastAsia"/>
                <w:b/>
                <w:bCs/>
                <w:lang w:val="en-US" w:eastAsia="zh-CN"/>
              </w:rPr>
              <w:t>备注</w:t>
            </w:r>
          </w:p>
        </w:tc>
      </w:tr>
      <w:tr w14:paraId="433A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6" w:type="dxa"/>
            <w:shd w:val="clear" w:color="auto" w:fill="auto"/>
            <w:noWrap/>
            <w:vAlign w:val="center"/>
          </w:tcPr>
          <w:p w14:paraId="4CE2446D">
            <w:pPr>
              <w:pStyle w:val="43"/>
              <w:bidi w:val="0"/>
              <w:rPr>
                <w:rFonts w:hint="eastAsia"/>
              </w:rPr>
            </w:pPr>
            <w:r>
              <w:rPr>
                <w:rFonts w:hint="eastAsia"/>
                <w:lang w:val="en-US" w:eastAsia="zh-CN"/>
              </w:rPr>
              <w:t>炸药</w:t>
            </w:r>
          </w:p>
        </w:tc>
        <w:tc>
          <w:tcPr>
            <w:tcW w:w="1706" w:type="dxa"/>
            <w:shd w:val="clear" w:color="auto" w:fill="auto"/>
            <w:noWrap/>
            <w:vAlign w:val="center"/>
          </w:tcPr>
          <w:p w14:paraId="12C1389A">
            <w:pPr>
              <w:pStyle w:val="43"/>
              <w:bidi w:val="0"/>
              <w:rPr>
                <w:rFonts w:hint="default"/>
                <w:lang w:val="en-US" w:eastAsia="zh-CN"/>
              </w:rPr>
            </w:pPr>
            <w:r>
              <w:rPr>
                <w:rFonts w:hint="eastAsia"/>
                <w:lang w:val="en-US" w:eastAsia="zh-CN"/>
              </w:rPr>
              <w:t>60吨</w:t>
            </w:r>
          </w:p>
        </w:tc>
        <w:tc>
          <w:tcPr>
            <w:tcW w:w="1831" w:type="dxa"/>
            <w:shd w:val="clear" w:color="auto" w:fill="auto"/>
            <w:noWrap/>
            <w:vAlign w:val="center"/>
          </w:tcPr>
          <w:p w14:paraId="4F786197">
            <w:pPr>
              <w:pStyle w:val="43"/>
              <w:bidi w:val="0"/>
              <w:rPr>
                <w:rFonts w:hint="default"/>
                <w:lang w:val="en-US" w:eastAsia="zh-CN"/>
              </w:rPr>
            </w:pPr>
            <w:r>
              <w:rPr>
                <w:rFonts w:hint="eastAsia"/>
                <w:lang w:val="en-US" w:eastAsia="zh-CN"/>
              </w:rPr>
              <w:t>150吨</w:t>
            </w:r>
          </w:p>
        </w:tc>
        <w:tc>
          <w:tcPr>
            <w:tcW w:w="3853" w:type="dxa"/>
            <w:vMerge w:val="restart"/>
            <w:shd w:val="clear" w:color="auto" w:fill="auto"/>
            <w:noWrap/>
            <w:vAlign w:val="center"/>
          </w:tcPr>
          <w:p w14:paraId="200F3B1A">
            <w:pPr>
              <w:pStyle w:val="43"/>
              <w:bidi w:val="0"/>
              <w:rPr>
                <w:rFonts w:hint="eastAsia"/>
              </w:rPr>
            </w:pPr>
            <w:r>
              <w:rPr>
                <w:rFonts w:hint="eastAsia"/>
                <w:lang w:val="en-US" w:eastAsia="zh-CN"/>
              </w:rPr>
              <w:t>由民爆公司提供，爆破工作委托民爆公司负责，每次所用炸药和爆破器材由民爆公司统一运输到现场，每次爆破完毕后所剩炸药及爆破器材由民爆队运回管理，矿区范围不设炸药库。</w:t>
            </w:r>
          </w:p>
        </w:tc>
      </w:tr>
      <w:tr w14:paraId="451A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6" w:type="dxa"/>
            <w:shd w:val="clear" w:color="auto" w:fill="auto"/>
            <w:noWrap/>
            <w:vAlign w:val="center"/>
          </w:tcPr>
          <w:p w14:paraId="1AD86D10">
            <w:pPr>
              <w:pStyle w:val="43"/>
              <w:bidi w:val="0"/>
              <w:rPr>
                <w:rFonts w:hint="eastAsia"/>
              </w:rPr>
            </w:pPr>
            <w:r>
              <w:rPr>
                <w:rFonts w:hint="eastAsia"/>
                <w:lang w:val="en-US" w:eastAsia="zh-CN"/>
              </w:rPr>
              <w:t>雷管</w:t>
            </w:r>
          </w:p>
        </w:tc>
        <w:tc>
          <w:tcPr>
            <w:tcW w:w="1706" w:type="dxa"/>
            <w:shd w:val="clear" w:color="auto" w:fill="auto"/>
            <w:noWrap/>
            <w:vAlign w:val="center"/>
          </w:tcPr>
          <w:p w14:paraId="32AF5001">
            <w:pPr>
              <w:pStyle w:val="43"/>
              <w:bidi w:val="0"/>
              <w:rPr>
                <w:rFonts w:hint="default"/>
                <w:lang w:val="en-US" w:eastAsia="zh-CN"/>
              </w:rPr>
            </w:pPr>
            <w:r>
              <w:rPr>
                <w:rFonts w:hint="eastAsia"/>
                <w:lang w:val="en-US" w:eastAsia="zh-CN"/>
              </w:rPr>
              <w:t>3000发</w:t>
            </w:r>
          </w:p>
        </w:tc>
        <w:tc>
          <w:tcPr>
            <w:tcW w:w="1831" w:type="dxa"/>
            <w:shd w:val="clear" w:color="auto" w:fill="auto"/>
            <w:noWrap/>
            <w:vAlign w:val="center"/>
          </w:tcPr>
          <w:p w14:paraId="70B5D51E">
            <w:pPr>
              <w:pStyle w:val="43"/>
              <w:bidi w:val="0"/>
              <w:rPr>
                <w:rFonts w:hint="default"/>
                <w:lang w:val="en-US" w:eastAsia="zh-CN"/>
              </w:rPr>
            </w:pPr>
            <w:r>
              <w:rPr>
                <w:rFonts w:hint="eastAsia"/>
                <w:lang w:val="en-US" w:eastAsia="zh-CN"/>
              </w:rPr>
              <w:t>4000发</w:t>
            </w:r>
          </w:p>
        </w:tc>
        <w:tc>
          <w:tcPr>
            <w:tcW w:w="3853" w:type="dxa"/>
            <w:vMerge w:val="continue"/>
            <w:shd w:val="clear" w:color="auto" w:fill="auto"/>
            <w:noWrap/>
            <w:vAlign w:val="center"/>
          </w:tcPr>
          <w:p w14:paraId="2093ADA1">
            <w:pPr>
              <w:pStyle w:val="43"/>
              <w:bidi w:val="0"/>
              <w:rPr>
                <w:rFonts w:hint="eastAsia"/>
              </w:rPr>
            </w:pPr>
          </w:p>
        </w:tc>
      </w:tr>
      <w:tr w14:paraId="409D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036" w:type="dxa"/>
            <w:shd w:val="clear" w:color="auto" w:fill="auto"/>
            <w:noWrap/>
            <w:vAlign w:val="center"/>
          </w:tcPr>
          <w:p w14:paraId="0AE1E409">
            <w:pPr>
              <w:pStyle w:val="43"/>
              <w:bidi w:val="0"/>
              <w:rPr>
                <w:rFonts w:hint="eastAsia"/>
              </w:rPr>
            </w:pPr>
            <w:r>
              <w:rPr>
                <w:rFonts w:hint="eastAsia"/>
                <w:lang w:val="en-US" w:eastAsia="zh-CN"/>
              </w:rPr>
              <w:t>柴油</w:t>
            </w:r>
          </w:p>
        </w:tc>
        <w:tc>
          <w:tcPr>
            <w:tcW w:w="1706" w:type="dxa"/>
            <w:shd w:val="clear" w:color="auto" w:fill="auto"/>
            <w:noWrap/>
            <w:vAlign w:val="center"/>
          </w:tcPr>
          <w:p w14:paraId="0D91D909">
            <w:pPr>
              <w:pStyle w:val="43"/>
              <w:bidi w:val="0"/>
              <w:rPr>
                <w:rFonts w:hint="default"/>
                <w:lang w:val="en-US" w:eastAsia="zh-CN"/>
              </w:rPr>
            </w:pPr>
            <w:r>
              <w:rPr>
                <w:rFonts w:hint="eastAsia"/>
                <w:lang w:val="en-US" w:eastAsia="zh-CN"/>
              </w:rPr>
              <w:t>240吨</w:t>
            </w:r>
          </w:p>
        </w:tc>
        <w:tc>
          <w:tcPr>
            <w:tcW w:w="1831" w:type="dxa"/>
            <w:shd w:val="clear" w:color="auto" w:fill="auto"/>
            <w:noWrap/>
            <w:vAlign w:val="center"/>
          </w:tcPr>
          <w:p w14:paraId="7123FBA7">
            <w:pPr>
              <w:pStyle w:val="43"/>
              <w:bidi w:val="0"/>
              <w:rPr>
                <w:rFonts w:hint="default"/>
                <w:lang w:val="en-US" w:eastAsia="zh-CN"/>
              </w:rPr>
            </w:pPr>
            <w:r>
              <w:rPr>
                <w:rFonts w:hint="eastAsia"/>
                <w:lang w:val="en-US" w:eastAsia="zh-CN"/>
              </w:rPr>
              <w:t>410吨</w:t>
            </w:r>
          </w:p>
        </w:tc>
        <w:tc>
          <w:tcPr>
            <w:tcW w:w="3853" w:type="dxa"/>
            <w:shd w:val="clear" w:color="auto" w:fill="auto"/>
            <w:noWrap/>
            <w:vAlign w:val="center"/>
          </w:tcPr>
          <w:p w14:paraId="782E58F2">
            <w:pPr>
              <w:pStyle w:val="43"/>
              <w:bidi w:val="0"/>
              <w:rPr>
                <w:rFonts w:hint="eastAsia"/>
              </w:rPr>
            </w:pPr>
            <w:r>
              <w:rPr>
                <w:rFonts w:hint="eastAsia"/>
                <w:lang w:val="en-US" w:eastAsia="zh-CN"/>
              </w:rPr>
              <w:t>砚山县购买，场区内不设柴油库。</w:t>
            </w:r>
          </w:p>
        </w:tc>
      </w:tr>
      <w:tr w14:paraId="378F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6" w:type="dxa"/>
            <w:shd w:val="clear" w:color="auto" w:fill="auto"/>
            <w:noWrap/>
            <w:vAlign w:val="center"/>
          </w:tcPr>
          <w:p w14:paraId="233AF2AA">
            <w:pPr>
              <w:pStyle w:val="43"/>
              <w:bidi w:val="0"/>
              <w:rPr>
                <w:rFonts w:hint="default"/>
                <w:lang w:val="en-US" w:eastAsia="zh-CN"/>
              </w:rPr>
            </w:pPr>
            <w:r>
              <w:rPr>
                <w:rFonts w:hint="eastAsia"/>
                <w:lang w:val="en-US" w:eastAsia="zh-CN"/>
              </w:rPr>
              <w:t>水</w:t>
            </w:r>
          </w:p>
        </w:tc>
        <w:tc>
          <w:tcPr>
            <w:tcW w:w="1706" w:type="dxa"/>
            <w:shd w:val="clear" w:color="auto" w:fill="auto"/>
            <w:noWrap/>
            <w:vAlign w:val="center"/>
          </w:tcPr>
          <w:p w14:paraId="4339AC4C">
            <w:pPr>
              <w:pStyle w:val="43"/>
              <w:bidi w:val="0"/>
              <w:rPr>
                <w:rFonts w:hint="default"/>
                <w:lang w:val="en-US" w:eastAsia="zh-CN"/>
              </w:rPr>
            </w:pPr>
            <w:r>
              <w:rPr>
                <w:rFonts w:hint="eastAsia"/>
                <w:lang w:val="en-US" w:eastAsia="zh-CN"/>
              </w:rPr>
              <w:t>2700m</w:t>
            </w:r>
            <w:r>
              <w:rPr>
                <w:rFonts w:hint="eastAsia"/>
                <w:vertAlign w:val="superscript"/>
                <w:lang w:val="en-US" w:eastAsia="zh-CN"/>
              </w:rPr>
              <w:t>3</w:t>
            </w:r>
          </w:p>
        </w:tc>
        <w:tc>
          <w:tcPr>
            <w:tcW w:w="1831" w:type="dxa"/>
            <w:shd w:val="clear" w:color="auto" w:fill="auto"/>
            <w:noWrap/>
            <w:vAlign w:val="center"/>
          </w:tcPr>
          <w:p w14:paraId="45D6249A">
            <w:pPr>
              <w:pStyle w:val="43"/>
              <w:bidi w:val="0"/>
              <w:rPr>
                <w:rFonts w:hint="default"/>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16136.5</w:t>
            </w:r>
            <w:r>
              <w:rPr>
                <w:rFonts w:hint="eastAsia"/>
                <w:lang w:val="en-US" w:eastAsia="zh-CN"/>
              </w:rPr>
              <w:t>m</w:t>
            </w:r>
            <w:r>
              <w:rPr>
                <w:rFonts w:hint="eastAsia"/>
                <w:vertAlign w:val="superscript"/>
                <w:lang w:val="en-US" w:eastAsia="zh-CN"/>
              </w:rPr>
              <w:t>3</w:t>
            </w:r>
          </w:p>
        </w:tc>
        <w:tc>
          <w:tcPr>
            <w:tcW w:w="3853" w:type="dxa"/>
            <w:shd w:val="clear" w:color="auto" w:fill="auto"/>
            <w:noWrap/>
            <w:vAlign w:val="center"/>
          </w:tcPr>
          <w:p w14:paraId="770D5B09">
            <w:pPr>
              <w:pStyle w:val="43"/>
              <w:bidi w:val="0"/>
              <w:rPr>
                <w:rFonts w:hint="eastAsia"/>
                <w:lang w:val="en-US" w:eastAsia="zh-CN"/>
              </w:rPr>
            </w:pPr>
            <w:r>
              <w:t>项目生产用水和生活用水</w:t>
            </w:r>
            <w:r>
              <w:rPr>
                <w:rFonts w:hint="eastAsia"/>
                <w:lang w:eastAsia="zh-CN"/>
              </w:rPr>
              <w:t>来自</w:t>
            </w:r>
            <w:r>
              <w:rPr>
                <w:rFonts w:hint="eastAsia"/>
              </w:rPr>
              <w:t>云南普阳煤化工有限责任公司电石厂（</w:t>
            </w:r>
            <w:r>
              <w:t>已建供水管网</w:t>
            </w:r>
            <w:r>
              <w:rPr>
                <w:rFonts w:hint="eastAsia"/>
              </w:rPr>
              <w:t>），</w:t>
            </w:r>
            <w:r>
              <w:t>通过铺设管线接入项目</w:t>
            </w:r>
            <w:r>
              <w:rPr>
                <w:rFonts w:hint="eastAsia"/>
              </w:rPr>
              <w:t>场区，提供给项目生产及生活使用。</w:t>
            </w:r>
          </w:p>
        </w:tc>
      </w:tr>
    </w:tbl>
    <w:p w14:paraId="5298FB67">
      <w:pPr>
        <w:pStyle w:val="3"/>
        <w:bidi w:val="0"/>
        <w:rPr>
          <w:rFonts w:hint="default"/>
          <w:lang w:val="en-US" w:eastAsia="zh-CN"/>
        </w:rPr>
      </w:pPr>
      <w:r>
        <w:rPr>
          <w:rFonts w:hint="default"/>
          <w:lang w:val="en-US" w:eastAsia="zh-CN"/>
        </w:rPr>
        <w:t>主要生产设备</w:t>
      </w:r>
      <w:bookmarkEnd w:id="154"/>
      <w:bookmarkEnd w:id="155"/>
    </w:p>
    <w:p w14:paraId="154752E9">
      <w:pPr>
        <w:pStyle w:val="41"/>
        <w:bidi w:val="0"/>
        <w:rPr>
          <w:rFonts w:hint="default"/>
          <w:lang w:val="en-US" w:eastAsia="zh-CN"/>
        </w:rPr>
      </w:pPr>
      <w:r>
        <w:rPr>
          <w:rFonts w:hint="default"/>
          <w:lang w:val="en-US" w:eastAsia="zh-CN"/>
        </w:rPr>
        <w:t>根据建设单位提供的资料，</w:t>
      </w:r>
      <w:r>
        <w:rPr>
          <w:rFonts w:hint="eastAsia"/>
          <w:lang w:val="en-US" w:eastAsia="zh-CN"/>
        </w:rPr>
        <w:t>原生产线生产设备大多数淘汰，仅保留变压器、凿岩机、洒水车等少量设备，生产线设备大多新购入，</w:t>
      </w:r>
      <w:r>
        <w:rPr>
          <w:rFonts w:hint="default"/>
          <w:lang w:val="en-US" w:eastAsia="zh-CN"/>
        </w:rPr>
        <w:t>项目主要生产设备如下所示：</w:t>
      </w:r>
    </w:p>
    <w:p w14:paraId="34E3DA3C">
      <w:pPr>
        <w:pStyle w:val="45"/>
        <w:bidi w:val="0"/>
        <w:rPr>
          <w:rFonts w:hint="default"/>
          <w:lang w:val="en-US" w:eastAsia="zh-CN"/>
        </w:rPr>
      </w:pPr>
      <w:r>
        <w:rPr>
          <w:rFonts w:hint="default"/>
          <w:lang w:val="en-US" w:eastAsia="zh-CN"/>
        </w:rPr>
        <w:t>表</w:t>
      </w:r>
      <w:r>
        <w:rPr>
          <w:rFonts w:hint="eastAsia"/>
          <w:lang w:val="en-US" w:eastAsia="zh-CN"/>
        </w:rPr>
        <w:t>3</w:t>
      </w:r>
      <w:r>
        <w:rPr>
          <w:rFonts w:hint="default"/>
          <w:lang w:val="en-US" w:eastAsia="zh-CN"/>
        </w:rPr>
        <w:t xml:space="preserve">.5-1  </w:t>
      </w:r>
      <w:r>
        <w:rPr>
          <w:rFonts w:hint="eastAsia"/>
          <w:lang w:val="en-US" w:eastAsia="zh-CN"/>
        </w:rPr>
        <w:t>项目</w:t>
      </w:r>
      <w:r>
        <w:rPr>
          <w:rFonts w:hint="default"/>
          <w:lang w:val="en-US" w:eastAsia="zh-CN"/>
        </w:rPr>
        <w:t>主要设备表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6"/>
        <w:gridCol w:w="1765"/>
        <w:gridCol w:w="964"/>
        <w:gridCol w:w="1071"/>
        <w:gridCol w:w="2208"/>
        <w:gridCol w:w="1685"/>
      </w:tblGrid>
      <w:tr w14:paraId="22722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311A0FD">
            <w:pPr>
              <w:pStyle w:val="43"/>
              <w:bidi w:val="0"/>
              <w:rPr>
                <w:rFonts w:hint="eastAsia"/>
                <w:b/>
                <w:bCs/>
              </w:rPr>
            </w:pPr>
            <w:r>
              <w:rPr>
                <w:rFonts w:hint="eastAsia"/>
                <w:b/>
                <w:bCs/>
                <w:lang w:val="en-US" w:eastAsia="zh-CN"/>
              </w:rPr>
              <w:t>序号</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009047">
            <w:pPr>
              <w:pStyle w:val="43"/>
              <w:bidi w:val="0"/>
              <w:rPr>
                <w:rFonts w:hint="eastAsia"/>
                <w:b/>
                <w:bCs/>
              </w:rPr>
            </w:pPr>
            <w:r>
              <w:rPr>
                <w:rFonts w:hint="eastAsia"/>
                <w:b/>
                <w:bCs/>
                <w:lang w:val="en-US" w:eastAsia="zh-CN"/>
              </w:rPr>
              <w:t>名称</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888BE7">
            <w:pPr>
              <w:pStyle w:val="43"/>
              <w:bidi w:val="0"/>
              <w:rPr>
                <w:rFonts w:hint="eastAsia"/>
                <w:b/>
                <w:bCs/>
              </w:rPr>
            </w:pPr>
            <w:r>
              <w:rPr>
                <w:rFonts w:hint="eastAsia"/>
                <w:b/>
                <w:bCs/>
                <w:lang w:val="en-US" w:eastAsia="zh-CN"/>
              </w:rPr>
              <w:t>数量</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0B17D9A">
            <w:pPr>
              <w:pStyle w:val="43"/>
              <w:bidi w:val="0"/>
              <w:rPr>
                <w:rFonts w:hint="eastAsia"/>
                <w:b/>
                <w:bCs/>
              </w:rPr>
            </w:pPr>
            <w:r>
              <w:rPr>
                <w:rFonts w:hint="eastAsia"/>
                <w:b/>
                <w:bCs/>
                <w:lang w:val="en-US" w:eastAsia="zh-CN"/>
              </w:rPr>
              <w:t>单位</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1BE599">
            <w:pPr>
              <w:pStyle w:val="43"/>
              <w:bidi w:val="0"/>
              <w:rPr>
                <w:rFonts w:hint="eastAsia"/>
                <w:b/>
                <w:bCs/>
              </w:rPr>
            </w:pPr>
            <w:r>
              <w:rPr>
                <w:rFonts w:hint="eastAsia"/>
                <w:b/>
                <w:bCs/>
                <w:lang w:val="en-US" w:eastAsia="zh-CN"/>
              </w:rPr>
              <w:t>型号</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B9CD">
            <w:pPr>
              <w:pStyle w:val="43"/>
              <w:bidi w:val="0"/>
              <w:rPr>
                <w:rFonts w:hint="eastAsia"/>
                <w:b/>
                <w:bCs/>
              </w:rPr>
            </w:pPr>
            <w:r>
              <w:rPr>
                <w:rFonts w:hint="eastAsia"/>
                <w:b/>
                <w:bCs/>
                <w:lang w:val="en-US" w:eastAsia="zh-CN"/>
              </w:rPr>
              <w:t>备注</w:t>
            </w:r>
          </w:p>
        </w:tc>
      </w:tr>
      <w:tr w14:paraId="5C18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3BE572">
            <w:pPr>
              <w:pStyle w:val="43"/>
              <w:bidi w:val="0"/>
              <w:rPr>
                <w:rFonts w:hint="default"/>
              </w:rPr>
            </w:pPr>
            <w:r>
              <w:rPr>
                <w:rFonts w:hint="default"/>
                <w:lang w:val="en-US" w:eastAsia="zh-CN"/>
              </w:rPr>
              <w:t>1</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72C5B4">
            <w:pPr>
              <w:pStyle w:val="43"/>
              <w:bidi w:val="0"/>
              <w:rPr>
                <w:rFonts w:hint="eastAsia"/>
              </w:rPr>
            </w:pPr>
            <w:r>
              <w:rPr>
                <w:rFonts w:hint="eastAsia"/>
                <w:lang w:val="en-US" w:eastAsia="zh-CN"/>
              </w:rPr>
              <w:t>颚式破碎机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B4F8FA">
            <w:pPr>
              <w:pStyle w:val="43"/>
              <w:bidi w:val="0"/>
              <w:rPr>
                <w:rFonts w:hint="default"/>
              </w:rPr>
            </w:pPr>
            <w:r>
              <w:rPr>
                <w:rFonts w:hint="default"/>
                <w:lang w:val="en-US" w:eastAsia="zh-CN"/>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DE295F">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91AACE">
            <w:pPr>
              <w:pStyle w:val="43"/>
              <w:bidi w:val="0"/>
              <w:rPr>
                <w:rFonts w:hint="default"/>
              </w:rPr>
            </w:pPr>
            <w:r>
              <w:rPr>
                <w:rFonts w:hint="default"/>
                <w:lang w:val="en-US" w:eastAsia="zh-CN"/>
              </w:rPr>
              <w:t>PE800×1060</w:t>
            </w:r>
            <w:r>
              <w:rPr>
                <w:rFonts w:hint="eastAsia"/>
                <w:lang w:val="en-US" w:eastAsia="zh-CN"/>
              </w:rPr>
              <w:t>型</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FF60">
            <w:pPr>
              <w:pStyle w:val="43"/>
              <w:bidi w:val="0"/>
              <w:rPr>
                <w:rFonts w:hint="eastAsia"/>
              </w:rPr>
            </w:pPr>
            <w:r>
              <w:rPr>
                <w:rFonts w:hint="eastAsia"/>
                <w:lang w:val="en-US" w:eastAsia="zh-CN"/>
              </w:rPr>
              <w:t>淘汰</w:t>
            </w:r>
          </w:p>
        </w:tc>
      </w:tr>
      <w:tr w14:paraId="0B40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5F95F8">
            <w:pPr>
              <w:pStyle w:val="43"/>
              <w:bidi w:val="0"/>
              <w:rPr>
                <w:rFonts w:hint="default"/>
              </w:rPr>
            </w:pPr>
            <w:r>
              <w:rPr>
                <w:rFonts w:hint="default"/>
                <w:lang w:val="en-US" w:eastAsia="zh-CN"/>
              </w:rPr>
              <w:t>2</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098BA0">
            <w:pPr>
              <w:pStyle w:val="43"/>
              <w:bidi w:val="0"/>
              <w:rPr>
                <w:rFonts w:hint="eastAsia"/>
              </w:rPr>
            </w:pPr>
            <w:r>
              <w:rPr>
                <w:rFonts w:hint="eastAsia"/>
                <w:lang w:val="en-US" w:eastAsia="zh-CN"/>
              </w:rPr>
              <w:t>返击破</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D58DB2">
            <w:pPr>
              <w:pStyle w:val="43"/>
              <w:bidi w:val="0"/>
              <w:rPr>
                <w:rFonts w:hint="default"/>
              </w:rPr>
            </w:pPr>
            <w:r>
              <w:rPr>
                <w:rFonts w:hint="default"/>
                <w:lang w:val="en-US" w:eastAsia="zh-CN"/>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5EE9AD">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6F3730">
            <w:pPr>
              <w:pStyle w:val="43"/>
              <w:bidi w:val="0"/>
              <w:rPr>
                <w:rFonts w:hint="default"/>
              </w:rPr>
            </w:pPr>
            <w:r>
              <w:rPr>
                <w:rFonts w:hint="default"/>
                <w:lang w:val="en-US" w:eastAsia="zh-CN"/>
              </w:rPr>
              <w:t>PF-1315</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DF098">
            <w:pPr>
              <w:pStyle w:val="43"/>
              <w:bidi w:val="0"/>
              <w:rPr>
                <w:rFonts w:hint="eastAsia"/>
              </w:rPr>
            </w:pPr>
            <w:r>
              <w:rPr>
                <w:rFonts w:hint="eastAsia"/>
                <w:lang w:val="en-US" w:eastAsia="zh-CN"/>
              </w:rPr>
              <w:t>淘汰</w:t>
            </w:r>
          </w:p>
        </w:tc>
      </w:tr>
      <w:tr w14:paraId="2F3B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079023">
            <w:pPr>
              <w:pStyle w:val="43"/>
              <w:bidi w:val="0"/>
              <w:rPr>
                <w:rFonts w:hint="default"/>
              </w:rPr>
            </w:pPr>
            <w:r>
              <w:rPr>
                <w:rFonts w:hint="default"/>
                <w:lang w:val="en-US" w:eastAsia="zh-CN"/>
              </w:rPr>
              <w:t>3</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853B2B6">
            <w:pPr>
              <w:pStyle w:val="43"/>
              <w:bidi w:val="0"/>
              <w:rPr>
                <w:rFonts w:hint="eastAsia"/>
              </w:rPr>
            </w:pPr>
            <w:r>
              <w:rPr>
                <w:rFonts w:hint="eastAsia"/>
                <w:lang w:val="en-US" w:eastAsia="zh-CN"/>
              </w:rPr>
              <w:t>锤破</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1E92A2">
            <w:pPr>
              <w:pStyle w:val="43"/>
              <w:bidi w:val="0"/>
              <w:rPr>
                <w:rFonts w:hint="default"/>
              </w:rPr>
            </w:pPr>
            <w:r>
              <w:rPr>
                <w:rFonts w:hint="default"/>
                <w:lang w:val="en-US" w:eastAsia="zh-CN"/>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743C0C">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EE6F81">
            <w:pPr>
              <w:pStyle w:val="43"/>
              <w:bidi w:val="0"/>
              <w:rPr>
                <w:rFonts w:hint="default"/>
              </w:rPr>
            </w:pPr>
            <w:r>
              <w:rPr>
                <w:rFonts w:hint="default"/>
                <w:lang w:val="en-US" w:eastAsia="zh-CN"/>
              </w:rPr>
              <w:t>ZG-1214</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0E434">
            <w:pPr>
              <w:pStyle w:val="43"/>
              <w:bidi w:val="0"/>
              <w:rPr>
                <w:rFonts w:hint="eastAsia"/>
              </w:rPr>
            </w:pPr>
            <w:r>
              <w:rPr>
                <w:rFonts w:hint="eastAsia"/>
                <w:lang w:val="en-US" w:eastAsia="zh-CN"/>
              </w:rPr>
              <w:t>淘汰</w:t>
            </w:r>
          </w:p>
        </w:tc>
      </w:tr>
      <w:tr w14:paraId="5C53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8AA859">
            <w:pPr>
              <w:pStyle w:val="43"/>
              <w:bidi w:val="0"/>
              <w:rPr>
                <w:rFonts w:hint="default"/>
              </w:rPr>
            </w:pPr>
            <w:r>
              <w:rPr>
                <w:rFonts w:hint="default"/>
                <w:lang w:val="en-US" w:eastAsia="zh-CN"/>
              </w:rPr>
              <w:t>4</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E50F90">
            <w:pPr>
              <w:pStyle w:val="43"/>
              <w:bidi w:val="0"/>
              <w:rPr>
                <w:rFonts w:hint="eastAsia"/>
              </w:rPr>
            </w:pPr>
            <w:r>
              <w:rPr>
                <w:rFonts w:hint="eastAsia"/>
                <w:lang w:val="en-US" w:eastAsia="zh-CN"/>
              </w:rPr>
              <w:t>砂机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010DD2">
            <w:pPr>
              <w:pStyle w:val="43"/>
              <w:bidi w:val="0"/>
              <w:rPr>
                <w:rFonts w:hint="default"/>
              </w:rPr>
            </w:pPr>
            <w:r>
              <w:rPr>
                <w:rFonts w:hint="default"/>
                <w:lang w:val="en-US" w:eastAsia="zh-CN"/>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182DB2">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05CF636">
            <w:pPr>
              <w:pStyle w:val="43"/>
              <w:bidi w:val="0"/>
              <w:rPr>
                <w:rFonts w:hint="default"/>
              </w:rPr>
            </w:pPr>
            <w:r>
              <w:rPr>
                <w:rFonts w:hint="default"/>
                <w:lang w:val="en-US" w:eastAsia="zh-CN"/>
              </w:rPr>
              <w:t>JN5</w:t>
            </w:r>
            <w:r>
              <w:rPr>
                <w:rFonts w:hint="eastAsia"/>
                <w:lang w:val="en-US" w:eastAsia="zh-CN"/>
              </w:rPr>
              <w:t>号</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80BB4">
            <w:pPr>
              <w:pStyle w:val="43"/>
              <w:bidi w:val="0"/>
              <w:rPr>
                <w:rFonts w:hint="eastAsia"/>
              </w:rPr>
            </w:pPr>
            <w:r>
              <w:rPr>
                <w:rFonts w:hint="eastAsia"/>
                <w:lang w:val="en-US" w:eastAsia="zh-CN"/>
              </w:rPr>
              <w:t>淘汰</w:t>
            </w:r>
          </w:p>
        </w:tc>
      </w:tr>
      <w:tr w14:paraId="6685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3279AE">
            <w:pPr>
              <w:pStyle w:val="43"/>
              <w:bidi w:val="0"/>
              <w:rPr>
                <w:rFonts w:hint="default"/>
              </w:rPr>
            </w:pPr>
            <w:r>
              <w:rPr>
                <w:rFonts w:hint="default"/>
                <w:lang w:val="en-US" w:eastAsia="zh-CN"/>
              </w:rPr>
              <w:t>5</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84F3643">
            <w:pPr>
              <w:pStyle w:val="43"/>
              <w:bidi w:val="0"/>
              <w:rPr>
                <w:rFonts w:hint="eastAsia"/>
              </w:rPr>
            </w:pPr>
            <w:r>
              <w:rPr>
                <w:rFonts w:hint="eastAsia"/>
                <w:lang w:val="en-US" w:eastAsia="zh-CN"/>
              </w:rPr>
              <w:t>振动分级筛</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F223EC">
            <w:pPr>
              <w:pStyle w:val="43"/>
              <w:bidi w:val="0"/>
              <w:rPr>
                <w:rFonts w:hint="default"/>
              </w:rPr>
            </w:pPr>
            <w:r>
              <w:rPr>
                <w:rFonts w:hint="default"/>
                <w:lang w:val="en-US" w:eastAsia="zh-CN"/>
              </w:rPr>
              <w:t>5</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168754">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86CF53">
            <w:pPr>
              <w:pStyle w:val="43"/>
              <w:bidi w:val="0"/>
              <w:rPr>
                <w:rFonts w:hint="default"/>
              </w:rPr>
            </w:pPr>
            <w:r>
              <w:rPr>
                <w:rFonts w:hint="default"/>
                <w:lang w:val="en-US" w:eastAsia="zh-CN"/>
              </w:rPr>
              <w:t>2YK2465</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4C2B">
            <w:pPr>
              <w:pStyle w:val="43"/>
              <w:bidi w:val="0"/>
              <w:rPr>
                <w:rFonts w:hint="eastAsia"/>
              </w:rPr>
            </w:pPr>
            <w:r>
              <w:rPr>
                <w:rFonts w:hint="eastAsia"/>
                <w:lang w:val="en-US" w:eastAsia="zh-CN"/>
              </w:rPr>
              <w:t>淘汰</w:t>
            </w:r>
          </w:p>
        </w:tc>
      </w:tr>
      <w:tr w14:paraId="7BD8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0F8D06">
            <w:pPr>
              <w:pStyle w:val="43"/>
              <w:bidi w:val="0"/>
              <w:rPr>
                <w:rFonts w:hint="default"/>
              </w:rPr>
            </w:pPr>
            <w:r>
              <w:rPr>
                <w:rFonts w:hint="default"/>
                <w:lang w:val="en-US" w:eastAsia="zh-CN"/>
              </w:rPr>
              <w:t>6</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AA0101">
            <w:pPr>
              <w:pStyle w:val="43"/>
              <w:bidi w:val="0"/>
              <w:rPr>
                <w:rFonts w:hint="eastAsia"/>
              </w:rPr>
            </w:pPr>
            <w:r>
              <w:rPr>
                <w:rFonts w:hint="eastAsia"/>
                <w:lang w:val="en-US" w:eastAsia="zh-CN"/>
              </w:rPr>
              <w:t>潜孔钻机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C154552">
            <w:pPr>
              <w:pStyle w:val="43"/>
              <w:bidi w:val="0"/>
              <w:rPr>
                <w:rFonts w:hint="default"/>
              </w:rPr>
            </w:pPr>
            <w:r>
              <w:rPr>
                <w:rFonts w:hint="default"/>
                <w:lang w:val="en-US" w:eastAsia="zh-CN"/>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D5F89E">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7DD974">
            <w:pPr>
              <w:pStyle w:val="43"/>
              <w:bidi w:val="0"/>
              <w:rPr>
                <w:rFonts w:hint="default"/>
              </w:rPr>
            </w:pPr>
            <w:r>
              <w:rPr>
                <w:rFonts w:hint="default"/>
                <w:lang w:val="en-US" w:eastAsia="zh-CN"/>
              </w:rPr>
              <w:t>KG130-</w:t>
            </w:r>
            <w:r>
              <w:rPr>
                <w:rFonts w:hint="eastAsia"/>
                <w:lang w:val="en-US" w:eastAsia="zh-CN"/>
              </w:rPr>
              <w:t>孔径</w:t>
            </w:r>
            <w:r>
              <w:rPr>
                <w:rFonts w:hint="default"/>
                <w:lang w:val="en-US" w:eastAsia="zh-CN"/>
              </w:rPr>
              <w:t>115mm</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7FFC">
            <w:pPr>
              <w:pStyle w:val="43"/>
              <w:bidi w:val="0"/>
              <w:rPr>
                <w:rFonts w:hint="eastAsia"/>
              </w:rPr>
            </w:pPr>
            <w:r>
              <w:rPr>
                <w:rFonts w:hint="eastAsia"/>
                <w:lang w:val="en-US" w:eastAsia="zh-CN"/>
              </w:rPr>
              <w:t>淘汰</w:t>
            </w:r>
          </w:p>
        </w:tc>
      </w:tr>
      <w:tr w14:paraId="2183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E810B5">
            <w:pPr>
              <w:pStyle w:val="43"/>
              <w:bidi w:val="0"/>
              <w:rPr>
                <w:rFonts w:hint="default"/>
              </w:rPr>
            </w:pPr>
            <w:r>
              <w:rPr>
                <w:rFonts w:hint="default"/>
                <w:lang w:val="en-US" w:eastAsia="zh-CN"/>
              </w:rPr>
              <w:t>7</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61AD31A">
            <w:pPr>
              <w:pStyle w:val="43"/>
              <w:bidi w:val="0"/>
              <w:rPr>
                <w:rFonts w:hint="eastAsia"/>
              </w:rPr>
            </w:pPr>
            <w:r>
              <w:rPr>
                <w:rFonts w:hint="eastAsia"/>
                <w:lang w:val="en-US" w:eastAsia="zh-CN"/>
              </w:rPr>
              <w:t>凿岩机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41895E">
            <w:pPr>
              <w:pStyle w:val="43"/>
              <w:bidi w:val="0"/>
              <w:rPr>
                <w:rFonts w:hint="default"/>
              </w:rPr>
            </w:pPr>
            <w:r>
              <w:rPr>
                <w:rFonts w:hint="default"/>
                <w:lang w:val="en-US" w:eastAsia="zh-CN"/>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93CBE8">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F2CEBA5">
            <w:pPr>
              <w:pStyle w:val="43"/>
              <w:bidi w:val="0"/>
              <w:rPr>
                <w:rFonts w:hint="default"/>
              </w:rPr>
            </w:pPr>
            <w:r>
              <w:rPr>
                <w:rFonts w:hint="default"/>
                <w:lang w:val="en-US" w:eastAsia="zh-CN"/>
              </w:rPr>
              <w:t>CCM680</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9B9B4">
            <w:pPr>
              <w:pStyle w:val="43"/>
              <w:bidi w:val="0"/>
              <w:rPr>
                <w:rFonts w:hint="eastAsia"/>
              </w:rPr>
            </w:pPr>
            <w:r>
              <w:rPr>
                <w:rFonts w:hint="eastAsia"/>
                <w:lang w:val="en-US" w:eastAsia="zh-CN"/>
              </w:rPr>
              <w:t>淘汰</w:t>
            </w:r>
          </w:p>
        </w:tc>
      </w:tr>
      <w:tr w14:paraId="23F6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D60184">
            <w:pPr>
              <w:pStyle w:val="43"/>
              <w:bidi w:val="0"/>
              <w:rPr>
                <w:rFonts w:hint="default"/>
              </w:rPr>
            </w:pPr>
            <w:r>
              <w:rPr>
                <w:rFonts w:hint="default"/>
                <w:lang w:val="en-US" w:eastAsia="zh-CN"/>
              </w:rPr>
              <w:t>8</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AB16C9">
            <w:pPr>
              <w:pStyle w:val="43"/>
              <w:bidi w:val="0"/>
              <w:rPr>
                <w:rFonts w:hint="eastAsia"/>
              </w:rPr>
            </w:pPr>
            <w:r>
              <w:rPr>
                <w:rFonts w:hint="eastAsia"/>
                <w:lang w:val="en-US" w:eastAsia="zh-CN"/>
              </w:rPr>
              <w:t>皮带机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67AB5C">
            <w:pPr>
              <w:pStyle w:val="43"/>
              <w:bidi w:val="0"/>
              <w:rPr>
                <w:rFonts w:hint="default"/>
              </w:rPr>
            </w:pPr>
            <w:r>
              <w:rPr>
                <w:rFonts w:hint="default"/>
                <w:lang w:val="en-US" w:eastAsia="zh-CN"/>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4E1EEC">
            <w:pPr>
              <w:pStyle w:val="43"/>
              <w:bidi w:val="0"/>
              <w:rPr>
                <w:rFonts w:hint="eastAsia"/>
              </w:rPr>
            </w:pPr>
            <w:r>
              <w:rPr>
                <w:rFonts w:hint="eastAsia"/>
                <w:lang w:val="en-US" w:eastAsia="zh-CN"/>
              </w:rPr>
              <w:t>套</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23E370">
            <w:pPr>
              <w:pStyle w:val="43"/>
              <w:bidi w:val="0"/>
              <w:rPr>
                <w:rFonts w:hint="default"/>
              </w:rPr>
            </w:pPr>
            <w:r>
              <w:rPr>
                <w:rFonts w:hint="default"/>
                <w:lang w:val="en-US" w:eastAsia="zh-CN"/>
              </w:rPr>
              <w:t>-</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3DB1">
            <w:pPr>
              <w:pStyle w:val="43"/>
              <w:bidi w:val="0"/>
              <w:rPr>
                <w:rFonts w:hint="eastAsia"/>
              </w:rPr>
            </w:pPr>
            <w:r>
              <w:rPr>
                <w:rFonts w:hint="eastAsia"/>
                <w:lang w:val="en-US" w:eastAsia="zh-CN"/>
              </w:rPr>
              <w:t>淘汰</w:t>
            </w:r>
          </w:p>
        </w:tc>
      </w:tr>
      <w:tr w14:paraId="3EA99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804CFE">
            <w:pPr>
              <w:pStyle w:val="43"/>
              <w:bidi w:val="0"/>
              <w:rPr>
                <w:rFonts w:hint="default"/>
              </w:rPr>
            </w:pPr>
            <w:r>
              <w:rPr>
                <w:rFonts w:hint="default"/>
                <w:lang w:val="en-US" w:eastAsia="zh-CN"/>
              </w:rPr>
              <w:t>9</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187DCF">
            <w:pPr>
              <w:pStyle w:val="43"/>
              <w:bidi w:val="0"/>
              <w:rPr>
                <w:rFonts w:hint="eastAsia"/>
              </w:rPr>
            </w:pPr>
            <w:r>
              <w:rPr>
                <w:rFonts w:hint="eastAsia"/>
                <w:lang w:val="en-US" w:eastAsia="zh-CN"/>
              </w:rPr>
              <w:t>空气压缩机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F9F2AD">
            <w:pPr>
              <w:pStyle w:val="43"/>
              <w:bidi w:val="0"/>
              <w:rPr>
                <w:rFonts w:hint="default"/>
              </w:rPr>
            </w:pPr>
            <w:r>
              <w:rPr>
                <w:rFonts w:hint="default"/>
                <w:lang w:val="en-US" w:eastAsia="zh-CN"/>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E96A26">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5910FA">
            <w:pPr>
              <w:pStyle w:val="43"/>
              <w:bidi w:val="0"/>
              <w:rPr>
                <w:rFonts w:hint="default"/>
              </w:rPr>
            </w:pPr>
            <w:r>
              <w:rPr>
                <w:rFonts w:hint="default"/>
                <w:lang w:val="en-US" w:eastAsia="zh-CN"/>
              </w:rPr>
              <w:t>P900E</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9E655">
            <w:pPr>
              <w:pStyle w:val="43"/>
              <w:bidi w:val="0"/>
              <w:rPr>
                <w:rFonts w:hint="eastAsia"/>
              </w:rPr>
            </w:pPr>
            <w:r>
              <w:rPr>
                <w:rFonts w:hint="eastAsia"/>
                <w:lang w:val="en-US" w:eastAsia="zh-CN"/>
              </w:rPr>
              <w:t>淘汰</w:t>
            </w:r>
          </w:p>
        </w:tc>
      </w:tr>
      <w:tr w14:paraId="4166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D0B73E">
            <w:pPr>
              <w:pStyle w:val="43"/>
              <w:bidi w:val="0"/>
              <w:rPr>
                <w:rFonts w:hint="default"/>
              </w:rPr>
            </w:pPr>
            <w:r>
              <w:rPr>
                <w:rFonts w:hint="default"/>
                <w:lang w:val="en-US" w:eastAsia="zh-CN"/>
              </w:rPr>
              <w:t>10</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AB88A8">
            <w:pPr>
              <w:pStyle w:val="43"/>
              <w:bidi w:val="0"/>
              <w:rPr>
                <w:rFonts w:hint="eastAsia"/>
              </w:rPr>
            </w:pPr>
            <w:r>
              <w:rPr>
                <w:rFonts w:hint="eastAsia"/>
                <w:lang w:val="en-US" w:eastAsia="zh-CN"/>
              </w:rPr>
              <w:t>挖掘机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1E8D6F">
            <w:pPr>
              <w:pStyle w:val="43"/>
              <w:bidi w:val="0"/>
              <w:rPr>
                <w:rFonts w:hint="default"/>
              </w:rPr>
            </w:pPr>
            <w:r>
              <w:rPr>
                <w:rFonts w:hint="default"/>
                <w:lang w:val="en-US" w:eastAsia="zh-CN"/>
              </w:rPr>
              <w:t>3</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9D7DB4">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EC8312">
            <w:pPr>
              <w:pStyle w:val="43"/>
              <w:bidi w:val="0"/>
              <w:rPr>
                <w:rFonts w:hint="default"/>
              </w:rPr>
            </w:pPr>
            <w:r>
              <w:rPr>
                <w:rFonts w:hint="default"/>
                <w:lang w:val="en-US" w:eastAsia="zh-CN"/>
              </w:rPr>
              <w:t>SY245</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0DEC5">
            <w:pPr>
              <w:pStyle w:val="43"/>
              <w:bidi w:val="0"/>
              <w:rPr>
                <w:rFonts w:hint="eastAsia"/>
              </w:rPr>
            </w:pPr>
            <w:r>
              <w:rPr>
                <w:rFonts w:hint="eastAsia"/>
                <w:lang w:val="en-US" w:eastAsia="zh-CN"/>
              </w:rPr>
              <w:t>淘汰</w:t>
            </w:r>
          </w:p>
        </w:tc>
      </w:tr>
      <w:tr w14:paraId="68B2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B175A3">
            <w:pPr>
              <w:pStyle w:val="43"/>
              <w:bidi w:val="0"/>
              <w:rPr>
                <w:rFonts w:hint="default"/>
              </w:rPr>
            </w:pPr>
            <w:r>
              <w:rPr>
                <w:rFonts w:hint="default"/>
                <w:lang w:val="en-US" w:eastAsia="zh-CN"/>
              </w:rPr>
              <w:t>11</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31FCC6">
            <w:pPr>
              <w:pStyle w:val="43"/>
              <w:bidi w:val="0"/>
              <w:rPr>
                <w:rFonts w:hint="eastAsia"/>
              </w:rPr>
            </w:pPr>
            <w:r>
              <w:rPr>
                <w:rFonts w:hint="eastAsia"/>
                <w:lang w:val="en-US" w:eastAsia="zh-CN"/>
              </w:rPr>
              <w:t>装载机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33E510">
            <w:pPr>
              <w:pStyle w:val="43"/>
              <w:bidi w:val="0"/>
              <w:rPr>
                <w:rFonts w:hint="default"/>
              </w:rPr>
            </w:pPr>
            <w:r>
              <w:rPr>
                <w:rFonts w:hint="default"/>
                <w:lang w:val="en-US" w:eastAsia="zh-CN"/>
              </w:rPr>
              <w:t>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126A23">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A9BE39E">
            <w:pPr>
              <w:pStyle w:val="43"/>
              <w:bidi w:val="0"/>
              <w:rPr>
                <w:rFonts w:hint="default"/>
              </w:rPr>
            </w:pPr>
            <w:r>
              <w:rPr>
                <w:rFonts w:hint="default"/>
                <w:lang w:val="en-US" w:eastAsia="zh-CN"/>
              </w:rPr>
              <w:t>LG956L</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5230">
            <w:pPr>
              <w:pStyle w:val="43"/>
              <w:bidi w:val="0"/>
              <w:rPr>
                <w:rFonts w:hint="eastAsia"/>
              </w:rPr>
            </w:pPr>
            <w:r>
              <w:rPr>
                <w:rFonts w:hint="eastAsia"/>
                <w:lang w:val="en-US" w:eastAsia="zh-CN"/>
              </w:rPr>
              <w:t>利旧</w:t>
            </w:r>
          </w:p>
        </w:tc>
      </w:tr>
      <w:tr w14:paraId="3FC0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F3E2C4">
            <w:pPr>
              <w:pStyle w:val="43"/>
              <w:bidi w:val="0"/>
              <w:rPr>
                <w:rFonts w:hint="default"/>
              </w:rPr>
            </w:pPr>
            <w:r>
              <w:rPr>
                <w:rFonts w:hint="default"/>
                <w:lang w:val="en-US" w:eastAsia="zh-CN"/>
              </w:rPr>
              <w:t>12</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CB1CC4">
            <w:pPr>
              <w:pStyle w:val="43"/>
              <w:bidi w:val="0"/>
              <w:rPr>
                <w:rFonts w:hint="eastAsia"/>
              </w:rPr>
            </w:pPr>
            <w:r>
              <w:rPr>
                <w:rFonts w:hint="eastAsia"/>
                <w:lang w:val="en-US" w:eastAsia="zh-CN"/>
              </w:rPr>
              <w:t>自卸汽车</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657C3F">
            <w:pPr>
              <w:pStyle w:val="43"/>
              <w:bidi w:val="0"/>
              <w:rPr>
                <w:rFonts w:hint="default"/>
              </w:rPr>
            </w:pPr>
            <w:r>
              <w:rPr>
                <w:rFonts w:hint="default"/>
                <w:lang w:val="en-US" w:eastAsia="zh-CN"/>
              </w:rPr>
              <w:t>8</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D404C5">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120B3F2">
            <w:pPr>
              <w:pStyle w:val="43"/>
              <w:bidi w:val="0"/>
              <w:rPr>
                <w:rFonts w:hint="default"/>
              </w:rPr>
            </w:pPr>
            <w:r>
              <w:rPr>
                <w:rFonts w:hint="default"/>
                <w:lang w:val="en-US" w:eastAsia="zh-CN"/>
              </w:rPr>
              <w:t>-</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E44E">
            <w:pPr>
              <w:pStyle w:val="43"/>
              <w:bidi w:val="0"/>
              <w:rPr>
                <w:rFonts w:hint="eastAsia"/>
              </w:rPr>
            </w:pPr>
            <w:r>
              <w:rPr>
                <w:rFonts w:hint="eastAsia"/>
                <w:lang w:val="en-US" w:eastAsia="zh-CN"/>
              </w:rPr>
              <w:t>淘汰</w:t>
            </w:r>
          </w:p>
        </w:tc>
      </w:tr>
      <w:tr w14:paraId="56D3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20E2DB">
            <w:pPr>
              <w:pStyle w:val="43"/>
              <w:bidi w:val="0"/>
              <w:rPr>
                <w:rFonts w:hint="default"/>
              </w:rPr>
            </w:pPr>
            <w:r>
              <w:rPr>
                <w:rFonts w:hint="default"/>
                <w:lang w:val="en-US" w:eastAsia="zh-CN"/>
              </w:rPr>
              <w:t>13</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D790A8">
            <w:pPr>
              <w:pStyle w:val="43"/>
              <w:bidi w:val="0"/>
              <w:rPr>
                <w:rFonts w:hint="eastAsia"/>
              </w:rPr>
            </w:pPr>
            <w:r>
              <w:rPr>
                <w:rFonts w:hint="eastAsia"/>
                <w:lang w:val="en-US" w:eastAsia="zh-CN"/>
              </w:rPr>
              <w:t>洒水车</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7DA238">
            <w:pPr>
              <w:pStyle w:val="43"/>
              <w:bidi w:val="0"/>
              <w:rPr>
                <w:rFonts w:hint="default"/>
              </w:rPr>
            </w:pPr>
            <w:r>
              <w:rPr>
                <w:rFonts w:hint="default"/>
                <w:lang w:val="en-US" w:eastAsia="zh-CN"/>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D2C3459">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B3BDD3">
            <w:pPr>
              <w:pStyle w:val="43"/>
              <w:bidi w:val="0"/>
              <w:rPr>
                <w:rFonts w:hint="default"/>
              </w:rPr>
            </w:pPr>
            <w:r>
              <w:rPr>
                <w:rFonts w:hint="default"/>
                <w:lang w:val="en-US" w:eastAsia="zh-CN"/>
              </w:rPr>
              <w:t>-</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14AC">
            <w:pPr>
              <w:pStyle w:val="43"/>
              <w:bidi w:val="0"/>
              <w:rPr>
                <w:rFonts w:hint="eastAsia"/>
              </w:rPr>
            </w:pPr>
            <w:r>
              <w:rPr>
                <w:rFonts w:hint="eastAsia"/>
                <w:lang w:val="en-US" w:eastAsia="zh-CN"/>
              </w:rPr>
              <w:t>利旧</w:t>
            </w:r>
          </w:p>
        </w:tc>
      </w:tr>
      <w:tr w14:paraId="4DE6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24163B">
            <w:pPr>
              <w:pStyle w:val="43"/>
              <w:bidi w:val="0"/>
              <w:rPr>
                <w:rFonts w:hint="default"/>
              </w:rPr>
            </w:pPr>
            <w:r>
              <w:rPr>
                <w:rFonts w:hint="default"/>
                <w:lang w:val="en-US" w:eastAsia="zh-CN"/>
              </w:rPr>
              <w:t>14</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5E34F7">
            <w:pPr>
              <w:pStyle w:val="43"/>
              <w:bidi w:val="0"/>
              <w:rPr>
                <w:rFonts w:hint="eastAsia"/>
              </w:rPr>
            </w:pPr>
            <w:r>
              <w:rPr>
                <w:rFonts w:hint="eastAsia"/>
                <w:lang w:val="en-US" w:eastAsia="zh-CN"/>
              </w:rPr>
              <w:t>变压器</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AACC1E">
            <w:pPr>
              <w:pStyle w:val="43"/>
              <w:bidi w:val="0"/>
              <w:rPr>
                <w:rFonts w:hint="default"/>
              </w:rPr>
            </w:pPr>
            <w:r>
              <w:rPr>
                <w:rFonts w:hint="default"/>
                <w:lang w:val="en-US" w:eastAsia="zh-CN"/>
              </w:rPr>
              <w:t>2</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4717BE">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76DD54">
            <w:pPr>
              <w:pStyle w:val="43"/>
              <w:bidi w:val="0"/>
              <w:rPr>
                <w:rFonts w:hint="default"/>
              </w:rPr>
            </w:pPr>
            <w:r>
              <w:rPr>
                <w:rFonts w:hint="default"/>
                <w:lang w:val="en-US" w:eastAsia="zh-CN"/>
              </w:rPr>
              <w:t>800kVA</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CAED1">
            <w:pPr>
              <w:pStyle w:val="43"/>
              <w:bidi w:val="0"/>
              <w:rPr>
                <w:rFonts w:hint="eastAsia"/>
              </w:rPr>
            </w:pPr>
            <w:r>
              <w:rPr>
                <w:rFonts w:hint="eastAsia"/>
                <w:lang w:val="en-US" w:eastAsia="zh-CN"/>
              </w:rPr>
              <w:t>利旧</w:t>
            </w:r>
          </w:p>
        </w:tc>
      </w:tr>
      <w:tr w14:paraId="73F8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9E7F9C">
            <w:pPr>
              <w:pStyle w:val="43"/>
              <w:bidi w:val="0"/>
              <w:rPr>
                <w:rFonts w:hint="default"/>
              </w:rPr>
            </w:pPr>
            <w:r>
              <w:rPr>
                <w:rFonts w:hint="default"/>
                <w:lang w:val="en-US" w:eastAsia="zh-CN"/>
              </w:rPr>
              <w:t>15</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DAAE">
            <w:pPr>
              <w:pStyle w:val="43"/>
              <w:bidi w:val="0"/>
              <w:rPr>
                <w:rFonts w:hint="eastAsia"/>
              </w:rPr>
            </w:pPr>
            <w:r>
              <w:rPr>
                <w:rFonts w:hint="eastAsia"/>
                <w:lang w:val="en-US" w:eastAsia="zh-CN"/>
              </w:rPr>
              <w:t>颚式破碎机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E9AA8">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FD676A7">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8ACC">
            <w:pPr>
              <w:pStyle w:val="43"/>
              <w:bidi w:val="0"/>
              <w:rPr>
                <w:rFonts w:hint="eastAsia"/>
              </w:rPr>
            </w:pPr>
            <w:r>
              <w:rPr>
                <w:rFonts w:hint="eastAsia"/>
                <w:lang w:val="en-US" w:eastAsia="zh-CN"/>
              </w:rPr>
              <w:t>PE800*1060H-001</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EC879">
            <w:pPr>
              <w:pStyle w:val="43"/>
              <w:bidi w:val="0"/>
              <w:rPr>
                <w:rFonts w:hint="eastAsia"/>
              </w:rPr>
            </w:pPr>
            <w:r>
              <w:rPr>
                <w:rFonts w:hint="eastAsia"/>
                <w:lang w:val="en-US" w:eastAsia="zh-CN"/>
              </w:rPr>
              <w:t>新购入</w:t>
            </w:r>
          </w:p>
        </w:tc>
      </w:tr>
      <w:tr w14:paraId="799DA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9DEA03">
            <w:pPr>
              <w:pStyle w:val="43"/>
              <w:bidi w:val="0"/>
              <w:rPr>
                <w:rFonts w:hint="default"/>
              </w:rPr>
            </w:pPr>
            <w:r>
              <w:rPr>
                <w:rFonts w:hint="default"/>
                <w:lang w:val="en-US" w:eastAsia="zh-CN"/>
              </w:rPr>
              <w:t>16</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26D8">
            <w:pPr>
              <w:pStyle w:val="43"/>
              <w:bidi w:val="0"/>
              <w:rPr>
                <w:rFonts w:hint="eastAsia"/>
              </w:rPr>
            </w:pPr>
            <w:r>
              <w:rPr>
                <w:rFonts w:hint="eastAsia"/>
                <w:lang w:val="en-US" w:eastAsia="zh-CN"/>
              </w:rPr>
              <w:t>重型锤式破碎机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7E457">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8CB092">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E7C6">
            <w:pPr>
              <w:pStyle w:val="43"/>
              <w:bidi w:val="0"/>
              <w:rPr>
                <w:rFonts w:hint="eastAsia"/>
              </w:rPr>
            </w:pPr>
            <w:r>
              <w:rPr>
                <w:rFonts w:hint="eastAsia"/>
                <w:lang w:val="en-US" w:eastAsia="zh-CN"/>
              </w:rPr>
              <w:t>XGN-Z1815</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B86DD">
            <w:pPr>
              <w:pStyle w:val="43"/>
              <w:bidi w:val="0"/>
              <w:rPr>
                <w:rFonts w:hint="eastAsia"/>
              </w:rPr>
            </w:pPr>
            <w:r>
              <w:rPr>
                <w:rFonts w:hint="eastAsia"/>
                <w:lang w:val="en-US" w:eastAsia="zh-CN"/>
              </w:rPr>
              <w:t>新购入</w:t>
            </w:r>
          </w:p>
        </w:tc>
      </w:tr>
      <w:tr w14:paraId="0E98F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A387EE">
            <w:pPr>
              <w:pStyle w:val="43"/>
              <w:bidi w:val="0"/>
              <w:rPr>
                <w:rFonts w:hint="default"/>
              </w:rPr>
            </w:pPr>
            <w:r>
              <w:rPr>
                <w:rFonts w:hint="default"/>
                <w:lang w:val="en-US" w:eastAsia="zh-CN"/>
              </w:rPr>
              <w:t>17</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60A8B">
            <w:pPr>
              <w:pStyle w:val="43"/>
              <w:bidi w:val="0"/>
              <w:rPr>
                <w:rFonts w:hint="eastAsia"/>
              </w:rPr>
            </w:pPr>
            <w:r>
              <w:rPr>
                <w:rFonts w:hint="eastAsia"/>
                <w:lang w:val="en-US" w:eastAsia="zh-CN"/>
              </w:rPr>
              <w:t>锤式反击破碎机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9F122">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1BA5F5">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6B2">
            <w:pPr>
              <w:pStyle w:val="43"/>
              <w:bidi w:val="0"/>
              <w:rPr>
                <w:rFonts w:hint="eastAsia"/>
              </w:rPr>
            </w:pPr>
            <w:r>
              <w:rPr>
                <w:rFonts w:hint="eastAsia"/>
                <w:lang w:val="en-US" w:eastAsia="zh-CN"/>
              </w:rPr>
              <w:t>ZG-1520</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B8816">
            <w:pPr>
              <w:pStyle w:val="43"/>
              <w:bidi w:val="0"/>
              <w:rPr>
                <w:rFonts w:hint="eastAsia"/>
              </w:rPr>
            </w:pPr>
            <w:r>
              <w:rPr>
                <w:rFonts w:hint="eastAsia"/>
                <w:lang w:val="en-US" w:eastAsia="zh-CN"/>
              </w:rPr>
              <w:t>新购入</w:t>
            </w:r>
          </w:p>
        </w:tc>
      </w:tr>
      <w:tr w14:paraId="286A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7FC314">
            <w:pPr>
              <w:pStyle w:val="43"/>
              <w:bidi w:val="0"/>
              <w:rPr>
                <w:rFonts w:hint="default"/>
              </w:rPr>
            </w:pPr>
            <w:r>
              <w:rPr>
                <w:rFonts w:hint="default"/>
                <w:lang w:val="en-US" w:eastAsia="zh-CN"/>
              </w:rPr>
              <w:t>18</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606F">
            <w:pPr>
              <w:pStyle w:val="43"/>
              <w:bidi w:val="0"/>
              <w:rPr>
                <w:rFonts w:hint="eastAsia"/>
              </w:rPr>
            </w:pPr>
            <w:r>
              <w:rPr>
                <w:rFonts w:hint="eastAsia"/>
                <w:lang w:val="en-US" w:eastAsia="zh-CN"/>
              </w:rPr>
              <w:t>制砂机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44CC">
            <w:pPr>
              <w:pStyle w:val="43"/>
              <w:bidi w:val="0"/>
              <w:rPr>
                <w:rFonts w:hint="eastAsia"/>
              </w:rPr>
            </w:pPr>
            <w:r>
              <w:rPr>
                <w:rFonts w:hint="eastAsia"/>
                <w:lang w:val="en-US" w:eastAsia="zh-CN"/>
              </w:rPr>
              <w:t xml:space="preserve">3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3E89B0">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2FF8D">
            <w:pPr>
              <w:pStyle w:val="43"/>
              <w:bidi w:val="0"/>
              <w:rPr>
                <w:rFonts w:hint="eastAsia"/>
              </w:rPr>
            </w:pPr>
            <w:r>
              <w:rPr>
                <w:rFonts w:hint="eastAsia"/>
                <w:lang w:val="en-US" w:eastAsia="zh-CN"/>
              </w:rPr>
              <w:t>PFK-1312</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CD1E">
            <w:pPr>
              <w:pStyle w:val="43"/>
              <w:bidi w:val="0"/>
              <w:rPr>
                <w:rFonts w:hint="eastAsia"/>
              </w:rPr>
            </w:pPr>
            <w:r>
              <w:rPr>
                <w:rFonts w:hint="eastAsia"/>
                <w:lang w:val="en-US" w:eastAsia="zh-CN"/>
              </w:rPr>
              <w:t>新购入</w:t>
            </w:r>
          </w:p>
        </w:tc>
      </w:tr>
      <w:tr w14:paraId="41398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751B566">
            <w:pPr>
              <w:pStyle w:val="43"/>
              <w:bidi w:val="0"/>
              <w:rPr>
                <w:rFonts w:hint="default"/>
              </w:rPr>
            </w:pPr>
            <w:r>
              <w:rPr>
                <w:rFonts w:hint="default"/>
                <w:lang w:val="en-US" w:eastAsia="zh-CN"/>
              </w:rPr>
              <w:t>19</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02C9">
            <w:pPr>
              <w:pStyle w:val="43"/>
              <w:bidi w:val="0"/>
              <w:rPr>
                <w:rFonts w:hint="eastAsia"/>
              </w:rPr>
            </w:pPr>
            <w:r>
              <w:rPr>
                <w:rFonts w:hint="eastAsia"/>
                <w:lang w:val="en-US" w:eastAsia="zh-CN"/>
              </w:rPr>
              <w:t>振动筛</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A842A">
            <w:pPr>
              <w:pStyle w:val="43"/>
              <w:bidi w:val="0"/>
              <w:rPr>
                <w:rFonts w:hint="eastAsia"/>
              </w:rPr>
            </w:pPr>
            <w:r>
              <w:rPr>
                <w:rFonts w:hint="eastAsia"/>
                <w:lang w:val="en-US" w:eastAsia="zh-CN"/>
              </w:rPr>
              <w:t xml:space="preserve">3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35A087C">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6CA7">
            <w:pPr>
              <w:pStyle w:val="43"/>
              <w:bidi w:val="0"/>
              <w:rPr>
                <w:rFonts w:hint="eastAsia"/>
              </w:rPr>
            </w:pPr>
            <w:r>
              <w:rPr>
                <w:rFonts w:hint="eastAsia"/>
                <w:lang w:val="en-US" w:eastAsia="zh-CN"/>
              </w:rPr>
              <w:t>BSYZ2460</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F01EE">
            <w:pPr>
              <w:pStyle w:val="43"/>
              <w:bidi w:val="0"/>
              <w:rPr>
                <w:rFonts w:hint="eastAsia"/>
              </w:rPr>
            </w:pPr>
            <w:r>
              <w:rPr>
                <w:rFonts w:hint="eastAsia"/>
                <w:lang w:val="en-US" w:eastAsia="zh-CN"/>
              </w:rPr>
              <w:t>新购入</w:t>
            </w:r>
          </w:p>
        </w:tc>
      </w:tr>
      <w:tr w14:paraId="54DD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FF05D4">
            <w:pPr>
              <w:pStyle w:val="43"/>
              <w:bidi w:val="0"/>
              <w:rPr>
                <w:rFonts w:hint="default"/>
              </w:rPr>
            </w:pPr>
            <w:r>
              <w:rPr>
                <w:rFonts w:hint="default"/>
                <w:lang w:val="en-US" w:eastAsia="zh-CN"/>
              </w:rPr>
              <w:t>20</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6504">
            <w:pPr>
              <w:pStyle w:val="43"/>
              <w:bidi w:val="0"/>
              <w:rPr>
                <w:rFonts w:hint="eastAsia"/>
              </w:rPr>
            </w:pPr>
            <w:r>
              <w:rPr>
                <w:rFonts w:hint="eastAsia"/>
                <w:lang w:val="en-US" w:eastAsia="zh-CN"/>
              </w:rPr>
              <w:t>振动筛电机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391A">
            <w:pPr>
              <w:pStyle w:val="43"/>
              <w:bidi w:val="0"/>
              <w:rPr>
                <w:rFonts w:hint="eastAsia"/>
              </w:rPr>
            </w:pPr>
            <w:r>
              <w:rPr>
                <w:rFonts w:hint="eastAsia"/>
                <w:lang w:val="en-US" w:eastAsia="zh-CN"/>
              </w:rPr>
              <w:t xml:space="preserve">3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2A6ABE2">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447C">
            <w:pPr>
              <w:pStyle w:val="43"/>
              <w:bidi w:val="0"/>
              <w:rPr>
                <w:rFonts w:hint="eastAsia"/>
              </w:rPr>
            </w:pPr>
            <w:r>
              <w:rPr>
                <w:rFonts w:hint="eastAsia"/>
                <w:lang w:val="en-US" w:eastAsia="zh-CN"/>
              </w:rPr>
              <w:t>Y225M-6-30kW</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1EC4">
            <w:pPr>
              <w:pStyle w:val="43"/>
              <w:bidi w:val="0"/>
              <w:rPr>
                <w:rFonts w:hint="eastAsia"/>
              </w:rPr>
            </w:pPr>
            <w:r>
              <w:rPr>
                <w:rFonts w:hint="eastAsia"/>
                <w:lang w:val="en-US" w:eastAsia="zh-CN"/>
              </w:rPr>
              <w:t>新购入</w:t>
            </w:r>
          </w:p>
        </w:tc>
      </w:tr>
      <w:tr w14:paraId="4155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3B5CFD2">
            <w:pPr>
              <w:pStyle w:val="43"/>
              <w:bidi w:val="0"/>
              <w:rPr>
                <w:rFonts w:hint="default"/>
              </w:rPr>
            </w:pPr>
            <w:r>
              <w:rPr>
                <w:rFonts w:hint="default"/>
                <w:lang w:val="en-US" w:eastAsia="zh-CN"/>
              </w:rPr>
              <w:t>21</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8B53">
            <w:pPr>
              <w:pStyle w:val="43"/>
              <w:bidi w:val="0"/>
              <w:rPr>
                <w:rFonts w:hint="eastAsia"/>
              </w:rPr>
            </w:pPr>
            <w:r>
              <w:rPr>
                <w:rFonts w:hint="eastAsia"/>
                <w:lang w:val="en-US" w:eastAsia="zh-CN"/>
              </w:rPr>
              <w:t>液压挖掘机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1645">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E6AFB7">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AF2FC">
            <w:pPr>
              <w:pStyle w:val="43"/>
              <w:bidi w:val="0"/>
              <w:rPr>
                <w:rFonts w:hint="eastAsia"/>
              </w:rPr>
            </w:pPr>
            <w:r>
              <w:rPr>
                <w:rFonts w:hint="eastAsia"/>
                <w:lang w:val="en-US" w:eastAsia="zh-CN"/>
              </w:rPr>
              <w:t>SY485H</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0F64B">
            <w:pPr>
              <w:pStyle w:val="43"/>
              <w:bidi w:val="0"/>
              <w:rPr>
                <w:rFonts w:hint="eastAsia"/>
              </w:rPr>
            </w:pPr>
            <w:r>
              <w:rPr>
                <w:rFonts w:hint="eastAsia"/>
                <w:lang w:val="en-US" w:eastAsia="zh-CN"/>
              </w:rPr>
              <w:t>新购入</w:t>
            </w:r>
          </w:p>
        </w:tc>
      </w:tr>
      <w:tr w14:paraId="7E73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F8A8D70">
            <w:pPr>
              <w:pStyle w:val="43"/>
              <w:bidi w:val="0"/>
              <w:rPr>
                <w:rFonts w:hint="default"/>
              </w:rPr>
            </w:pPr>
            <w:r>
              <w:rPr>
                <w:rFonts w:hint="default"/>
                <w:lang w:val="en-US" w:eastAsia="zh-CN"/>
              </w:rPr>
              <w:t>22</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2BA8">
            <w:pPr>
              <w:pStyle w:val="43"/>
              <w:bidi w:val="0"/>
              <w:rPr>
                <w:rFonts w:hint="eastAsia"/>
              </w:rPr>
            </w:pPr>
            <w:r>
              <w:rPr>
                <w:rFonts w:hint="eastAsia"/>
                <w:lang w:val="en-US" w:eastAsia="zh-CN"/>
              </w:rPr>
              <w:t>液压挖掘机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F3D0">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B7E655F">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C048">
            <w:pPr>
              <w:pStyle w:val="43"/>
              <w:bidi w:val="0"/>
              <w:rPr>
                <w:rFonts w:hint="eastAsia"/>
              </w:rPr>
            </w:pPr>
            <w:r>
              <w:rPr>
                <w:rFonts w:hint="eastAsia"/>
                <w:lang w:val="en-US" w:eastAsia="zh-CN"/>
              </w:rPr>
              <w:t>SY360H</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F67A7">
            <w:pPr>
              <w:pStyle w:val="43"/>
              <w:bidi w:val="0"/>
              <w:rPr>
                <w:rFonts w:hint="eastAsia"/>
              </w:rPr>
            </w:pPr>
            <w:r>
              <w:rPr>
                <w:rFonts w:hint="eastAsia"/>
                <w:lang w:val="en-US" w:eastAsia="zh-CN"/>
              </w:rPr>
              <w:t>新购入</w:t>
            </w:r>
          </w:p>
        </w:tc>
      </w:tr>
      <w:tr w14:paraId="133B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734368">
            <w:pPr>
              <w:pStyle w:val="43"/>
              <w:bidi w:val="0"/>
              <w:rPr>
                <w:rFonts w:hint="default"/>
              </w:rPr>
            </w:pPr>
            <w:r>
              <w:rPr>
                <w:rFonts w:hint="default"/>
                <w:lang w:val="en-US" w:eastAsia="zh-CN"/>
              </w:rPr>
              <w:t>23</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1A25">
            <w:pPr>
              <w:pStyle w:val="43"/>
              <w:bidi w:val="0"/>
              <w:rPr>
                <w:rFonts w:hint="eastAsia"/>
              </w:rPr>
            </w:pPr>
            <w:r>
              <w:rPr>
                <w:rFonts w:hint="eastAsia"/>
                <w:lang w:val="en-US" w:eastAsia="zh-CN"/>
              </w:rPr>
              <w:t>液压挖掘机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FC9F">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F8D6AD">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5A25F">
            <w:pPr>
              <w:pStyle w:val="43"/>
              <w:bidi w:val="0"/>
              <w:rPr>
                <w:rFonts w:hint="eastAsia"/>
              </w:rPr>
            </w:pPr>
            <w:r>
              <w:rPr>
                <w:rFonts w:hint="eastAsia"/>
                <w:lang w:val="en-US" w:eastAsia="zh-CN"/>
              </w:rPr>
              <w:t>SY375H</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6051">
            <w:pPr>
              <w:pStyle w:val="43"/>
              <w:bidi w:val="0"/>
              <w:rPr>
                <w:rFonts w:hint="eastAsia"/>
              </w:rPr>
            </w:pPr>
            <w:r>
              <w:rPr>
                <w:rFonts w:hint="eastAsia"/>
                <w:lang w:val="en-US" w:eastAsia="zh-CN"/>
              </w:rPr>
              <w:t>新购入</w:t>
            </w:r>
          </w:p>
        </w:tc>
      </w:tr>
      <w:tr w14:paraId="647A8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ECE56A">
            <w:pPr>
              <w:pStyle w:val="43"/>
              <w:bidi w:val="0"/>
              <w:rPr>
                <w:rFonts w:hint="default"/>
              </w:rPr>
            </w:pPr>
            <w:r>
              <w:rPr>
                <w:rFonts w:hint="default"/>
                <w:lang w:val="en-US" w:eastAsia="zh-CN"/>
              </w:rPr>
              <w:t>24</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DDC0">
            <w:pPr>
              <w:pStyle w:val="43"/>
              <w:bidi w:val="0"/>
              <w:rPr>
                <w:rFonts w:hint="eastAsia"/>
              </w:rPr>
            </w:pPr>
            <w:r>
              <w:rPr>
                <w:rFonts w:hint="eastAsia"/>
                <w:lang w:val="en-US" w:eastAsia="zh-CN"/>
              </w:rPr>
              <w:t>液压挖掘机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286B">
            <w:pPr>
              <w:pStyle w:val="43"/>
              <w:bidi w:val="0"/>
              <w:rPr>
                <w:rFonts w:hint="eastAsia"/>
              </w:rPr>
            </w:pPr>
            <w:r>
              <w:rPr>
                <w:rFonts w:hint="eastAsia"/>
                <w:lang w:val="en-US" w:eastAsia="zh-CN"/>
              </w:rPr>
              <w:t xml:space="preserve">1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CA6776">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EB02">
            <w:pPr>
              <w:pStyle w:val="43"/>
              <w:bidi w:val="0"/>
              <w:rPr>
                <w:rFonts w:hint="eastAsia"/>
              </w:rPr>
            </w:pPr>
            <w:r>
              <w:rPr>
                <w:rFonts w:hint="eastAsia"/>
                <w:lang w:val="en-US" w:eastAsia="zh-CN"/>
              </w:rPr>
              <w:t>SY245H</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40B5F">
            <w:pPr>
              <w:pStyle w:val="43"/>
              <w:bidi w:val="0"/>
              <w:rPr>
                <w:rFonts w:hint="eastAsia"/>
              </w:rPr>
            </w:pPr>
            <w:r>
              <w:rPr>
                <w:rFonts w:hint="eastAsia"/>
                <w:lang w:val="en-US" w:eastAsia="zh-CN"/>
              </w:rPr>
              <w:t>新购入</w:t>
            </w:r>
          </w:p>
        </w:tc>
      </w:tr>
      <w:tr w14:paraId="23EA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FB8B08">
            <w:pPr>
              <w:pStyle w:val="43"/>
              <w:bidi w:val="0"/>
              <w:rPr>
                <w:rFonts w:hint="default"/>
              </w:rPr>
            </w:pPr>
            <w:r>
              <w:rPr>
                <w:rFonts w:hint="default"/>
                <w:lang w:val="en-US" w:eastAsia="zh-CN"/>
              </w:rPr>
              <w:t>25</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E267D">
            <w:pPr>
              <w:pStyle w:val="43"/>
              <w:bidi w:val="0"/>
              <w:rPr>
                <w:rFonts w:hint="eastAsia"/>
              </w:rPr>
            </w:pPr>
            <w:r>
              <w:rPr>
                <w:rFonts w:hint="eastAsia"/>
                <w:lang w:val="en-US" w:eastAsia="zh-CN"/>
              </w:rPr>
              <w:t>自卸货车</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0BFF2">
            <w:pPr>
              <w:pStyle w:val="43"/>
              <w:bidi w:val="0"/>
              <w:rPr>
                <w:rFonts w:hint="eastAsia"/>
              </w:rPr>
            </w:pPr>
            <w:r>
              <w:rPr>
                <w:rFonts w:hint="eastAsia"/>
                <w:lang w:val="en-US" w:eastAsia="zh-CN"/>
              </w:rPr>
              <w:t xml:space="preserve">5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9A077F9">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A135">
            <w:pPr>
              <w:pStyle w:val="43"/>
              <w:bidi w:val="0"/>
              <w:rPr>
                <w:rFonts w:hint="eastAsia"/>
              </w:rPr>
            </w:pPr>
            <w:r>
              <w:rPr>
                <w:rFonts w:hint="eastAsia"/>
                <w:lang w:val="en-US" w:eastAsia="zh-CN"/>
              </w:rPr>
              <w:t>FAW25000KG</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183BF">
            <w:pPr>
              <w:pStyle w:val="43"/>
              <w:bidi w:val="0"/>
              <w:rPr>
                <w:rFonts w:hint="eastAsia"/>
              </w:rPr>
            </w:pPr>
            <w:r>
              <w:rPr>
                <w:rFonts w:hint="eastAsia"/>
                <w:lang w:val="en-US" w:eastAsia="zh-CN"/>
              </w:rPr>
              <w:t>新购入</w:t>
            </w:r>
          </w:p>
        </w:tc>
      </w:tr>
      <w:tr w14:paraId="37A3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000DE5">
            <w:pPr>
              <w:pStyle w:val="43"/>
              <w:bidi w:val="0"/>
              <w:rPr>
                <w:rFonts w:hint="default"/>
              </w:rPr>
            </w:pPr>
            <w:r>
              <w:rPr>
                <w:rFonts w:hint="default"/>
                <w:lang w:val="en-US" w:eastAsia="zh-CN"/>
              </w:rPr>
              <w:t>26</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065FB">
            <w:pPr>
              <w:pStyle w:val="43"/>
              <w:bidi w:val="0"/>
              <w:rPr>
                <w:rFonts w:hint="eastAsia"/>
              </w:rPr>
            </w:pPr>
            <w:r>
              <w:rPr>
                <w:rFonts w:hint="eastAsia"/>
                <w:lang w:val="en-US" w:eastAsia="zh-CN"/>
              </w:rPr>
              <w:t>输送皮带</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33D96">
            <w:pPr>
              <w:pStyle w:val="43"/>
              <w:bidi w:val="0"/>
              <w:rPr>
                <w:rFonts w:hint="eastAsia"/>
              </w:rPr>
            </w:pPr>
            <w:r>
              <w:rPr>
                <w:rFonts w:hint="eastAsia"/>
                <w:lang w:val="en-US" w:eastAsia="zh-CN"/>
              </w:rPr>
              <w:t xml:space="preserve">9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9F046EA">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214D">
            <w:pPr>
              <w:pStyle w:val="43"/>
              <w:bidi w:val="0"/>
              <w:rPr>
                <w:rFonts w:hint="eastAsia"/>
              </w:rPr>
            </w:pPr>
            <w:r>
              <w:rPr>
                <w:rFonts w:hint="eastAsia"/>
                <w:lang w:val="en-US" w:eastAsia="zh-CN"/>
              </w:rPr>
              <w:t>65*1000</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038B0">
            <w:pPr>
              <w:pStyle w:val="43"/>
              <w:bidi w:val="0"/>
              <w:rPr>
                <w:rFonts w:hint="eastAsia"/>
              </w:rPr>
            </w:pPr>
            <w:r>
              <w:rPr>
                <w:rFonts w:hint="eastAsia"/>
                <w:lang w:val="en-US" w:eastAsia="zh-CN"/>
              </w:rPr>
              <w:t>新购入</w:t>
            </w:r>
          </w:p>
        </w:tc>
      </w:tr>
      <w:tr w14:paraId="0C3C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0EB910">
            <w:pPr>
              <w:pStyle w:val="43"/>
              <w:bidi w:val="0"/>
              <w:rPr>
                <w:rFonts w:hint="default"/>
              </w:rPr>
            </w:pPr>
            <w:r>
              <w:rPr>
                <w:rFonts w:hint="default"/>
                <w:lang w:val="en-US" w:eastAsia="zh-CN"/>
              </w:rPr>
              <w:t>27</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F5B0">
            <w:pPr>
              <w:pStyle w:val="43"/>
              <w:bidi w:val="0"/>
              <w:rPr>
                <w:rFonts w:hint="eastAsia"/>
              </w:rPr>
            </w:pPr>
            <w:r>
              <w:rPr>
                <w:rFonts w:hint="eastAsia"/>
                <w:lang w:val="en-US" w:eastAsia="zh-CN"/>
              </w:rPr>
              <w:t>输送皮带电机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11371">
            <w:pPr>
              <w:pStyle w:val="43"/>
              <w:bidi w:val="0"/>
              <w:rPr>
                <w:rFonts w:hint="eastAsia"/>
              </w:rPr>
            </w:pPr>
            <w:r>
              <w:rPr>
                <w:rFonts w:hint="eastAsia"/>
                <w:lang w:val="en-US" w:eastAsia="zh-CN"/>
              </w:rPr>
              <w:t xml:space="preserve">9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287AA7">
            <w:pPr>
              <w:pStyle w:val="43"/>
              <w:bidi w:val="0"/>
              <w:rPr>
                <w:rFonts w:hint="eastAsia"/>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6A7E">
            <w:pPr>
              <w:pStyle w:val="43"/>
              <w:bidi w:val="0"/>
              <w:rPr>
                <w:rFonts w:hint="eastAsia"/>
              </w:rPr>
            </w:pPr>
            <w:r>
              <w:rPr>
                <w:rFonts w:hint="eastAsia"/>
                <w:lang w:val="en-US" w:eastAsia="zh-CN"/>
              </w:rPr>
              <w:t>YZX132M-4-7.5kW</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430C">
            <w:pPr>
              <w:pStyle w:val="43"/>
              <w:bidi w:val="0"/>
              <w:rPr>
                <w:rFonts w:hint="eastAsia"/>
              </w:rPr>
            </w:pPr>
            <w:r>
              <w:rPr>
                <w:rFonts w:hint="eastAsia"/>
                <w:lang w:val="en-US" w:eastAsia="zh-CN"/>
              </w:rPr>
              <w:t>新购入</w:t>
            </w:r>
          </w:p>
        </w:tc>
      </w:tr>
      <w:tr w14:paraId="5DBEB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8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A46AD3">
            <w:pPr>
              <w:pStyle w:val="43"/>
              <w:bidi w:val="0"/>
              <w:rPr>
                <w:rFonts w:hint="default"/>
                <w:lang w:val="en-US" w:eastAsia="zh-CN"/>
              </w:rPr>
            </w:pPr>
            <w:bookmarkStart w:id="156" w:name="_Toc21761"/>
            <w:bookmarkStart w:id="157" w:name="_Toc10782"/>
            <w:r>
              <w:rPr>
                <w:rFonts w:hint="eastAsia"/>
                <w:lang w:val="en-US" w:eastAsia="zh-CN"/>
              </w:rPr>
              <w:t>28</w:t>
            </w:r>
          </w:p>
        </w:tc>
        <w:tc>
          <w:tcPr>
            <w:tcW w:w="10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2FD9">
            <w:pPr>
              <w:pStyle w:val="43"/>
              <w:bidi w:val="0"/>
              <w:rPr>
                <w:rFonts w:hint="eastAsia"/>
                <w:lang w:val="en-US" w:eastAsia="zh-CN"/>
              </w:rPr>
            </w:pPr>
            <w:r>
              <w:rPr>
                <w:rFonts w:hint="eastAsia"/>
                <w:lang w:val="en-US" w:eastAsia="zh-CN"/>
              </w:rPr>
              <w:t>高风压潜孔钻机</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BDA2">
            <w:pPr>
              <w:pStyle w:val="43"/>
              <w:bidi w:val="0"/>
              <w:rPr>
                <w:rFonts w:hint="eastAsia"/>
                <w:lang w:val="en-US" w:eastAsia="zh-CN"/>
              </w:rPr>
            </w:pPr>
            <w:r>
              <w:rPr>
                <w:rFonts w:hint="eastAsia"/>
                <w:lang w:val="en-US" w:eastAsia="zh-CN"/>
              </w:rPr>
              <w:t>1</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0D3B43">
            <w:pPr>
              <w:pStyle w:val="43"/>
              <w:bidi w:val="0"/>
              <w:rPr>
                <w:rFonts w:hint="eastAsia"/>
                <w:lang w:val="en-US" w:eastAsia="zh-CN"/>
              </w:rPr>
            </w:pPr>
            <w:r>
              <w:rPr>
                <w:rFonts w:hint="eastAsia"/>
                <w:lang w:val="en-US" w:eastAsia="zh-CN"/>
              </w:rPr>
              <w:t>台</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B05C1">
            <w:pPr>
              <w:pStyle w:val="43"/>
              <w:bidi w:val="0"/>
              <w:rPr>
                <w:rFonts w:hint="eastAsia"/>
                <w:lang w:val="en-US" w:eastAsia="zh-CN"/>
              </w:rPr>
            </w:pPr>
            <w:r>
              <w:rPr>
                <w:rFonts w:hint="eastAsia"/>
                <w:lang w:val="en-US" w:eastAsia="zh-CN"/>
              </w:rPr>
              <w:t>CCM680</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4E03">
            <w:pPr>
              <w:pStyle w:val="43"/>
              <w:bidi w:val="0"/>
              <w:rPr>
                <w:rFonts w:hint="eastAsia"/>
                <w:lang w:val="en-US" w:eastAsia="zh-CN"/>
              </w:rPr>
            </w:pPr>
            <w:r>
              <w:rPr>
                <w:rFonts w:hint="eastAsia"/>
                <w:lang w:val="en-US" w:eastAsia="zh-CN"/>
              </w:rPr>
              <w:t>新购入</w:t>
            </w:r>
          </w:p>
        </w:tc>
      </w:tr>
    </w:tbl>
    <w:p w14:paraId="0EEB1AB7">
      <w:pPr>
        <w:pStyle w:val="3"/>
        <w:bidi w:val="0"/>
        <w:rPr>
          <w:rFonts w:hint="default"/>
          <w:lang w:val="en-US" w:eastAsia="zh-CN"/>
        </w:rPr>
      </w:pPr>
      <w:r>
        <w:rPr>
          <w:rFonts w:hint="default"/>
          <w:lang w:val="en-US" w:eastAsia="zh-CN"/>
        </w:rPr>
        <w:t>劳动定员及工作制度</w:t>
      </w:r>
      <w:bookmarkEnd w:id="156"/>
      <w:bookmarkEnd w:id="157"/>
    </w:p>
    <w:p w14:paraId="4D9BFBB0">
      <w:pPr>
        <w:pStyle w:val="41"/>
        <w:bidi w:val="0"/>
        <w:rPr>
          <w:b/>
          <w:bCs/>
        </w:rPr>
      </w:pPr>
      <w:r>
        <w:rPr>
          <w:rFonts w:hint="eastAsia"/>
          <w:b/>
          <w:bCs/>
          <w:lang w:eastAsia="zh-CN"/>
        </w:rPr>
        <w:t>（</w:t>
      </w:r>
      <w:r>
        <w:rPr>
          <w:rFonts w:hint="eastAsia"/>
          <w:b/>
          <w:bCs/>
          <w:lang w:val="en-US" w:eastAsia="zh-CN"/>
        </w:rPr>
        <w:t>1）</w:t>
      </w:r>
      <w:r>
        <w:rPr>
          <w:b/>
          <w:bCs/>
        </w:rPr>
        <w:t>劳动定员</w:t>
      </w:r>
    </w:p>
    <w:p w14:paraId="0DE2E9E8">
      <w:pPr>
        <w:pStyle w:val="41"/>
        <w:bidi w:val="0"/>
      </w:pPr>
      <w:r>
        <w:rPr>
          <w:rFonts w:hint="eastAsia"/>
          <w:lang w:val="en-US" w:eastAsia="zh-CN"/>
        </w:rPr>
        <w:t>原</w:t>
      </w:r>
      <w:r>
        <w:t>项目劳动定员为2</w:t>
      </w:r>
      <w:r>
        <w:rPr>
          <w:rFonts w:hint="eastAsia"/>
          <w:lang w:val="en-US" w:eastAsia="zh-CN"/>
        </w:rPr>
        <w:t>0</w:t>
      </w:r>
      <w:r>
        <w:t>人，</w:t>
      </w:r>
      <w:r>
        <w:rPr>
          <w:rFonts w:hint="eastAsia"/>
          <w:lang w:val="en-US" w:eastAsia="zh-CN"/>
        </w:rPr>
        <w:t>在厂内食宿，本次新增劳动定员8人，均不在厂内食宿</w:t>
      </w:r>
      <w:r>
        <w:t>。</w:t>
      </w:r>
    </w:p>
    <w:p w14:paraId="2D30382C">
      <w:pPr>
        <w:pStyle w:val="41"/>
        <w:bidi w:val="0"/>
        <w:rPr>
          <w:b/>
          <w:bCs/>
        </w:rPr>
      </w:pPr>
      <w:r>
        <w:rPr>
          <w:rFonts w:hint="eastAsia"/>
          <w:b/>
          <w:bCs/>
          <w:lang w:eastAsia="zh-CN"/>
        </w:rPr>
        <w:t>（</w:t>
      </w:r>
      <w:r>
        <w:rPr>
          <w:b/>
          <w:bCs/>
        </w:rPr>
        <w:t>2</w:t>
      </w:r>
      <w:r>
        <w:rPr>
          <w:rFonts w:hint="eastAsia"/>
          <w:b/>
          <w:bCs/>
          <w:lang w:eastAsia="zh-CN"/>
        </w:rPr>
        <w:t>）</w:t>
      </w:r>
      <w:r>
        <w:rPr>
          <w:b/>
          <w:bCs/>
        </w:rPr>
        <w:t>工作制度</w:t>
      </w:r>
    </w:p>
    <w:p w14:paraId="1A583765">
      <w:pPr>
        <w:pStyle w:val="41"/>
        <w:bidi w:val="0"/>
        <w:rPr>
          <w:spacing w:val="-1"/>
        </w:rPr>
      </w:pPr>
      <w:r>
        <w:rPr>
          <w:rFonts w:hint="eastAsia"/>
          <w:spacing w:val="1"/>
          <w:lang w:val="en-US" w:eastAsia="zh-CN"/>
        </w:rPr>
        <w:t>扩建后工作制度与原项目一致，</w:t>
      </w:r>
      <w:r>
        <w:rPr>
          <w:spacing w:val="1"/>
        </w:rPr>
        <w:t>项目年均工作时间为10个月</w:t>
      </w:r>
      <w:r>
        <w:rPr>
          <w:rFonts w:hint="eastAsia"/>
          <w:spacing w:val="1"/>
          <w:lang w:eastAsia="zh-CN"/>
        </w:rPr>
        <w:t>（</w:t>
      </w:r>
      <w:r>
        <w:rPr>
          <w:spacing w:val="1"/>
        </w:rPr>
        <w:t>3</w:t>
      </w:r>
      <w:r>
        <w:t>00d</w:t>
      </w:r>
      <w:r>
        <w:rPr>
          <w:rFonts w:hint="eastAsia"/>
          <w:lang w:eastAsia="zh-CN"/>
        </w:rPr>
        <w:t>），</w:t>
      </w:r>
      <w:r>
        <w:t>每天1班</w:t>
      </w:r>
      <w:r>
        <w:rPr>
          <w:rFonts w:hint="eastAsia"/>
          <w:lang w:eastAsia="zh-CN"/>
        </w:rPr>
        <w:t>（</w:t>
      </w:r>
      <w:r>
        <w:t>8h</w:t>
      </w:r>
      <w:r>
        <w:rPr>
          <w:rFonts w:hint="eastAsia"/>
          <w:lang w:eastAsia="zh-CN"/>
        </w:rPr>
        <w:t>），</w:t>
      </w:r>
      <w:r>
        <w:t>夜间</w:t>
      </w:r>
      <w:r>
        <w:rPr>
          <w:spacing w:val="-1"/>
        </w:rPr>
        <w:t>不生产。</w:t>
      </w:r>
    </w:p>
    <w:p w14:paraId="55D8520A">
      <w:pPr>
        <w:pStyle w:val="3"/>
        <w:bidi w:val="0"/>
        <w:rPr>
          <w:rFonts w:hint="default"/>
          <w:lang w:val="en-US" w:eastAsia="zh-CN"/>
        </w:rPr>
      </w:pPr>
      <w:bookmarkStart w:id="158" w:name="_Toc19252"/>
      <w:bookmarkStart w:id="159" w:name="_Toc14715"/>
      <w:r>
        <w:rPr>
          <w:rFonts w:hint="default"/>
          <w:lang w:val="en-US" w:eastAsia="zh-CN"/>
        </w:rPr>
        <w:t>总平面布置情况</w:t>
      </w:r>
      <w:bookmarkEnd w:id="158"/>
      <w:bookmarkEnd w:id="159"/>
    </w:p>
    <w:p w14:paraId="05C047B0">
      <w:pPr>
        <w:pStyle w:val="41"/>
        <w:bidi w:val="0"/>
        <w:rPr>
          <w:rFonts w:hint="default"/>
          <w:lang w:val="en-US" w:eastAsia="zh-CN"/>
        </w:rPr>
      </w:pPr>
      <w:r>
        <w:t>根据工程实际情况，结合工程建设的特点、施工工艺及各建设内容的功能区划不同，将项目区划分为露天</w:t>
      </w:r>
      <w:r>
        <w:rPr>
          <w:rFonts w:hint="eastAsia"/>
        </w:rPr>
        <w:t>开采</w:t>
      </w:r>
      <w:r>
        <w:t>区、</w:t>
      </w:r>
      <w:r>
        <w:rPr>
          <w:rFonts w:hint="eastAsia"/>
        </w:rPr>
        <w:t>生产加工区、砂石料堆场、</w:t>
      </w:r>
      <w:r>
        <w:t>办公生活区</w:t>
      </w:r>
      <w:r>
        <w:rPr>
          <w:rFonts w:hint="eastAsia"/>
        </w:rPr>
        <w:t>、</w:t>
      </w:r>
      <w:r>
        <w:rPr>
          <w:rFonts w:hint="eastAsia"/>
          <w:lang w:val="en-US" w:eastAsia="zh-CN"/>
        </w:rPr>
        <w:t>表土堆场</w:t>
      </w:r>
      <w:r>
        <w:rPr>
          <w:rFonts w:hint="eastAsia"/>
        </w:rPr>
        <w:t>等</w:t>
      </w:r>
      <w:r>
        <w:t>。</w:t>
      </w:r>
      <w:r>
        <w:rPr>
          <w:rFonts w:hint="eastAsia"/>
        </w:rPr>
        <w:t>项目露天开采区位于项目区</w:t>
      </w:r>
      <w:r>
        <w:rPr>
          <w:rFonts w:hint="eastAsia"/>
          <w:lang w:val="en-US" w:eastAsia="zh-CN"/>
        </w:rPr>
        <w:t>北部</w:t>
      </w:r>
      <w:r>
        <w:rPr>
          <w:rFonts w:hint="eastAsia"/>
        </w:rPr>
        <w:t>，生产加工区、砂石料场、办公生活区于项目区西南侧。</w:t>
      </w:r>
      <w:r>
        <w:t>道路连接开采区、</w:t>
      </w:r>
      <w:r>
        <w:rPr>
          <w:rFonts w:hint="eastAsia"/>
        </w:rPr>
        <w:t>生产加工区</w:t>
      </w:r>
      <w:r>
        <w:t>和</w:t>
      </w:r>
      <w:r>
        <w:rPr>
          <w:rFonts w:hint="eastAsia"/>
        </w:rPr>
        <w:t>办公</w:t>
      </w:r>
      <w:r>
        <w:t>生活区，满足场内、外运输需求，项目布局紧凑合理。</w:t>
      </w:r>
      <w:r>
        <w:rPr>
          <w:rFonts w:hint="default"/>
          <w:lang w:val="en-US" w:eastAsia="zh-CN"/>
        </w:rPr>
        <w:t>项目总平面布置详见附图</w:t>
      </w:r>
      <w:r>
        <w:rPr>
          <w:rFonts w:hint="eastAsia"/>
          <w:lang w:val="en-US" w:eastAsia="zh-CN"/>
        </w:rPr>
        <w:t>3</w:t>
      </w:r>
      <w:r>
        <w:rPr>
          <w:rFonts w:hint="default"/>
          <w:lang w:val="en-US" w:eastAsia="zh-CN"/>
        </w:rPr>
        <w:t>。</w:t>
      </w:r>
    </w:p>
    <w:p w14:paraId="5751E018">
      <w:pPr>
        <w:pStyle w:val="3"/>
        <w:bidi w:val="0"/>
        <w:rPr>
          <w:rFonts w:hint="default"/>
          <w:highlight w:val="none"/>
          <w:lang w:val="en-US" w:eastAsia="zh-CN"/>
        </w:rPr>
      </w:pPr>
      <w:bookmarkStart w:id="160" w:name="_Toc26614"/>
      <w:bookmarkStart w:id="161" w:name="_Toc12578"/>
      <w:r>
        <w:rPr>
          <w:rFonts w:hint="default"/>
          <w:highlight w:val="none"/>
          <w:lang w:val="en-US" w:eastAsia="zh-CN"/>
        </w:rPr>
        <w:t>项目施工计划</w:t>
      </w:r>
      <w:bookmarkEnd w:id="160"/>
      <w:bookmarkEnd w:id="161"/>
    </w:p>
    <w:p w14:paraId="7BF7BCE0">
      <w:pPr>
        <w:pStyle w:val="41"/>
        <w:bidi w:val="0"/>
        <w:rPr>
          <w:rFonts w:hint="default"/>
          <w:highlight w:val="none"/>
        </w:rPr>
      </w:pPr>
      <w:r>
        <w:rPr>
          <w:rFonts w:hint="default"/>
          <w:highlight w:val="none"/>
        </w:rPr>
        <w:t>根据主体工程设计资料，本项目建设期为</w:t>
      </w:r>
      <w:r>
        <w:rPr>
          <w:rFonts w:hint="eastAsia"/>
          <w:highlight w:val="none"/>
          <w:lang w:val="en-US" w:eastAsia="zh-CN"/>
        </w:rPr>
        <w:t>2</w:t>
      </w:r>
      <w:r>
        <w:rPr>
          <w:rFonts w:hint="default"/>
          <w:highlight w:val="none"/>
          <w:lang w:val="en-US" w:eastAsia="zh-CN"/>
        </w:rPr>
        <w:t>个月</w:t>
      </w:r>
      <w:r>
        <w:rPr>
          <w:rFonts w:hint="default"/>
          <w:highlight w:val="none"/>
        </w:rPr>
        <w:t>，</w:t>
      </w:r>
      <w:r>
        <w:rPr>
          <w:rFonts w:hint="eastAsia"/>
          <w:highlight w:val="none"/>
          <w:lang w:val="en-US" w:eastAsia="zh-CN"/>
        </w:rPr>
        <w:t>主要为旧设备拆除，新设备安装调试，</w:t>
      </w:r>
      <w:r>
        <w:rPr>
          <w:rFonts w:hint="default"/>
          <w:highlight w:val="none"/>
        </w:rPr>
        <w:t>项目将于2026年</w:t>
      </w:r>
      <w:r>
        <w:rPr>
          <w:rFonts w:hint="eastAsia"/>
          <w:highlight w:val="none"/>
          <w:lang w:val="en-US" w:eastAsia="zh-CN"/>
        </w:rPr>
        <w:t>8</w:t>
      </w:r>
      <w:r>
        <w:rPr>
          <w:rFonts w:hint="default"/>
          <w:highlight w:val="none"/>
        </w:rPr>
        <w:t>月开工建设，计划于202</w:t>
      </w:r>
      <w:r>
        <w:rPr>
          <w:rFonts w:hint="eastAsia"/>
          <w:highlight w:val="none"/>
          <w:lang w:val="en-US" w:eastAsia="zh-CN"/>
        </w:rPr>
        <w:t>6</w:t>
      </w:r>
      <w:r>
        <w:rPr>
          <w:rFonts w:hint="default"/>
          <w:highlight w:val="none"/>
        </w:rPr>
        <w:t>年</w:t>
      </w:r>
      <w:r>
        <w:rPr>
          <w:rFonts w:hint="eastAsia"/>
          <w:highlight w:val="none"/>
          <w:lang w:val="en-US" w:eastAsia="zh-CN"/>
        </w:rPr>
        <w:t>10</w:t>
      </w:r>
      <w:r>
        <w:rPr>
          <w:rFonts w:hint="default"/>
          <w:highlight w:val="none"/>
        </w:rPr>
        <w:t>月建成。</w:t>
      </w:r>
    </w:p>
    <w:p w14:paraId="7BB6F3D8">
      <w:pPr>
        <w:pStyle w:val="3"/>
        <w:bidi w:val="0"/>
        <w:rPr>
          <w:rFonts w:hint="default"/>
          <w:lang w:val="en-US" w:eastAsia="zh-CN"/>
        </w:rPr>
      </w:pPr>
      <w:bookmarkStart w:id="162" w:name="_Toc9660"/>
      <w:bookmarkStart w:id="163" w:name="_Toc1399"/>
      <w:r>
        <w:rPr>
          <w:rFonts w:hint="default"/>
          <w:lang w:val="en-US" w:eastAsia="zh-CN"/>
        </w:rPr>
        <w:t>主要技术经济指标</w:t>
      </w:r>
      <w:bookmarkEnd w:id="162"/>
      <w:bookmarkEnd w:id="163"/>
    </w:p>
    <w:p w14:paraId="0414F5D6">
      <w:pPr>
        <w:pStyle w:val="41"/>
        <w:bidi w:val="0"/>
        <w:rPr>
          <w:rFonts w:hint="default"/>
          <w:lang w:val="en-US" w:eastAsia="zh-CN"/>
        </w:rPr>
      </w:pPr>
      <w:r>
        <w:rPr>
          <w:rFonts w:hint="default"/>
          <w:lang w:val="en-US" w:eastAsia="zh-CN"/>
        </w:rPr>
        <w:t>矿山设计技术指标详见下表。</w:t>
      </w:r>
    </w:p>
    <w:p w14:paraId="1B542A24">
      <w:pPr>
        <w:pStyle w:val="45"/>
        <w:bidi w:val="0"/>
        <w:rPr>
          <w:rFonts w:hint="default"/>
          <w:lang w:eastAsia="zh-CN"/>
        </w:rPr>
      </w:pPr>
      <w:r>
        <w:rPr>
          <w:rFonts w:hint="default"/>
          <w:lang w:eastAsia="zh-CN"/>
        </w:rPr>
        <w:t>表</w:t>
      </w:r>
      <w:r>
        <w:rPr>
          <w:rFonts w:hint="eastAsia"/>
          <w:lang w:val="en-US" w:eastAsia="zh-CN"/>
        </w:rPr>
        <w:t>3</w:t>
      </w:r>
      <w:r>
        <w:rPr>
          <w:rFonts w:hint="default"/>
          <w:lang w:val="en-US" w:eastAsia="zh-CN"/>
        </w:rPr>
        <w:t>.9-1</w:t>
      </w:r>
      <w:r>
        <w:rPr>
          <w:rFonts w:hint="default"/>
          <w:lang w:eastAsia="zh-CN"/>
        </w:rPr>
        <w:t xml:space="preserve">  </w:t>
      </w:r>
      <w:r>
        <w:rPr>
          <w:rFonts w:hint="default"/>
          <w:lang w:val="en-US" w:eastAsia="zh-CN"/>
        </w:rPr>
        <w:t>设计主要</w:t>
      </w:r>
      <w:r>
        <w:rPr>
          <w:rFonts w:hint="default"/>
          <w:lang w:eastAsia="zh-CN"/>
        </w:rPr>
        <w:t>技术指标表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2"/>
        <w:gridCol w:w="1733"/>
        <w:gridCol w:w="1164"/>
        <w:gridCol w:w="2214"/>
        <w:gridCol w:w="2126"/>
      </w:tblGrid>
      <w:tr w14:paraId="03B8F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FC03C4">
            <w:pPr>
              <w:pStyle w:val="43"/>
              <w:bidi w:val="0"/>
              <w:rPr>
                <w:rFonts w:hint="eastAsia"/>
                <w:b/>
                <w:bCs/>
              </w:rPr>
            </w:pPr>
            <w:r>
              <w:rPr>
                <w:rFonts w:hint="eastAsia"/>
                <w:b/>
                <w:bCs/>
                <w:lang w:val="en-US" w:eastAsia="zh-CN"/>
              </w:rPr>
              <w:t>序号</w:t>
            </w:r>
          </w:p>
        </w:tc>
        <w:tc>
          <w:tcPr>
            <w:tcW w:w="10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F02D484">
            <w:pPr>
              <w:pStyle w:val="43"/>
              <w:bidi w:val="0"/>
              <w:rPr>
                <w:rFonts w:hint="eastAsia"/>
                <w:b/>
                <w:bCs/>
              </w:rPr>
            </w:pPr>
            <w:r>
              <w:rPr>
                <w:rFonts w:hint="eastAsia"/>
                <w:b/>
                <w:bCs/>
                <w:lang w:val="en-US" w:eastAsia="zh-CN"/>
              </w:rPr>
              <w:t>项目名称</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A25FDC">
            <w:pPr>
              <w:pStyle w:val="43"/>
              <w:bidi w:val="0"/>
              <w:rPr>
                <w:rFonts w:hint="eastAsia"/>
                <w:b/>
                <w:bCs/>
              </w:rPr>
            </w:pPr>
            <w:r>
              <w:rPr>
                <w:rFonts w:hint="eastAsia"/>
                <w:b/>
                <w:bCs/>
                <w:lang w:val="en-US" w:eastAsia="zh-CN"/>
              </w:rPr>
              <w:t>单位</w:t>
            </w:r>
          </w:p>
        </w:tc>
        <w:tc>
          <w:tcPr>
            <w:tcW w:w="129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ED73FF">
            <w:pPr>
              <w:pStyle w:val="43"/>
              <w:bidi w:val="0"/>
              <w:rPr>
                <w:rFonts w:hint="eastAsia"/>
                <w:b/>
                <w:bCs/>
              </w:rPr>
            </w:pPr>
            <w:r>
              <w:rPr>
                <w:rFonts w:hint="eastAsia"/>
                <w:b/>
                <w:bCs/>
                <w:lang w:val="en-US" w:eastAsia="zh-CN"/>
              </w:rPr>
              <w:t>规模</w:t>
            </w:r>
          </w:p>
        </w:tc>
        <w:tc>
          <w:tcPr>
            <w:tcW w:w="12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EDA99B">
            <w:pPr>
              <w:pStyle w:val="43"/>
              <w:bidi w:val="0"/>
              <w:rPr>
                <w:rFonts w:hint="eastAsia"/>
                <w:b/>
                <w:bCs/>
              </w:rPr>
            </w:pPr>
            <w:r>
              <w:rPr>
                <w:rFonts w:hint="eastAsia"/>
                <w:b/>
                <w:bCs/>
                <w:lang w:val="en-US" w:eastAsia="zh-CN"/>
              </w:rPr>
              <w:t>备注</w:t>
            </w:r>
          </w:p>
        </w:tc>
      </w:tr>
      <w:tr w14:paraId="4EE73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35C7FDAA">
            <w:pPr>
              <w:pStyle w:val="43"/>
              <w:bidi w:val="0"/>
              <w:rPr>
                <w:rFonts w:hint="eastAsia"/>
              </w:rPr>
            </w:pPr>
            <w:r>
              <w:rPr>
                <w:rFonts w:hint="eastAsia"/>
                <w:lang w:val="en-US" w:eastAsia="zh-CN"/>
              </w:rPr>
              <w:t>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6E3D523F">
            <w:pPr>
              <w:pStyle w:val="43"/>
              <w:bidi w:val="0"/>
              <w:rPr>
                <w:rFonts w:hint="eastAsia"/>
              </w:rPr>
            </w:pPr>
            <w:r>
              <w:rPr>
                <w:rFonts w:hint="eastAsia"/>
                <w:lang w:val="en-US" w:eastAsia="zh-CN"/>
              </w:rPr>
              <w:t>项目占地面积</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13D6665F">
            <w:pPr>
              <w:pStyle w:val="43"/>
              <w:bidi w:val="0"/>
              <w:rPr>
                <w:rFonts w:hint="eastAsia"/>
              </w:rPr>
            </w:pPr>
            <w:r>
              <w:rPr>
                <w:rFonts w:hint="eastAsia"/>
                <w:lang w:val="en-US" w:eastAsia="zh-CN"/>
              </w:rPr>
              <w:t>m²</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755A67AE">
            <w:pPr>
              <w:pStyle w:val="43"/>
              <w:bidi w:val="0"/>
              <w:rPr>
                <w:rFonts w:hint="eastAsia"/>
              </w:rPr>
            </w:pPr>
            <w:r>
              <w:rPr>
                <w:rFonts w:hint="eastAsia"/>
                <w:lang w:val="en-US" w:eastAsia="zh-CN"/>
              </w:rPr>
              <w:t>319800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6B3111F6">
            <w:pPr>
              <w:pStyle w:val="43"/>
              <w:bidi w:val="0"/>
              <w:rPr>
                <w:rFonts w:hint="eastAsia"/>
              </w:rPr>
            </w:pPr>
            <w:r>
              <w:rPr>
                <w:rFonts w:hint="eastAsia"/>
                <w:lang w:val="en-US" w:eastAsia="zh-CN"/>
              </w:rPr>
              <w:t>-</w:t>
            </w:r>
          </w:p>
        </w:tc>
      </w:tr>
      <w:tr w14:paraId="26F1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0AACAD09">
            <w:pPr>
              <w:pStyle w:val="43"/>
              <w:bidi w:val="0"/>
              <w:rPr>
                <w:rFonts w:hint="eastAsia"/>
              </w:rPr>
            </w:pPr>
            <w:r>
              <w:rPr>
                <w:rFonts w:hint="eastAsia"/>
                <w:lang w:val="en-US" w:eastAsia="zh-CN"/>
              </w:rPr>
              <w:t>1.1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475E9571">
            <w:pPr>
              <w:pStyle w:val="43"/>
              <w:bidi w:val="0"/>
              <w:rPr>
                <w:rFonts w:hint="eastAsia"/>
              </w:rPr>
            </w:pPr>
            <w:r>
              <w:rPr>
                <w:rFonts w:hint="eastAsia"/>
                <w:lang w:val="en-US" w:eastAsia="zh-CN"/>
              </w:rPr>
              <w:t>项目矿区占地面积</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4D29D29C">
            <w:pPr>
              <w:pStyle w:val="43"/>
              <w:bidi w:val="0"/>
              <w:rPr>
                <w:rFonts w:hint="eastAsia"/>
              </w:rPr>
            </w:pPr>
            <w:r>
              <w:rPr>
                <w:rFonts w:hint="eastAsia"/>
                <w:lang w:val="en-US" w:eastAsia="zh-CN"/>
              </w:rPr>
              <w:t>m²</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404BC496">
            <w:pPr>
              <w:pStyle w:val="43"/>
              <w:bidi w:val="0"/>
              <w:rPr>
                <w:rFonts w:hint="eastAsia"/>
              </w:rPr>
            </w:pPr>
            <w:r>
              <w:rPr>
                <w:rFonts w:hint="eastAsia"/>
                <w:lang w:val="en-US" w:eastAsia="zh-CN"/>
              </w:rPr>
              <w:t>289000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0B15AFF7">
            <w:pPr>
              <w:pStyle w:val="43"/>
              <w:bidi w:val="0"/>
              <w:rPr>
                <w:rFonts w:hint="eastAsia"/>
              </w:rPr>
            </w:pPr>
          </w:p>
        </w:tc>
      </w:tr>
      <w:tr w14:paraId="6E49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518FB0FA">
            <w:pPr>
              <w:pStyle w:val="43"/>
              <w:bidi w:val="0"/>
              <w:rPr>
                <w:rFonts w:hint="eastAsia"/>
              </w:rPr>
            </w:pPr>
            <w:r>
              <w:rPr>
                <w:rFonts w:hint="eastAsia"/>
                <w:lang w:val="en-US" w:eastAsia="zh-CN"/>
              </w:rPr>
              <w:t>1.2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D10ECCB">
            <w:pPr>
              <w:pStyle w:val="43"/>
              <w:bidi w:val="0"/>
              <w:rPr>
                <w:rFonts w:hint="eastAsia"/>
              </w:rPr>
            </w:pPr>
            <w:r>
              <w:rPr>
                <w:rFonts w:hint="eastAsia"/>
                <w:lang w:val="en-US" w:eastAsia="zh-CN"/>
              </w:rPr>
              <w:t>生产加工区</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7C9BCF39">
            <w:pPr>
              <w:pStyle w:val="43"/>
              <w:bidi w:val="0"/>
              <w:rPr>
                <w:rFonts w:hint="eastAsia"/>
              </w:rPr>
            </w:pPr>
            <w:r>
              <w:rPr>
                <w:rFonts w:hint="eastAsia"/>
                <w:lang w:val="en-US" w:eastAsia="zh-CN"/>
              </w:rPr>
              <w:t>m²</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048DBD64">
            <w:pPr>
              <w:pStyle w:val="43"/>
              <w:bidi w:val="0"/>
              <w:rPr>
                <w:rFonts w:hint="eastAsia"/>
              </w:rPr>
            </w:pPr>
            <w:r>
              <w:rPr>
                <w:rFonts w:hint="eastAsia"/>
                <w:lang w:val="en-US" w:eastAsia="zh-CN"/>
              </w:rPr>
              <w:t>5400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44B8CB5C">
            <w:pPr>
              <w:pStyle w:val="43"/>
              <w:bidi w:val="0"/>
              <w:rPr>
                <w:rFonts w:hint="eastAsia"/>
              </w:rPr>
            </w:pPr>
            <w:r>
              <w:rPr>
                <w:rFonts w:hint="eastAsia"/>
                <w:lang w:val="en-US" w:eastAsia="zh-CN"/>
              </w:rPr>
              <w:t>建筑面积约</w:t>
            </w:r>
            <w:r>
              <w:rPr>
                <w:lang w:val="en-US" w:eastAsia="zh-CN"/>
              </w:rPr>
              <w:t>5000m²</w:t>
            </w:r>
          </w:p>
        </w:tc>
      </w:tr>
      <w:tr w14:paraId="37E31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02BFB014">
            <w:pPr>
              <w:pStyle w:val="43"/>
              <w:bidi w:val="0"/>
              <w:rPr>
                <w:rFonts w:hint="eastAsia"/>
              </w:rPr>
            </w:pPr>
            <w:r>
              <w:rPr>
                <w:rFonts w:hint="eastAsia"/>
                <w:lang w:val="en-US" w:eastAsia="zh-CN"/>
              </w:rPr>
              <w:t>1.3</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5A05A23A">
            <w:pPr>
              <w:pStyle w:val="43"/>
              <w:bidi w:val="0"/>
              <w:rPr>
                <w:rFonts w:hint="eastAsia"/>
              </w:rPr>
            </w:pPr>
            <w:r>
              <w:rPr>
                <w:rFonts w:hint="eastAsia"/>
                <w:lang w:val="en-US" w:eastAsia="zh-CN"/>
              </w:rPr>
              <w:t>砂石料场</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5146403A">
            <w:pPr>
              <w:pStyle w:val="43"/>
              <w:bidi w:val="0"/>
              <w:rPr>
                <w:rFonts w:hint="eastAsia"/>
              </w:rPr>
            </w:pPr>
            <w:r>
              <w:rPr>
                <w:rFonts w:hint="eastAsia"/>
                <w:lang w:val="en-US" w:eastAsia="zh-CN"/>
              </w:rPr>
              <w:t>m²</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0DA21A3C">
            <w:pPr>
              <w:pStyle w:val="43"/>
              <w:bidi w:val="0"/>
              <w:rPr>
                <w:rFonts w:hint="eastAsia"/>
              </w:rPr>
            </w:pPr>
            <w:r>
              <w:rPr>
                <w:rFonts w:hint="eastAsia"/>
                <w:lang w:val="en-US" w:eastAsia="zh-CN"/>
              </w:rPr>
              <w:t>25000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22265297">
            <w:pPr>
              <w:pStyle w:val="43"/>
              <w:bidi w:val="0"/>
              <w:rPr>
                <w:rFonts w:hint="eastAsia"/>
              </w:rPr>
            </w:pPr>
            <w:r>
              <w:rPr>
                <w:rFonts w:hint="eastAsia"/>
                <w:lang w:val="en-US" w:eastAsia="zh-CN"/>
              </w:rPr>
              <w:t>建筑面积约</w:t>
            </w:r>
            <w:r>
              <w:rPr>
                <w:lang w:val="en-US" w:eastAsia="zh-CN"/>
              </w:rPr>
              <w:t>9000m²</w:t>
            </w:r>
          </w:p>
        </w:tc>
      </w:tr>
      <w:tr w14:paraId="54F2B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4CBDED7C">
            <w:pPr>
              <w:pStyle w:val="43"/>
              <w:bidi w:val="0"/>
              <w:rPr>
                <w:rFonts w:hint="eastAsia"/>
              </w:rPr>
            </w:pPr>
            <w:r>
              <w:rPr>
                <w:rFonts w:hint="eastAsia"/>
                <w:lang w:val="en-US" w:eastAsia="zh-CN"/>
              </w:rPr>
              <w:t>1.4</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D1E1884">
            <w:pPr>
              <w:pStyle w:val="43"/>
              <w:bidi w:val="0"/>
              <w:rPr>
                <w:rFonts w:hint="eastAsia"/>
              </w:rPr>
            </w:pPr>
            <w:r>
              <w:rPr>
                <w:rFonts w:hint="eastAsia"/>
                <w:lang w:val="en-US" w:eastAsia="zh-CN"/>
              </w:rPr>
              <w:t>办公生活区</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2AB1DD22">
            <w:pPr>
              <w:pStyle w:val="43"/>
              <w:bidi w:val="0"/>
              <w:rPr>
                <w:rFonts w:hint="eastAsia"/>
              </w:rPr>
            </w:pPr>
            <w:r>
              <w:rPr>
                <w:rFonts w:hint="eastAsia"/>
                <w:lang w:val="en-US" w:eastAsia="zh-CN"/>
              </w:rPr>
              <w:t>m²</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312F29C1">
            <w:pPr>
              <w:pStyle w:val="43"/>
              <w:bidi w:val="0"/>
              <w:rPr>
                <w:rFonts w:hint="eastAsia"/>
              </w:rPr>
            </w:pPr>
            <w:r>
              <w:rPr>
                <w:rFonts w:hint="eastAsia"/>
                <w:lang w:val="en-US" w:eastAsia="zh-CN"/>
              </w:rPr>
              <w:t>400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71DCE737">
            <w:pPr>
              <w:pStyle w:val="43"/>
              <w:bidi w:val="0"/>
              <w:rPr>
                <w:rFonts w:hint="eastAsia"/>
              </w:rPr>
            </w:pPr>
            <w:r>
              <w:rPr>
                <w:rFonts w:hint="eastAsia"/>
                <w:lang w:val="en-US" w:eastAsia="zh-CN"/>
              </w:rPr>
              <w:t>建筑面积</w:t>
            </w:r>
            <w:r>
              <w:rPr>
                <w:lang w:val="en-US" w:eastAsia="zh-CN"/>
              </w:rPr>
              <w:t>400m²</w:t>
            </w:r>
          </w:p>
        </w:tc>
      </w:tr>
      <w:tr w14:paraId="6CFE7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1CED06E7">
            <w:pPr>
              <w:pStyle w:val="43"/>
              <w:bidi w:val="0"/>
              <w:rPr>
                <w:rFonts w:hint="eastAsia"/>
              </w:rPr>
            </w:pPr>
            <w:r>
              <w:rPr>
                <w:rFonts w:hint="eastAsia"/>
                <w:lang w:val="en-US" w:eastAsia="zh-CN"/>
              </w:rPr>
              <w:t>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6C19EBF2">
            <w:pPr>
              <w:pStyle w:val="43"/>
              <w:bidi w:val="0"/>
              <w:rPr>
                <w:rFonts w:hint="eastAsia"/>
              </w:rPr>
            </w:pPr>
            <w:r>
              <w:rPr>
                <w:rFonts w:hint="eastAsia"/>
                <w:lang w:val="en-US" w:eastAsia="zh-CN"/>
              </w:rPr>
              <w:t>矿产资源储量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01758C1F">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25E1FFDD">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7AE8493F">
            <w:pPr>
              <w:pStyle w:val="43"/>
              <w:bidi w:val="0"/>
              <w:rPr>
                <w:rFonts w:hint="eastAsia"/>
              </w:rPr>
            </w:pPr>
            <w:r>
              <w:rPr>
                <w:rFonts w:hint="eastAsia"/>
                <w:lang w:val="en-US" w:eastAsia="zh-CN"/>
              </w:rPr>
              <w:t>-</w:t>
            </w:r>
          </w:p>
        </w:tc>
      </w:tr>
      <w:tr w14:paraId="5FABC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4EA7963D">
            <w:pPr>
              <w:pStyle w:val="43"/>
              <w:bidi w:val="0"/>
              <w:rPr>
                <w:rFonts w:hint="eastAsia"/>
              </w:rPr>
            </w:pPr>
            <w:r>
              <w:rPr>
                <w:rFonts w:hint="eastAsia"/>
                <w:lang w:val="en-US" w:eastAsia="zh-CN"/>
              </w:rPr>
              <w:t>2.1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2D0E9DD1">
            <w:pPr>
              <w:pStyle w:val="43"/>
              <w:bidi w:val="0"/>
              <w:rPr>
                <w:rFonts w:hint="eastAsia"/>
              </w:rPr>
            </w:pPr>
            <w:r>
              <w:rPr>
                <w:rFonts w:hint="eastAsia"/>
                <w:lang w:val="en-US" w:eastAsia="zh-CN"/>
              </w:rPr>
              <w:t>矿石资源储量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7E7CD54C">
            <w:pPr>
              <w:pStyle w:val="43"/>
              <w:bidi w:val="0"/>
              <w:rPr>
                <w:rFonts w:hint="eastAsia"/>
              </w:rPr>
            </w:pPr>
            <w:r>
              <w:rPr>
                <w:rFonts w:hint="eastAsia"/>
                <w:lang w:val="en-US" w:eastAsia="zh-CN"/>
              </w:rPr>
              <w:t>万 t</w:t>
            </w:r>
          </w:p>
        </w:tc>
        <w:tc>
          <w:tcPr>
            <w:tcW w:w="129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7D2442">
            <w:pPr>
              <w:pStyle w:val="43"/>
              <w:bidi w:val="0"/>
              <w:rPr>
                <w:rFonts w:hint="default"/>
              </w:rPr>
            </w:pPr>
            <w:r>
              <w:rPr>
                <w:rFonts w:hint="default"/>
                <w:lang w:val="en-US" w:eastAsia="zh-CN"/>
              </w:rPr>
              <w:t>1806.89</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474DB670">
            <w:pPr>
              <w:pStyle w:val="43"/>
              <w:bidi w:val="0"/>
              <w:rPr>
                <w:rFonts w:hint="eastAsia"/>
              </w:rPr>
            </w:pPr>
          </w:p>
        </w:tc>
      </w:tr>
      <w:tr w14:paraId="3EEB0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709D0BA6">
            <w:pPr>
              <w:pStyle w:val="43"/>
              <w:bidi w:val="0"/>
              <w:rPr>
                <w:rFonts w:hint="eastAsia"/>
              </w:rPr>
            </w:pPr>
            <w:r>
              <w:rPr>
                <w:rFonts w:hint="eastAsia"/>
                <w:lang w:val="en-US" w:eastAsia="zh-CN"/>
              </w:rPr>
              <w:t>2.2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7C13066A">
            <w:pPr>
              <w:pStyle w:val="43"/>
              <w:bidi w:val="0"/>
              <w:rPr>
                <w:rFonts w:hint="eastAsia"/>
              </w:rPr>
            </w:pPr>
            <w:r>
              <w:rPr>
                <w:rFonts w:hint="eastAsia"/>
                <w:lang w:val="en-US" w:eastAsia="zh-CN"/>
              </w:rPr>
              <w:t>保有资源储量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5F0176FB">
            <w:pPr>
              <w:pStyle w:val="43"/>
              <w:bidi w:val="0"/>
              <w:rPr>
                <w:rFonts w:hint="eastAsia"/>
              </w:rPr>
            </w:pPr>
            <w:r>
              <w:rPr>
                <w:rFonts w:hint="eastAsia"/>
                <w:lang w:val="en-US" w:eastAsia="zh-CN"/>
              </w:rPr>
              <w:t>万 t</w:t>
            </w:r>
          </w:p>
        </w:tc>
        <w:tc>
          <w:tcPr>
            <w:tcW w:w="1299" w:type="pct"/>
            <w:tcBorders>
              <w:top w:val="nil"/>
              <w:left w:val="single" w:color="000000" w:sz="8" w:space="0"/>
              <w:bottom w:val="single" w:color="000000" w:sz="8" w:space="0"/>
              <w:right w:val="single" w:color="000000" w:sz="8" w:space="0"/>
            </w:tcBorders>
            <w:shd w:val="clear" w:color="auto" w:fill="auto"/>
            <w:noWrap/>
            <w:vAlign w:val="center"/>
          </w:tcPr>
          <w:p w14:paraId="3BAFDAB7">
            <w:pPr>
              <w:pStyle w:val="43"/>
              <w:bidi w:val="0"/>
              <w:rPr>
                <w:rFonts w:hint="default"/>
              </w:rPr>
            </w:pPr>
            <w:r>
              <w:rPr>
                <w:rFonts w:hint="default"/>
                <w:lang w:val="en-US" w:eastAsia="zh-CN"/>
              </w:rPr>
              <w:t>1752.68</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19024CA2">
            <w:pPr>
              <w:pStyle w:val="43"/>
              <w:bidi w:val="0"/>
              <w:rPr>
                <w:rFonts w:hint="eastAsia"/>
              </w:rPr>
            </w:pPr>
          </w:p>
        </w:tc>
      </w:tr>
      <w:tr w14:paraId="10CD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2C1AAF8C">
            <w:pPr>
              <w:pStyle w:val="43"/>
              <w:bidi w:val="0"/>
              <w:rPr>
                <w:rFonts w:hint="eastAsia"/>
              </w:rPr>
            </w:pPr>
            <w:r>
              <w:rPr>
                <w:rFonts w:hint="eastAsia"/>
                <w:lang w:val="en-US" w:eastAsia="zh-CN"/>
              </w:rPr>
              <w:t>2.3</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2EC0F71B">
            <w:pPr>
              <w:pStyle w:val="43"/>
              <w:bidi w:val="0"/>
              <w:rPr>
                <w:rFonts w:hint="eastAsia"/>
              </w:rPr>
            </w:pPr>
            <w:r>
              <w:rPr>
                <w:rFonts w:hint="eastAsia"/>
                <w:lang w:val="en-US" w:eastAsia="zh-CN"/>
              </w:rPr>
              <w:t>设计利用资源量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601067E7">
            <w:pPr>
              <w:pStyle w:val="43"/>
              <w:bidi w:val="0"/>
              <w:rPr>
                <w:rFonts w:hint="eastAsia"/>
              </w:rPr>
            </w:pPr>
            <w:r>
              <w:rPr>
                <w:rFonts w:hint="eastAsia"/>
                <w:lang w:val="en-US" w:eastAsia="zh-CN"/>
              </w:rPr>
              <w:t>万 t</w:t>
            </w:r>
          </w:p>
        </w:tc>
        <w:tc>
          <w:tcPr>
            <w:tcW w:w="1299" w:type="pct"/>
            <w:tcBorders>
              <w:top w:val="nil"/>
              <w:left w:val="single" w:color="000000" w:sz="8" w:space="0"/>
              <w:bottom w:val="single" w:color="000000" w:sz="8" w:space="0"/>
              <w:right w:val="single" w:color="000000" w:sz="8" w:space="0"/>
            </w:tcBorders>
            <w:shd w:val="clear" w:color="auto" w:fill="auto"/>
            <w:noWrap/>
            <w:vAlign w:val="center"/>
          </w:tcPr>
          <w:p w14:paraId="21C5F806">
            <w:pPr>
              <w:pStyle w:val="43"/>
              <w:bidi w:val="0"/>
              <w:rPr>
                <w:rFonts w:hint="default"/>
              </w:rPr>
            </w:pPr>
            <w:r>
              <w:rPr>
                <w:rFonts w:hint="default"/>
                <w:lang w:val="en-US" w:eastAsia="zh-CN"/>
              </w:rPr>
              <w:t>1752.68</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0256B2FF">
            <w:pPr>
              <w:pStyle w:val="43"/>
              <w:bidi w:val="0"/>
              <w:rPr>
                <w:rFonts w:hint="eastAsia"/>
              </w:rPr>
            </w:pPr>
          </w:p>
        </w:tc>
      </w:tr>
      <w:tr w14:paraId="6AAC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75FEA3DB">
            <w:pPr>
              <w:pStyle w:val="43"/>
              <w:bidi w:val="0"/>
              <w:rPr>
                <w:rFonts w:hint="eastAsia"/>
              </w:rPr>
            </w:pPr>
            <w:r>
              <w:rPr>
                <w:rFonts w:hint="eastAsia"/>
                <w:lang w:val="en-US" w:eastAsia="zh-CN"/>
              </w:rPr>
              <w:t>2.4</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6E92676A">
            <w:pPr>
              <w:pStyle w:val="43"/>
              <w:bidi w:val="0"/>
              <w:rPr>
                <w:rFonts w:hint="eastAsia"/>
              </w:rPr>
            </w:pPr>
            <w:r>
              <w:rPr>
                <w:rFonts w:hint="eastAsia"/>
                <w:lang w:val="en-US" w:eastAsia="zh-CN"/>
              </w:rPr>
              <w:t>设计开采标高</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71B63BC5">
            <w:pPr>
              <w:pStyle w:val="43"/>
              <w:bidi w:val="0"/>
              <w:rPr>
                <w:rFonts w:hint="eastAsia"/>
              </w:rPr>
            </w:pPr>
            <w:r>
              <w:rPr>
                <w:rFonts w:hint="eastAsia"/>
                <w:lang w:val="en-US" w:eastAsia="zh-CN"/>
              </w:rPr>
              <w:t>m</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64CC8A9A">
            <w:pPr>
              <w:pStyle w:val="43"/>
              <w:bidi w:val="0"/>
              <w:rPr>
                <w:rFonts w:hint="eastAsia"/>
              </w:rPr>
            </w:pPr>
            <w:r>
              <w:rPr>
                <w:rFonts w:hint="eastAsia"/>
                <w:lang w:val="en-US" w:eastAsia="zh-CN"/>
              </w:rPr>
              <w:t>1654~1565</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24260807">
            <w:pPr>
              <w:pStyle w:val="43"/>
              <w:bidi w:val="0"/>
              <w:rPr>
                <w:rFonts w:hint="eastAsia"/>
              </w:rPr>
            </w:pPr>
            <w:r>
              <w:rPr>
                <w:rFonts w:hint="eastAsia"/>
                <w:lang w:val="en-US" w:eastAsia="zh-CN"/>
              </w:rPr>
              <w:t>-</w:t>
            </w:r>
          </w:p>
        </w:tc>
      </w:tr>
      <w:tr w14:paraId="7F91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51EEDBB5">
            <w:pPr>
              <w:pStyle w:val="43"/>
              <w:bidi w:val="0"/>
              <w:rPr>
                <w:rFonts w:hint="eastAsia"/>
              </w:rPr>
            </w:pPr>
            <w:r>
              <w:rPr>
                <w:rFonts w:hint="eastAsia"/>
                <w:lang w:val="en-US" w:eastAsia="zh-CN"/>
              </w:rPr>
              <w:t>3</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43A27DB3">
            <w:pPr>
              <w:pStyle w:val="43"/>
              <w:bidi w:val="0"/>
              <w:rPr>
                <w:rFonts w:hint="eastAsia"/>
              </w:rPr>
            </w:pPr>
            <w:r>
              <w:rPr>
                <w:rFonts w:hint="eastAsia"/>
                <w:lang w:val="en-US" w:eastAsia="zh-CN"/>
              </w:rPr>
              <w:t>采矿</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4D08E286">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1AD88BEE">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163B75EF">
            <w:pPr>
              <w:pStyle w:val="43"/>
              <w:bidi w:val="0"/>
              <w:rPr>
                <w:rFonts w:hint="eastAsia"/>
              </w:rPr>
            </w:pPr>
            <w:r>
              <w:rPr>
                <w:rFonts w:hint="eastAsia"/>
                <w:lang w:val="en-US" w:eastAsia="zh-CN"/>
              </w:rPr>
              <w:t>-</w:t>
            </w:r>
          </w:p>
        </w:tc>
      </w:tr>
      <w:tr w14:paraId="4454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017E3342">
            <w:pPr>
              <w:pStyle w:val="43"/>
              <w:bidi w:val="0"/>
              <w:rPr>
                <w:rFonts w:hint="eastAsia"/>
              </w:rPr>
            </w:pPr>
            <w:r>
              <w:rPr>
                <w:rFonts w:hint="eastAsia"/>
                <w:lang w:val="en-US" w:eastAsia="zh-CN"/>
              </w:rPr>
              <w:t>3.1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444B5DE3">
            <w:pPr>
              <w:pStyle w:val="43"/>
              <w:bidi w:val="0"/>
              <w:rPr>
                <w:rFonts w:hint="eastAsia"/>
              </w:rPr>
            </w:pPr>
            <w:r>
              <w:rPr>
                <w:rFonts w:hint="eastAsia"/>
                <w:lang w:val="en-US" w:eastAsia="zh-CN"/>
              </w:rPr>
              <w:t>设计年生产规模</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683482C1">
            <w:pPr>
              <w:pStyle w:val="43"/>
              <w:bidi w:val="0"/>
              <w:rPr>
                <w:rFonts w:hint="eastAsia"/>
              </w:rPr>
            </w:pPr>
            <w:r>
              <w:rPr>
                <w:rFonts w:hint="eastAsia"/>
                <w:lang w:val="en-US" w:eastAsia="zh-CN"/>
              </w:rPr>
              <w:t>万 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5F1E6E1B">
            <w:pPr>
              <w:pStyle w:val="43"/>
              <w:bidi w:val="0"/>
              <w:rPr>
                <w:rFonts w:hint="eastAsia"/>
              </w:rPr>
            </w:pPr>
            <w:r>
              <w:rPr>
                <w:rFonts w:hint="eastAsia"/>
                <w:lang w:val="en-US" w:eastAsia="zh-CN"/>
              </w:rPr>
              <w:t>50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54C3C889">
            <w:pPr>
              <w:pStyle w:val="43"/>
              <w:bidi w:val="0"/>
              <w:rPr>
                <w:rFonts w:hint="eastAsia"/>
              </w:rPr>
            </w:pPr>
          </w:p>
        </w:tc>
      </w:tr>
      <w:tr w14:paraId="41998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245BF13A">
            <w:pPr>
              <w:pStyle w:val="43"/>
              <w:bidi w:val="0"/>
              <w:rPr>
                <w:rFonts w:hint="eastAsia"/>
              </w:rPr>
            </w:pPr>
            <w:r>
              <w:rPr>
                <w:rFonts w:hint="eastAsia"/>
                <w:lang w:val="en-US" w:eastAsia="zh-CN"/>
              </w:rPr>
              <w:t>3.2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2A156D4">
            <w:pPr>
              <w:pStyle w:val="43"/>
              <w:bidi w:val="0"/>
              <w:rPr>
                <w:rFonts w:hint="eastAsia"/>
              </w:rPr>
            </w:pPr>
            <w:r>
              <w:rPr>
                <w:rFonts w:hint="eastAsia"/>
                <w:lang w:val="en-US" w:eastAsia="zh-CN"/>
              </w:rPr>
              <w:t>开采方式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676A5406">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0520EEC5">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69AF095A">
            <w:pPr>
              <w:pStyle w:val="43"/>
              <w:bidi w:val="0"/>
              <w:rPr>
                <w:rFonts w:hint="eastAsia"/>
              </w:rPr>
            </w:pPr>
            <w:r>
              <w:rPr>
                <w:rFonts w:hint="eastAsia"/>
                <w:lang w:val="en-US" w:eastAsia="zh-CN"/>
              </w:rPr>
              <w:t>山坡露天开采</w:t>
            </w:r>
          </w:p>
        </w:tc>
      </w:tr>
      <w:tr w14:paraId="4A72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52B214EF">
            <w:pPr>
              <w:pStyle w:val="43"/>
              <w:bidi w:val="0"/>
              <w:rPr>
                <w:rFonts w:hint="eastAsia"/>
              </w:rPr>
            </w:pPr>
            <w:r>
              <w:rPr>
                <w:rFonts w:hint="eastAsia"/>
                <w:lang w:val="en-US" w:eastAsia="zh-CN"/>
              </w:rPr>
              <w:t>3.3</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8EFC9C7">
            <w:pPr>
              <w:pStyle w:val="43"/>
              <w:bidi w:val="0"/>
              <w:rPr>
                <w:rFonts w:hint="eastAsia"/>
              </w:rPr>
            </w:pPr>
            <w:r>
              <w:rPr>
                <w:rFonts w:hint="eastAsia"/>
                <w:lang w:val="en-US" w:eastAsia="zh-CN"/>
              </w:rPr>
              <w:t>采矿方法</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7ED0F413">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28A4FD06">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0B7B54E9">
            <w:pPr>
              <w:pStyle w:val="43"/>
              <w:bidi w:val="0"/>
              <w:rPr>
                <w:rFonts w:hint="eastAsia"/>
              </w:rPr>
            </w:pPr>
            <w:r>
              <w:rPr>
                <w:rFonts w:hint="eastAsia"/>
                <w:lang w:val="en-US" w:eastAsia="zh-CN"/>
              </w:rPr>
              <w:t>台阶采矿法</w:t>
            </w:r>
          </w:p>
        </w:tc>
      </w:tr>
      <w:tr w14:paraId="6795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099AD706">
            <w:pPr>
              <w:pStyle w:val="43"/>
              <w:bidi w:val="0"/>
              <w:rPr>
                <w:rFonts w:hint="eastAsia"/>
              </w:rPr>
            </w:pPr>
            <w:r>
              <w:rPr>
                <w:rFonts w:hint="eastAsia"/>
                <w:lang w:val="en-US" w:eastAsia="zh-CN"/>
              </w:rPr>
              <w:t>3.4</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1EFF9A32">
            <w:pPr>
              <w:pStyle w:val="43"/>
              <w:bidi w:val="0"/>
              <w:rPr>
                <w:rFonts w:hint="eastAsia"/>
              </w:rPr>
            </w:pPr>
            <w:r>
              <w:rPr>
                <w:rFonts w:hint="eastAsia"/>
                <w:lang w:val="en-US" w:eastAsia="zh-CN"/>
              </w:rPr>
              <w:t>矿石回采率</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687B9562">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770215B2">
            <w:pPr>
              <w:pStyle w:val="43"/>
              <w:bidi w:val="0"/>
              <w:rPr>
                <w:rFonts w:hint="eastAsia"/>
              </w:rPr>
            </w:pPr>
            <w:r>
              <w:rPr>
                <w:rFonts w:hint="eastAsia"/>
                <w:lang w:val="en-US" w:eastAsia="zh-CN"/>
              </w:rPr>
              <w:t>97</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7E0D5749">
            <w:pPr>
              <w:pStyle w:val="43"/>
              <w:bidi w:val="0"/>
              <w:rPr>
                <w:rFonts w:hint="eastAsia"/>
              </w:rPr>
            </w:pPr>
            <w:r>
              <w:rPr>
                <w:rFonts w:hint="eastAsia"/>
                <w:lang w:val="en-US" w:eastAsia="zh-CN"/>
              </w:rPr>
              <w:t>-</w:t>
            </w:r>
          </w:p>
        </w:tc>
      </w:tr>
      <w:tr w14:paraId="4677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63A54160">
            <w:pPr>
              <w:pStyle w:val="43"/>
              <w:bidi w:val="0"/>
              <w:rPr>
                <w:rFonts w:hint="eastAsia"/>
              </w:rPr>
            </w:pPr>
            <w:r>
              <w:rPr>
                <w:rFonts w:hint="eastAsia"/>
                <w:lang w:val="en-US" w:eastAsia="zh-CN"/>
              </w:rPr>
              <w:t>3.5</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7D287A1C">
            <w:pPr>
              <w:pStyle w:val="43"/>
              <w:bidi w:val="0"/>
              <w:rPr>
                <w:rFonts w:hint="eastAsia"/>
              </w:rPr>
            </w:pPr>
            <w:r>
              <w:rPr>
                <w:rFonts w:hint="eastAsia"/>
                <w:lang w:val="en-US" w:eastAsia="zh-CN"/>
              </w:rPr>
              <w:t>排水方式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0CE4B891">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37BEE21D">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402ED15B">
            <w:pPr>
              <w:pStyle w:val="43"/>
              <w:bidi w:val="0"/>
              <w:rPr>
                <w:rFonts w:hint="eastAsia"/>
              </w:rPr>
            </w:pPr>
            <w:r>
              <w:rPr>
                <w:rFonts w:hint="eastAsia"/>
                <w:lang w:val="en-US" w:eastAsia="zh-CN"/>
              </w:rPr>
              <w:t>自然排泄</w:t>
            </w:r>
          </w:p>
        </w:tc>
      </w:tr>
      <w:tr w14:paraId="6C21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4D723F57">
            <w:pPr>
              <w:pStyle w:val="43"/>
              <w:bidi w:val="0"/>
              <w:rPr>
                <w:rFonts w:hint="eastAsia"/>
              </w:rPr>
            </w:pPr>
            <w:r>
              <w:rPr>
                <w:rFonts w:hint="eastAsia"/>
                <w:lang w:val="en-US" w:eastAsia="zh-CN"/>
              </w:rPr>
              <w:t>3.6</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740D356F">
            <w:pPr>
              <w:pStyle w:val="43"/>
              <w:bidi w:val="0"/>
              <w:rPr>
                <w:rFonts w:hint="eastAsia"/>
              </w:rPr>
            </w:pPr>
            <w:r>
              <w:rPr>
                <w:rFonts w:hint="eastAsia"/>
                <w:lang w:val="en-US" w:eastAsia="zh-CN"/>
              </w:rPr>
              <w:t>服务年限</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23FA12C4">
            <w:pPr>
              <w:pStyle w:val="43"/>
              <w:bidi w:val="0"/>
              <w:rPr>
                <w:rFonts w:hint="eastAsia"/>
              </w:rPr>
            </w:pPr>
            <w:r>
              <w:rPr>
                <w:rFonts w:hint="eastAsia"/>
                <w:lang w:val="en-US" w:eastAsia="zh-CN"/>
              </w:rPr>
              <w:t>a</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7CDA82F9">
            <w:pPr>
              <w:pStyle w:val="43"/>
              <w:bidi w:val="0"/>
              <w:rPr>
                <w:rFonts w:hint="eastAsia"/>
              </w:rPr>
            </w:pPr>
            <w:r>
              <w:rPr>
                <w:rFonts w:hint="eastAsia"/>
                <w:lang w:val="en-US" w:eastAsia="zh-CN"/>
              </w:rPr>
              <w:t>35.1</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2CEFF57E">
            <w:pPr>
              <w:pStyle w:val="43"/>
              <w:bidi w:val="0"/>
              <w:rPr>
                <w:rFonts w:hint="eastAsia"/>
              </w:rPr>
            </w:pPr>
            <w:r>
              <w:rPr>
                <w:rFonts w:hint="eastAsia"/>
                <w:lang w:val="en-US" w:eastAsia="zh-CN"/>
              </w:rPr>
              <w:t>-</w:t>
            </w:r>
          </w:p>
        </w:tc>
      </w:tr>
      <w:tr w14:paraId="2748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3A9F6CCD">
            <w:pPr>
              <w:pStyle w:val="43"/>
              <w:bidi w:val="0"/>
              <w:rPr>
                <w:rFonts w:hint="eastAsia"/>
              </w:rPr>
            </w:pPr>
            <w:r>
              <w:rPr>
                <w:rFonts w:hint="eastAsia"/>
                <w:lang w:val="en-US" w:eastAsia="zh-CN"/>
              </w:rPr>
              <w:t>4</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30B591D5">
            <w:pPr>
              <w:pStyle w:val="43"/>
              <w:bidi w:val="0"/>
              <w:rPr>
                <w:rFonts w:hint="eastAsia"/>
              </w:rPr>
            </w:pPr>
            <w:r>
              <w:rPr>
                <w:rFonts w:hint="eastAsia"/>
                <w:lang w:val="en-US" w:eastAsia="zh-CN"/>
              </w:rPr>
              <w:t>运输</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3E261A93">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49BA4ACC">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4E44B2F8">
            <w:pPr>
              <w:pStyle w:val="43"/>
              <w:bidi w:val="0"/>
              <w:rPr>
                <w:rFonts w:hint="eastAsia"/>
              </w:rPr>
            </w:pPr>
            <w:r>
              <w:rPr>
                <w:rFonts w:hint="eastAsia"/>
                <w:lang w:val="en-US" w:eastAsia="zh-CN"/>
              </w:rPr>
              <w:t>-</w:t>
            </w:r>
          </w:p>
        </w:tc>
      </w:tr>
      <w:tr w14:paraId="04CB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0B868FF6">
            <w:pPr>
              <w:pStyle w:val="43"/>
              <w:bidi w:val="0"/>
              <w:rPr>
                <w:rFonts w:hint="eastAsia"/>
              </w:rPr>
            </w:pPr>
            <w:r>
              <w:rPr>
                <w:rFonts w:hint="eastAsia"/>
                <w:lang w:val="en-US" w:eastAsia="zh-CN"/>
              </w:rPr>
              <w:t>4.1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76E7B54">
            <w:pPr>
              <w:pStyle w:val="43"/>
              <w:bidi w:val="0"/>
              <w:rPr>
                <w:rFonts w:hint="eastAsia"/>
              </w:rPr>
            </w:pPr>
            <w:r>
              <w:rPr>
                <w:rFonts w:hint="eastAsia"/>
                <w:lang w:val="en-US" w:eastAsia="zh-CN"/>
              </w:rPr>
              <w:t>运输方式</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4557D5A9">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291F3046">
            <w:pPr>
              <w:pStyle w:val="43"/>
              <w:bidi w:val="0"/>
              <w:rPr>
                <w:rFonts w:hint="default"/>
              </w:rPr>
            </w:pP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671A618A">
            <w:pPr>
              <w:pStyle w:val="43"/>
              <w:bidi w:val="0"/>
              <w:rPr>
                <w:rFonts w:hint="eastAsia"/>
              </w:rPr>
            </w:pPr>
            <w:r>
              <w:rPr>
                <w:rFonts w:hint="eastAsia"/>
                <w:lang w:val="en-US" w:eastAsia="zh-CN"/>
              </w:rPr>
              <w:t>公里</w:t>
            </w:r>
          </w:p>
        </w:tc>
      </w:tr>
      <w:tr w14:paraId="5F4AF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688D7CA7">
            <w:pPr>
              <w:pStyle w:val="43"/>
              <w:bidi w:val="0"/>
              <w:rPr>
                <w:rFonts w:hint="eastAsia"/>
              </w:rPr>
            </w:pPr>
            <w:r>
              <w:rPr>
                <w:rFonts w:hint="eastAsia"/>
                <w:lang w:val="en-US" w:eastAsia="zh-CN"/>
              </w:rPr>
              <w:t>4.2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639A3DD2">
            <w:pPr>
              <w:pStyle w:val="43"/>
              <w:bidi w:val="0"/>
              <w:rPr>
                <w:rFonts w:hint="eastAsia"/>
              </w:rPr>
            </w:pPr>
            <w:r>
              <w:rPr>
                <w:rFonts w:hint="eastAsia"/>
                <w:lang w:val="en-US" w:eastAsia="zh-CN"/>
              </w:rPr>
              <w:t>运输设备</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6397F300">
            <w:pPr>
              <w:pStyle w:val="43"/>
              <w:bidi w:val="0"/>
              <w:rPr>
                <w:rFonts w:hint="default"/>
              </w:rPr>
            </w:pP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02B0A695">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7F71E96A">
            <w:pPr>
              <w:pStyle w:val="43"/>
              <w:bidi w:val="0"/>
              <w:rPr>
                <w:rFonts w:hint="eastAsia"/>
              </w:rPr>
            </w:pPr>
            <w:r>
              <w:rPr>
                <w:rFonts w:hint="eastAsia"/>
                <w:lang w:val="en-US" w:eastAsia="zh-CN"/>
              </w:rPr>
              <w:t>汽车及装载机</w:t>
            </w:r>
          </w:p>
        </w:tc>
      </w:tr>
      <w:tr w14:paraId="63180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7C320FAA">
            <w:pPr>
              <w:pStyle w:val="43"/>
              <w:bidi w:val="0"/>
              <w:rPr>
                <w:rFonts w:hint="eastAsia"/>
              </w:rPr>
            </w:pPr>
            <w:r>
              <w:rPr>
                <w:rFonts w:hint="eastAsia"/>
                <w:lang w:val="en-US" w:eastAsia="zh-CN"/>
              </w:rPr>
              <w:t>5</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1A5238CC">
            <w:pPr>
              <w:pStyle w:val="43"/>
              <w:bidi w:val="0"/>
              <w:rPr>
                <w:rFonts w:hint="eastAsia"/>
              </w:rPr>
            </w:pPr>
            <w:r>
              <w:rPr>
                <w:rFonts w:hint="eastAsia"/>
                <w:lang w:val="en-US" w:eastAsia="zh-CN"/>
              </w:rPr>
              <w:t>矿山工作制度</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459C47E2">
            <w:pPr>
              <w:pStyle w:val="43"/>
              <w:bidi w:val="0"/>
              <w:rPr>
                <w:rFonts w:hint="eastAsia"/>
              </w:rPr>
            </w:pPr>
            <w:r>
              <w:rPr>
                <w:rFonts w:hint="eastAsia"/>
                <w:lang w:val="en-US" w:eastAsia="zh-CN"/>
              </w:rPr>
              <w:t>-</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374DA888">
            <w:pPr>
              <w:pStyle w:val="43"/>
              <w:bidi w:val="0"/>
              <w:rPr>
                <w:rFonts w:hint="eastAsia"/>
              </w:rPr>
            </w:pPr>
            <w:r>
              <w:rPr>
                <w:rFonts w:hint="eastAsia"/>
                <w:lang w:val="en-US" w:eastAsia="zh-CN"/>
              </w:rPr>
              <w:t>-</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1EA96B88">
            <w:pPr>
              <w:pStyle w:val="43"/>
              <w:bidi w:val="0"/>
              <w:rPr>
                <w:rFonts w:hint="eastAsia"/>
              </w:rPr>
            </w:pPr>
            <w:r>
              <w:rPr>
                <w:rFonts w:hint="eastAsia"/>
                <w:lang w:val="en-US" w:eastAsia="zh-CN"/>
              </w:rPr>
              <w:t>-</w:t>
            </w:r>
          </w:p>
        </w:tc>
      </w:tr>
      <w:tr w14:paraId="7B71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2819E628">
            <w:pPr>
              <w:pStyle w:val="43"/>
              <w:bidi w:val="0"/>
              <w:rPr>
                <w:rFonts w:hint="eastAsia"/>
              </w:rPr>
            </w:pPr>
            <w:r>
              <w:rPr>
                <w:rFonts w:hint="eastAsia"/>
                <w:lang w:val="en-US" w:eastAsia="zh-CN"/>
              </w:rPr>
              <w:t>5.1</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D18E908">
            <w:pPr>
              <w:pStyle w:val="43"/>
              <w:bidi w:val="0"/>
              <w:rPr>
                <w:rFonts w:hint="eastAsia"/>
              </w:rPr>
            </w:pPr>
            <w:r>
              <w:rPr>
                <w:rFonts w:hint="eastAsia"/>
                <w:lang w:val="en-US" w:eastAsia="zh-CN"/>
              </w:rPr>
              <w:t>年工作天数</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467A345D">
            <w:pPr>
              <w:pStyle w:val="43"/>
              <w:bidi w:val="0"/>
              <w:rPr>
                <w:rFonts w:hint="eastAsia"/>
              </w:rPr>
            </w:pPr>
            <w:r>
              <w:rPr>
                <w:rFonts w:hint="eastAsia"/>
                <w:lang w:val="en-US" w:eastAsia="zh-CN"/>
              </w:rPr>
              <w:t>d</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4C557C27">
            <w:pPr>
              <w:pStyle w:val="43"/>
              <w:bidi w:val="0"/>
              <w:rPr>
                <w:rFonts w:hint="eastAsia"/>
              </w:rPr>
            </w:pPr>
            <w:r>
              <w:rPr>
                <w:rFonts w:hint="eastAsia"/>
                <w:lang w:val="en-US" w:eastAsia="zh-CN"/>
              </w:rPr>
              <w:t>300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52235889">
            <w:pPr>
              <w:pStyle w:val="43"/>
              <w:bidi w:val="0"/>
              <w:rPr>
                <w:rFonts w:hint="eastAsia"/>
              </w:rPr>
            </w:pPr>
            <w:r>
              <w:rPr>
                <w:rFonts w:hint="eastAsia"/>
                <w:lang w:val="en-US" w:eastAsia="zh-CN"/>
              </w:rPr>
              <w:t>-</w:t>
            </w:r>
          </w:p>
        </w:tc>
      </w:tr>
      <w:tr w14:paraId="49839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6F09D089">
            <w:pPr>
              <w:pStyle w:val="43"/>
              <w:bidi w:val="0"/>
              <w:rPr>
                <w:rFonts w:hint="eastAsia"/>
              </w:rPr>
            </w:pPr>
            <w:r>
              <w:rPr>
                <w:rFonts w:hint="eastAsia"/>
                <w:lang w:val="en-US" w:eastAsia="zh-CN"/>
              </w:rPr>
              <w:t>5.2</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602F5A0">
            <w:pPr>
              <w:pStyle w:val="43"/>
              <w:bidi w:val="0"/>
              <w:rPr>
                <w:rFonts w:hint="eastAsia"/>
              </w:rPr>
            </w:pPr>
            <w:r>
              <w:rPr>
                <w:rFonts w:hint="eastAsia"/>
                <w:lang w:val="en-US" w:eastAsia="zh-CN"/>
              </w:rPr>
              <w:t>每天工作班数</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5FD1DF8B">
            <w:pPr>
              <w:pStyle w:val="43"/>
              <w:bidi w:val="0"/>
              <w:rPr>
                <w:rFonts w:hint="eastAsia"/>
              </w:rPr>
            </w:pPr>
            <w:r>
              <w:rPr>
                <w:rFonts w:hint="eastAsia"/>
                <w:lang w:val="en-US" w:eastAsia="zh-CN"/>
              </w:rPr>
              <w:t>班</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55D16081">
            <w:pPr>
              <w:pStyle w:val="43"/>
              <w:bidi w:val="0"/>
              <w:rPr>
                <w:rFonts w:hint="eastAsia"/>
              </w:rPr>
            </w:pPr>
            <w:r>
              <w:rPr>
                <w:rFonts w:hint="eastAsia"/>
                <w:lang w:val="en-US" w:eastAsia="zh-CN"/>
              </w:rPr>
              <w:t>1</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0887CA35">
            <w:pPr>
              <w:pStyle w:val="43"/>
              <w:bidi w:val="0"/>
              <w:rPr>
                <w:rFonts w:hint="eastAsia"/>
              </w:rPr>
            </w:pPr>
            <w:r>
              <w:rPr>
                <w:rFonts w:hint="eastAsia"/>
                <w:lang w:val="en-US" w:eastAsia="zh-CN"/>
              </w:rPr>
              <w:t>-</w:t>
            </w:r>
          </w:p>
        </w:tc>
      </w:tr>
      <w:tr w14:paraId="1DC8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69B8161C">
            <w:pPr>
              <w:pStyle w:val="43"/>
              <w:bidi w:val="0"/>
              <w:rPr>
                <w:rFonts w:hint="eastAsia"/>
              </w:rPr>
            </w:pPr>
            <w:r>
              <w:rPr>
                <w:rFonts w:hint="eastAsia"/>
                <w:lang w:val="en-US" w:eastAsia="zh-CN"/>
              </w:rPr>
              <w:t>5.3</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5D55EF15">
            <w:pPr>
              <w:pStyle w:val="43"/>
              <w:bidi w:val="0"/>
              <w:rPr>
                <w:rFonts w:hint="eastAsia"/>
              </w:rPr>
            </w:pPr>
            <w:r>
              <w:rPr>
                <w:rFonts w:hint="eastAsia"/>
                <w:lang w:val="en-US" w:eastAsia="zh-CN"/>
              </w:rPr>
              <w:t>班工作小时数</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253356DA">
            <w:pPr>
              <w:pStyle w:val="43"/>
              <w:bidi w:val="0"/>
              <w:rPr>
                <w:rFonts w:hint="eastAsia"/>
              </w:rPr>
            </w:pPr>
            <w:r>
              <w:rPr>
                <w:rFonts w:hint="eastAsia"/>
                <w:lang w:val="en-US" w:eastAsia="zh-CN"/>
              </w:rPr>
              <w:t>h</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31CBEF14">
            <w:pPr>
              <w:pStyle w:val="43"/>
              <w:bidi w:val="0"/>
              <w:rPr>
                <w:rFonts w:hint="eastAsia"/>
              </w:rPr>
            </w:pPr>
            <w:r>
              <w:rPr>
                <w:rFonts w:hint="eastAsia"/>
                <w:lang w:val="en-US" w:eastAsia="zh-CN"/>
              </w:rPr>
              <w:t>8</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554A80B7">
            <w:pPr>
              <w:pStyle w:val="43"/>
              <w:bidi w:val="0"/>
              <w:rPr>
                <w:rFonts w:hint="default"/>
              </w:rPr>
            </w:pPr>
          </w:p>
        </w:tc>
      </w:tr>
      <w:tr w14:paraId="0D7A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52" w:type="pct"/>
            <w:tcBorders>
              <w:top w:val="nil"/>
              <w:left w:val="single" w:color="000000" w:sz="8" w:space="0"/>
              <w:bottom w:val="single" w:color="000000" w:sz="8" w:space="0"/>
              <w:right w:val="single" w:color="000000" w:sz="8" w:space="0"/>
            </w:tcBorders>
            <w:shd w:val="clear" w:color="auto" w:fill="auto"/>
            <w:vAlign w:val="center"/>
          </w:tcPr>
          <w:p w14:paraId="6E01F327">
            <w:pPr>
              <w:pStyle w:val="43"/>
              <w:bidi w:val="0"/>
              <w:rPr>
                <w:rFonts w:hint="eastAsia"/>
              </w:rPr>
            </w:pPr>
            <w:r>
              <w:rPr>
                <w:rFonts w:hint="eastAsia"/>
                <w:lang w:val="en-US" w:eastAsia="zh-CN"/>
              </w:rPr>
              <w:t>6</w:t>
            </w:r>
          </w:p>
        </w:tc>
        <w:tc>
          <w:tcPr>
            <w:tcW w:w="1017" w:type="pct"/>
            <w:tcBorders>
              <w:top w:val="nil"/>
              <w:left w:val="single" w:color="000000" w:sz="8" w:space="0"/>
              <w:bottom w:val="single" w:color="000000" w:sz="8" w:space="0"/>
              <w:right w:val="single" w:color="000000" w:sz="8" w:space="0"/>
            </w:tcBorders>
            <w:shd w:val="clear" w:color="auto" w:fill="auto"/>
            <w:vAlign w:val="center"/>
          </w:tcPr>
          <w:p w14:paraId="0193E913">
            <w:pPr>
              <w:pStyle w:val="43"/>
              <w:bidi w:val="0"/>
              <w:rPr>
                <w:rFonts w:hint="eastAsia"/>
              </w:rPr>
            </w:pPr>
            <w:r>
              <w:rPr>
                <w:rFonts w:hint="eastAsia"/>
                <w:lang w:val="en-US" w:eastAsia="zh-CN"/>
              </w:rPr>
              <w:t>项目总投资</w:t>
            </w:r>
          </w:p>
        </w:tc>
        <w:tc>
          <w:tcPr>
            <w:tcW w:w="683" w:type="pct"/>
            <w:tcBorders>
              <w:top w:val="nil"/>
              <w:left w:val="single" w:color="000000" w:sz="8" w:space="0"/>
              <w:bottom w:val="single" w:color="000000" w:sz="8" w:space="0"/>
              <w:right w:val="single" w:color="000000" w:sz="8" w:space="0"/>
            </w:tcBorders>
            <w:shd w:val="clear" w:color="auto" w:fill="auto"/>
            <w:vAlign w:val="center"/>
          </w:tcPr>
          <w:p w14:paraId="1ECF3856">
            <w:pPr>
              <w:pStyle w:val="43"/>
              <w:bidi w:val="0"/>
              <w:rPr>
                <w:rFonts w:hint="eastAsia"/>
              </w:rPr>
            </w:pPr>
            <w:r>
              <w:rPr>
                <w:rFonts w:hint="eastAsia"/>
                <w:lang w:val="en-US" w:eastAsia="zh-CN"/>
              </w:rPr>
              <w:t>万元</w:t>
            </w:r>
          </w:p>
        </w:tc>
        <w:tc>
          <w:tcPr>
            <w:tcW w:w="1299" w:type="pct"/>
            <w:tcBorders>
              <w:top w:val="nil"/>
              <w:left w:val="single" w:color="000000" w:sz="8" w:space="0"/>
              <w:bottom w:val="single" w:color="000000" w:sz="8" w:space="0"/>
              <w:right w:val="single" w:color="000000" w:sz="8" w:space="0"/>
            </w:tcBorders>
            <w:shd w:val="clear" w:color="auto" w:fill="auto"/>
            <w:vAlign w:val="center"/>
          </w:tcPr>
          <w:p w14:paraId="0E3A0D96">
            <w:pPr>
              <w:pStyle w:val="43"/>
              <w:bidi w:val="0"/>
              <w:rPr>
                <w:rFonts w:hint="eastAsia"/>
              </w:rPr>
            </w:pPr>
            <w:r>
              <w:rPr>
                <w:rFonts w:hint="eastAsia"/>
                <w:lang w:val="en-US" w:eastAsia="zh-CN"/>
              </w:rPr>
              <w:t>1000</w:t>
            </w:r>
          </w:p>
        </w:tc>
        <w:tc>
          <w:tcPr>
            <w:tcW w:w="1247" w:type="pct"/>
            <w:tcBorders>
              <w:top w:val="nil"/>
              <w:left w:val="single" w:color="000000" w:sz="8" w:space="0"/>
              <w:bottom w:val="single" w:color="000000" w:sz="8" w:space="0"/>
              <w:right w:val="single" w:color="000000" w:sz="8" w:space="0"/>
            </w:tcBorders>
            <w:shd w:val="clear" w:color="auto" w:fill="auto"/>
            <w:vAlign w:val="center"/>
          </w:tcPr>
          <w:p w14:paraId="257FA9C1">
            <w:pPr>
              <w:pStyle w:val="43"/>
              <w:bidi w:val="0"/>
              <w:rPr>
                <w:rFonts w:hint="eastAsia"/>
              </w:rPr>
            </w:pPr>
            <w:r>
              <w:rPr>
                <w:rFonts w:hint="eastAsia"/>
                <w:lang w:val="en-US" w:eastAsia="zh-CN"/>
              </w:rPr>
              <w:t>自筹</w:t>
            </w:r>
          </w:p>
        </w:tc>
      </w:tr>
    </w:tbl>
    <w:p w14:paraId="6B433A45">
      <w:pPr>
        <w:pStyle w:val="3"/>
        <w:bidi w:val="0"/>
        <w:rPr>
          <w:rFonts w:hint="default"/>
          <w:lang w:val="en-US" w:eastAsia="zh-CN"/>
        </w:rPr>
      </w:pPr>
      <w:bookmarkStart w:id="164" w:name="_Toc24614"/>
      <w:bookmarkStart w:id="165" w:name="_Toc29298"/>
      <w:r>
        <w:rPr>
          <w:rFonts w:hint="default"/>
          <w:lang w:val="en-US" w:eastAsia="zh-CN"/>
        </w:rPr>
        <w:t>矿区范围及资源概况</w:t>
      </w:r>
      <w:bookmarkEnd w:id="164"/>
      <w:bookmarkEnd w:id="165"/>
    </w:p>
    <w:p w14:paraId="4E7614F1">
      <w:pPr>
        <w:pStyle w:val="4"/>
        <w:bidi w:val="0"/>
        <w:rPr>
          <w:rFonts w:hint="default"/>
          <w:lang w:val="en-US" w:eastAsia="zh-CN"/>
        </w:rPr>
      </w:pPr>
      <w:bookmarkStart w:id="166" w:name="_Toc14066"/>
      <w:bookmarkStart w:id="167" w:name="_Toc14967"/>
      <w:r>
        <w:rPr>
          <w:rFonts w:hint="default"/>
          <w:lang w:val="en-US" w:eastAsia="zh-CN"/>
        </w:rPr>
        <w:t>矿区范围</w:t>
      </w:r>
      <w:bookmarkEnd w:id="166"/>
      <w:bookmarkEnd w:id="167"/>
    </w:p>
    <w:p w14:paraId="4C956FC4">
      <w:pPr>
        <w:pStyle w:val="41"/>
        <w:bidi w:val="0"/>
      </w:pPr>
      <w:bookmarkStart w:id="168" w:name="_Toc8343"/>
      <w:bookmarkStart w:id="169" w:name="_Toc11003"/>
      <w:r>
        <w:rPr>
          <w:rFonts w:hint="eastAsia"/>
        </w:rPr>
        <w:t>云南普阳煤化工有限责任公司砚山县红舍克东山石灰石矿北侧距离在建丘砚高速较近，不满足《公路安全保护条例》，为避让矿区北侧在建的丘砚高速，矿业权人拟申请缩减开采区域，开采区域由0.3201km</w:t>
      </w:r>
      <w:r>
        <w:rPr>
          <w:rFonts w:hint="eastAsia"/>
          <w:vertAlign w:val="superscript"/>
        </w:rPr>
        <w:t>2</w:t>
      </w:r>
      <w:r>
        <w:rPr>
          <w:rFonts w:hint="eastAsia"/>
        </w:rPr>
        <w:t>缩减为0.2895km</w:t>
      </w:r>
      <w:r>
        <w:rPr>
          <w:rFonts w:hint="eastAsia"/>
          <w:vertAlign w:val="superscript"/>
        </w:rPr>
        <w:t>2</w:t>
      </w:r>
      <w:r>
        <w:rPr>
          <w:rFonts w:hint="eastAsia"/>
        </w:rPr>
        <w:t>，缩减后开采区域距离丘砚高速水平距离为100m。拟申请开采区域</w:t>
      </w:r>
      <w:r>
        <w:t>拐点坐标见表</w:t>
      </w:r>
      <w:r>
        <w:rPr>
          <w:rFonts w:hint="eastAsia"/>
          <w:lang w:val="en-US" w:eastAsia="zh-CN"/>
        </w:rPr>
        <w:t>3.10-1</w:t>
      </w:r>
      <w:r>
        <w:t>。</w:t>
      </w:r>
    </w:p>
    <w:p w14:paraId="1BED8D05">
      <w:pPr>
        <w:pStyle w:val="45"/>
        <w:bidi w:val="0"/>
      </w:pPr>
      <w:r>
        <w:t>表</w:t>
      </w:r>
      <w:r>
        <w:rPr>
          <w:rFonts w:hint="eastAsia"/>
          <w:lang w:val="en-US" w:eastAsia="zh-CN"/>
        </w:rPr>
        <w:t>3.10-1</w:t>
      </w:r>
      <w:r>
        <w:rPr>
          <w:rFonts w:hint="eastAsia"/>
        </w:rPr>
        <w:t>拟申请开采区域</w:t>
      </w:r>
      <w:r>
        <w:t>拐点坐标表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5"/>
        <w:gridCol w:w="2575"/>
        <w:gridCol w:w="2802"/>
      </w:tblGrid>
      <w:tr w14:paraId="132A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vMerge w:val="restart"/>
            <w:noWrap/>
            <w:vAlign w:val="center"/>
          </w:tcPr>
          <w:p w14:paraId="0347B1FE">
            <w:pPr>
              <w:pStyle w:val="43"/>
              <w:bidi w:val="0"/>
              <w:rPr>
                <w:b/>
                <w:bCs/>
              </w:rPr>
            </w:pPr>
            <w:r>
              <w:rPr>
                <w:rFonts w:hint="eastAsia"/>
                <w:b/>
                <w:bCs/>
              </w:rPr>
              <w:t>点号</w:t>
            </w:r>
          </w:p>
        </w:tc>
        <w:tc>
          <w:tcPr>
            <w:tcW w:w="3155" w:type="pct"/>
            <w:gridSpan w:val="2"/>
            <w:noWrap/>
            <w:vAlign w:val="center"/>
          </w:tcPr>
          <w:p w14:paraId="70840116">
            <w:pPr>
              <w:pStyle w:val="43"/>
              <w:bidi w:val="0"/>
              <w:rPr>
                <w:rFonts w:hint="eastAsia"/>
                <w:b/>
                <w:bCs/>
              </w:rPr>
            </w:pPr>
            <w:r>
              <w:rPr>
                <w:b/>
                <w:bCs/>
              </w:rPr>
              <w:t>2000</w:t>
            </w:r>
            <w:r>
              <w:rPr>
                <w:rFonts w:hint="eastAsia"/>
                <w:b/>
                <w:bCs/>
              </w:rPr>
              <w:t>国家大地坐标系</w:t>
            </w:r>
          </w:p>
        </w:tc>
      </w:tr>
      <w:tr w14:paraId="7F74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vMerge w:val="continue"/>
            <w:vAlign w:val="center"/>
          </w:tcPr>
          <w:p w14:paraId="65A7177A">
            <w:pPr>
              <w:pStyle w:val="43"/>
              <w:bidi w:val="0"/>
              <w:rPr>
                <w:b/>
                <w:bCs/>
              </w:rPr>
            </w:pPr>
          </w:p>
        </w:tc>
        <w:tc>
          <w:tcPr>
            <w:tcW w:w="1511" w:type="pct"/>
            <w:noWrap/>
            <w:vAlign w:val="center"/>
          </w:tcPr>
          <w:p w14:paraId="563C8D45">
            <w:pPr>
              <w:pStyle w:val="43"/>
              <w:bidi w:val="0"/>
              <w:rPr>
                <w:b/>
                <w:bCs/>
              </w:rPr>
            </w:pPr>
            <w:r>
              <w:rPr>
                <w:b/>
                <w:bCs/>
              </w:rPr>
              <w:t>X</w:t>
            </w:r>
          </w:p>
        </w:tc>
        <w:tc>
          <w:tcPr>
            <w:tcW w:w="1644" w:type="pct"/>
            <w:noWrap/>
            <w:vAlign w:val="center"/>
          </w:tcPr>
          <w:p w14:paraId="6C0463C2">
            <w:pPr>
              <w:pStyle w:val="43"/>
              <w:bidi w:val="0"/>
              <w:rPr>
                <w:b/>
                <w:bCs/>
              </w:rPr>
            </w:pPr>
            <w:r>
              <w:rPr>
                <w:b/>
                <w:bCs/>
              </w:rPr>
              <w:t>Y</w:t>
            </w:r>
          </w:p>
        </w:tc>
      </w:tr>
      <w:tr w14:paraId="3C6D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10610FF">
            <w:pPr>
              <w:pStyle w:val="43"/>
              <w:bidi w:val="0"/>
            </w:pPr>
            <w:r>
              <w:rPr>
                <w:rFonts w:hint="eastAsia"/>
              </w:rPr>
              <w:t>1</w:t>
            </w:r>
          </w:p>
        </w:tc>
        <w:tc>
          <w:tcPr>
            <w:tcW w:w="1511" w:type="pct"/>
            <w:noWrap/>
            <w:vAlign w:val="center"/>
          </w:tcPr>
          <w:p w14:paraId="00C6DC95">
            <w:pPr>
              <w:pStyle w:val="43"/>
              <w:bidi w:val="0"/>
              <w:rPr>
                <w:rFonts w:hint="eastAsia"/>
              </w:rPr>
            </w:pPr>
            <w:r>
              <w:t>2619881.58</w:t>
            </w:r>
          </w:p>
        </w:tc>
        <w:tc>
          <w:tcPr>
            <w:tcW w:w="1644" w:type="pct"/>
            <w:noWrap/>
            <w:vAlign w:val="center"/>
          </w:tcPr>
          <w:p w14:paraId="680900B7">
            <w:pPr>
              <w:pStyle w:val="43"/>
              <w:bidi w:val="0"/>
            </w:pPr>
            <w:r>
              <w:t>35428605.54</w:t>
            </w:r>
          </w:p>
        </w:tc>
      </w:tr>
      <w:tr w14:paraId="2568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4A7CAEE7">
            <w:pPr>
              <w:pStyle w:val="43"/>
              <w:bidi w:val="0"/>
            </w:pPr>
            <w:r>
              <w:rPr>
                <w:rFonts w:hint="eastAsia"/>
              </w:rPr>
              <w:t>2</w:t>
            </w:r>
          </w:p>
        </w:tc>
        <w:tc>
          <w:tcPr>
            <w:tcW w:w="1511" w:type="pct"/>
            <w:noWrap/>
            <w:vAlign w:val="center"/>
          </w:tcPr>
          <w:p w14:paraId="2C4EB554">
            <w:pPr>
              <w:pStyle w:val="43"/>
              <w:bidi w:val="0"/>
              <w:rPr>
                <w:rFonts w:hint="eastAsia"/>
              </w:rPr>
            </w:pPr>
            <w:r>
              <w:t>2619973.71</w:t>
            </w:r>
          </w:p>
        </w:tc>
        <w:tc>
          <w:tcPr>
            <w:tcW w:w="1644" w:type="pct"/>
            <w:noWrap/>
            <w:vAlign w:val="center"/>
          </w:tcPr>
          <w:p w14:paraId="628F1016">
            <w:pPr>
              <w:pStyle w:val="43"/>
              <w:bidi w:val="0"/>
            </w:pPr>
            <w:r>
              <w:t>35428494.02</w:t>
            </w:r>
          </w:p>
        </w:tc>
      </w:tr>
      <w:tr w14:paraId="59A9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4777D4DE">
            <w:pPr>
              <w:pStyle w:val="43"/>
              <w:bidi w:val="0"/>
            </w:pPr>
            <w:r>
              <w:rPr>
                <w:rFonts w:hint="eastAsia"/>
              </w:rPr>
              <w:t>3</w:t>
            </w:r>
          </w:p>
        </w:tc>
        <w:tc>
          <w:tcPr>
            <w:tcW w:w="1511" w:type="pct"/>
            <w:noWrap/>
            <w:vAlign w:val="center"/>
          </w:tcPr>
          <w:p w14:paraId="5B2E3059">
            <w:pPr>
              <w:pStyle w:val="43"/>
              <w:bidi w:val="0"/>
              <w:rPr>
                <w:rFonts w:hint="eastAsia"/>
              </w:rPr>
            </w:pPr>
            <w:r>
              <w:t>2620087.9</w:t>
            </w:r>
          </w:p>
        </w:tc>
        <w:tc>
          <w:tcPr>
            <w:tcW w:w="1644" w:type="pct"/>
            <w:noWrap/>
            <w:vAlign w:val="center"/>
          </w:tcPr>
          <w:p w14:paraId="1601AF29">
            <w:pPr>
              <w:pStyle w:val="43"/>
              <w:bidi w:val="0"/>
            </w:pPr>
            <w:r>
              <w:t>35428499.99</w:t>
            </w:r>
          </w:p>
        </w:tc>
      </w:tr>
      <w:tr w14:paraId="0849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432858D">
            <w:pPr>
              <w:pStyle w:val="43"/>
              <w:bidi w:val="0"/>
            </w:pPr>
            <w:r>
              <w:rPr>
                <w:rFonts w:hint="eastAsia"/>
              </w:rPr>
              <w:t>4</w:t>
            </w:r>
          </w:p>
        </w:tc>
        <w:tc>
          <w:tcPr>
            <w:tcW w:w="1511" w:type="pct"/>
            <w:noWrap/>
            <w:vAlign w:val="center"/>
          </w:tcPr>
          <w:p w14:paraId="313A6504">
            <w:pPr>
              <w:pStyle w:val="43"/>
              <w:bidi w:val="0"/>
              <w:rPr>
                <w:rFonts w:hint="eastAsia"/>
              </w:rPr>
            </w:pPr>
            <w:r>
              <w:t>2620185.05</w:t>
            </w:r>
          </w:p>
        </w:tc>
        <w:tc>
          <w:tcPr>
            <w:tcW w:w="1644" w:type="pct"/>
            <w:noWrap/>
            <w:vAlign w:val="center"/>
          </w:tcPr>
          <w:p w14:paraId="2842086C">
            <w:pPr>
              <w:pStyle w:val="43"/>
              <w:bidi w:val="0"/>
            </w:pPr>
            <w:r>
              <w:t>35428543.38</w:t>
            </w:r>
          </w:p>
        </w:tc>
      </w:tr>
      <w:tr w14:paraId="369F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13318B70">
            <w:pPr>
              <w:pStyle w:val="43"/>
              <w:bidi w:val="0"/>
            </w:pPr>
            <w:r>
              <w:rPr>
                <w:rFonts w:hint="eastAsia"/>
              </w:rPr>
              <w:t>5</w:t>
            </w:r>
          </w:p>
        </w:tc>
        <w:tc>
          <w:tcPr>
            <w:tcW w:w="1511" w:type="pct"/>
            <w:noWrap/>
            <w:vAlign w:val="center"/>
          </w:tcPr>
          <w:p w14:paraId="6EBEFDA2">
            <w:pPr>
              <w:pStyle w:val="43"/>
              <w:bidi w:val="0"/>
              <w:rPr>
                <w:rFonts w:hint="eastAsia"/>
              </w:rPr>
            </w:pPr>
            <w:r>
              <w:t>2620406.57</w:t>
            </w:r>
          </w:p>
        </w:tc>
        <w:tc>
          <w:tcPr>
            <w:tcW w:w="1644" w:type="pct"/>
            <w:noWrap/>
            <w:vAlign w:val="center"/>
          </w:tcPr>
          <w:p w14:paraId="301527AA">
            <w:pPr>
              <w:pStyle w:val="43"/>
              <w:bidi w:val="0"/>
            </w:pPr>
            <w:r>
              <w:t>35428840.14</w:t>
            </w:r>
          </w:p>
        </w:tc>
      </w:tr>
      <w:tr w14:paraId="01A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1C9829FC">
            <w:pPr>
              <w:pStyle w:val="43"/>
              <w:bidi w:val="0"/>
            </w:pPr>
            <w:r>
              <w:rPr>
                <w:rFonts w:hint="eastAsia"/>
              </w:rPr>
              <w:t>6</w:t>
            </w:r>
          </w:p>
        </w:tc>
        <w:tc>
          <w:tcPr>
            <w:tcW w:w="1511" w:type="pct"/>
            <w:noWrap/>
            <w:vAlign w:val="center"/>
          </w:tcPr>
          <w:p w14:paraId="148F6F0F">
            <w:pPr>
              <w:pStyle w:val="43"/>
              <w:bidi w:val="0"/>
              <w:rPr>
                <w:rFonts w:hint="eastAsia"/>
              </w:rPr>
            </w:pPr>
            <w:r>
              <w:t>2620617.27</w:t>
            </w:r>
          </w:p>
        </w:tc>
        <w:tc>
          <w:tcPr>
            <w:tcW w:w="1644" w:type="pct"/>
            <w:noWrap/>
            <w:vAlign w:val="center"/>
          </w:tcPr>
          <w:p w14:paraId="5DA44300">
            <w:pPr>
              <w:pStyle w:val="43"/>
              <w:bidi w:val="0"/>
            </w:pPr>
            <w:r>
              <w:t>35428777.92</w:t>
            </w:r>
          </w:p>
        </w:tc>
      </w:tr>
      <w:tr w14:paraId="61BF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23884B39">
            <w:pPr>
              <w:pStyle w:val="43"/>
              <w:bidi w:val="0"/>
            </w:pPr>
            <w:r>
              <w:rPr>
                <w:rFonts w:hint="eastAsia"/>
              </w:rPr>
              <w:t>7</w:t>
            </w:r>
          </w:p>
        </w:tc>
        <w:tc>
          <w:tcPr>
            <w:tcW w:w="1511" w:type="pct"/>
            <w:noWrap/>
            <w:vAlign w:val="center"/>
          </w:tcPr>
          <w:p w14:paraId="3EBA8953">
            <w:pPr>
              <w:pStyle w:val="43"/>
              <w:bidi w:val="0"/>
              <w:rPr>
                <w:rFonts w:hint="eastAsia"/>
              </w:rPr>
            </w:pPr>
            <w:r>
              <w:t>2620752.08</w:t>
            </w:r>
          </w:p>
        </w:tc>
        <w:tc>
          <w:tcPr>
            <w:tcW w:w="1644" w:type="pct"/>
            <w:noWrap/>
            <w:vAlign w:val="center"/>
          </w:tcPr>
          <w:p w14:paraId="153307CD">
            <w:pPr>
              <w:pStyle w:val="43"/>
              <w:bidi w:val="0"/>
            </w:pPr>
            <w:r>
              <w:t>35428915.03</w:t>
            </w:r>
          </w:p>
        </w:tc>
      </w:tr>
      <w:tr w14:paraId="04EE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781722CC">
            <w:pPr>
              <w:pStyle w:val="43"/>
              <w:bidi w:val="0"/>
            </w:pPr>
            <w:r>
              <w:rPr>
                <w:rFonts w:hint="eastAsia"/>
              </w:rPr>
              <w:t>8</w:t>
            </w:r>
          </w:p>
        </w:tc>
        <w:tc>
          <w:tcPr>
            <w:tcW w:w="1511" w:type="pct"/>
            <w:noWrap/>
            <w:vAlign w:val="center"/>
          </w:tcPr>
          <w:p w14:paraId="2A9EE319">
            <w:pPr>
              <w:pStyle w:val="43"/>
              <w:bidi w:val="0"/>
              <w:rPr>
                <w:rFonts w:hint="eastAsia"/>
              </w:rPr>
            </w:pPr>
            <w:r>
              <w:t>2620563.42</w:t>
            </w:r>
          </w:p>
        </w:tc>
        <w:tc>
          <w:tcPr>
            <w:tcW w:w="1644" w:type="pct"/>
            <w:noWrap/>
            <w:vAlign w:val="center"/>
          </w:tcPr>
          <w:p w14:paraId="2C7AFAA5">
            <w:pPr>
              <w:pStyle w:val="43"/>
              <w:bidi w:val="0"/>
            </w:pPr>
            <w:r>
              <w:t>35429209.21</w:t>
            </w:r>
          </w:p>
        </w:tc>
      </w:tr>
      <w:tr w14:paraId="57F0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845" w:type="pct"/>
            <w:noWrap/>
            <w:vAlign w:val="center"/>
          </w:tcPr>
          <w:p w14:paraId="442BD039">
            <w:pPr>
              <w:pStyle w:val="43"/>
              <w:bidi w:val="0"/>
            </w:pPr>
            <w:r>
              <w:rPr>
                <w:rFonts w:hint="eastAsia"/>
              </w:rPr>
              <w:t>9</w:t>
            </w:r>
          </w:p>
        </w:tc>
        <w:tc>
          <w:tcPr>
            <w:tcW w:w="1511" w:type="pct"/>
            <w:noWrap/>
            <w:vAlign w:val="center"/>
          </w:tcPr>
          <w:p w14:paraId="5FDFF19F">
            <w:pPr>
              <w:pStyle w:val="43"/>
              <w:bidi w:val="0"/>
              <w:rPr>
                <w:rFonts w:hint="eastAsia"/>
              </w:rPr>
            </w:pPr>
            <w:r>
              <w:t>2620507.3</w:t>
            </w:r>
          </w:p>
        </w:tc>
        <w:tc>
          <w:tcPr>
            <w:tcW w:w="1644" w:type="pct"/>
            <w:noWrap/>
            <w:vAlign w:val="center"/>
          </w:tcPr>
          <w:p w14:paraId="2D455594">
            <w:pPr>
              <w:pStyle w:val="43"/>
              <w:bidi w:val="0"/>
            </w:pPr>
            <w:r>
              <w:t>35429192.59</w:t>
            </w:r>
          </w:p>
        </w:tc>
      </w:tr>
      <w:tr w14:paraId="5BF6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845" w:type="pct"/>
            <w:noWrap/>
            <w:vAlign w:val="center"/>
          </w:tcPr>
          <w:p w14:paraId="4B5E2A6D">
            <w:pPr>
              <w:pStyle w:val="43"/>
              <w:bidi w:val="0"/>
            </w:pPr>
            <w:r>
              <w:rPr>
                <w:rFonts w:hint="eastAsia"/>
              </w:rPr>
              <w:t>10</w:t>
            </w:r>
          </w:p>
        </w:tc>
        <w:tc>
          <w:tcPr>
            <w:tcW w:w="1511" w:type="pct"/>
            <w:noWrap/>
            <w:vAlign w:val="center"/>
          </w:tcPr>
          <w:p w14:paraId="768E799A">
            <w:pPr>
              <w:pStyle w:val="43"/>
              <w:bidi w:val="0"/>
              <w:rPr>
                <w:rFonts w:hint="eastAsia"/>
              </w:rPr>
            </w:pPr>
            <w:r>
              <w:t>2620433.7</w:t>
            </w:r>
          </w:p>
        </w:tc>
        <w:tc>
          <w:tcPr>
            <w:tcW w:w="1644" w:type="pct"/>
            <w:noWrap/>
            <w:vAlign w:val="center"/>
          </w:tcPr>
          <w:p w14:paraId="52DBF943">
            <w:pPr>
              <w:pStyle w:val="43"/>
              <w:bidi w:val="0"/>
            </w:pPr>
            <w:r>
              <w:t>35429009.86</w:t>
            </w:r>
          </w:p>
        </w:tc>
      </w:tr>
      <w:tr w14:paraId="198D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1665F8C3">
            <w:pPr>
              <w:pStyle w:val="43"/>
              <w:bidi w:val="0"/>
            </w:pPr>
            <w:r>
              <w:rPr>
                <w:rFonts w:hint="eastAsia"/>
              </w:rPr>
              <w:t>11</w:t>
            </w:r>
          </w:p>
        </w:tc>
        <w:tc>
          <w:tcPr>
            <w:tcW w:w="1511" w:type="pct"/>
            <w:noWrap/>
            <w:vAlign w:val="center"/>
          </w:tcPr>
          <w:p w14:paraId="6105183F">
            <w:pPr>
              <w:pStyle w:val="43"/>
              <w:bidi w:val="0"/>
              <w:rPr>
                <w:rFonts w:hint="eastAsia"/>
              </w:rPr>
            </w:pPr>
            <w:r>
              <w:t>2620260.17</w:t>
            </w:r>
          </w:p>
        </w:tc>
        <w:tc>
          <w:tcPr>
            <w:tcW w:w="1644" w:type="pct"/>
            <w:noWrap/>
            <w:vAlign w:val="center"/>
          </w:tcPr>
          <w:p w14:paraId="1B8006B3">
            <w:pPr>
              <w:pStyle w:val="43"/>
              <w:bidi w:val="0"/>
            </w:pPr>
            <w:r>
              <w:t>35429037.36</w:t>
            </w:r>
          </w:p>
        </w:tc>
      </w:tr>
      <w:tr w14:paraId="6679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6EB3EF1E">
            <w:pPr>
              <w:pStyle w:val="43"/>
              <w:bidi w:val="0"/>
            </w:pPr>
            <w:r>
              <w:rPr>
                <w:rFonts w:hint="eastAsia"/>
              </w:rPr>
              <w:t>12</w:t>
            </w:r>
          </w:p>
        </w:tc>
        <w:tc>
          <w:tcPr>
            <w:tcW w:w="1511" w:type="pct"/>
            <w:noWrap/>
            <w:vAlign w:val="center"/>
          </w:tcPr>
          <w:p w14:paraId="07E933FC">
            <w:pPr>
              <w:pStyle w:val="43"/>
              <w:bidi w:val="0"/>
              <w:rPr>
                <w:rFonts w:hint="eastAsia"/>
              </w:rPr>
            </w:pPr>
            <w:r>
              <w:t>2619985.58</w:t>
            </w:r>
          </w:p>
        </w:tc>
        <w:tc>
          <w:tcPr>
            <w:tcW w:w="1644" w:type="pct"/>
            <w:noWrap/>
            <w:vAlign w:val="center"/>
          </w:tcPr>
          <w:p w14:paraId="187BF52F">
            <w:pPr>
              <w:pStyle w:val="43"/>
              <w:bidi w:val="0"/>
            </w:pPr>
            <w:r>
              <w:t>35428929.94</w:t>
            </w:r>
          </w:p>
        </w:tc>
      </w:tr>
      <w:tr w14:paraId="65A3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69BE9E7C">
            <w:pPr>
              <w:pStyle w:val="43"/>
              <w:bidi w:val="0"/>
            </w:pPr>
            <w:r>
              <w:rPr>
                <w:rFonts w:hint="eastAsia"/>
              </w:rPr>
              <w:t>13</w:t>
            </w:r>
          </w:p>
        </w:tc>
        <w:tc>
          <w:tcPr>
            <w:tcW w:w="1511" w:type="pct"/>
            <w:noWrap/>
            <w:vAlign w:val="center"/>
          </w:tcPr>
          <w:p w14:paraId="50D2E9CA">
            <w:pPr>
              <w:pStyle w:val="43"/>
              <w:bidi w:val="0"/>
              <w:rPr>
                <w:rFonts w:hint="eastAsia"/>
              </w:rPr>
            </w:pPr>
            <w:r>
              <w:t>2619908.54</w:t>
            </w:r>
          </w:p>
        </w:tc>
        <w:tc>
          <w:tcPr>
            <w:tcW w:w="1644" w:type="pct"/>
            <w:noWrap/>
            <w:vAlign w:val="center"/>
          </w:tcPr>
          <w:p w14:paraId="465FD60E">
            <w:pPr>
              <w:pStyle w:val="43"/>
              <w:bidi w:val="0"/>
            </w:pPr>
            <w:r>
              <w:t>35428862.76</w:t>
            </w:r>
          </w:p>
        </w:tc>
      </w:tr>
      <w:tr w14:paraId="419E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53E1249B">
            <w:pPr>
              <w:pStyle w:val="43"/>
              <w:bidi w:val="0"/>
            </w:pPr>
            <w:r>
              <w:rPr>
                <w:rFonts w:hint="eastAsia"/>
              </w:rPr>
              <w:t>面积</w:t>
            </w:r>
          </w:p>
        </w:tc>
        <w:tc>
          <w:tcPr>
            <w:tcW w:w="3155" w:type="pct"/>
            <w:gridSpan w:val="2"/>
            <w:noWrap/>
            <w:vAlign w:val="center"/>
          </w:tcPr>
          <w:p w14:paraId="7F4628F8">
            <w:pPr>
              <w:pStyle w:val="43"/>
              <w:bidi w:val="0"/>
              <w:rPr>
                <w:rFonts w:hint="eastAsia"/>
              </w:rPr>
            </w:pPr>
            <w:r>
              <w:t>0.2895km</w:t>
            </w:r>
            <w:r>
              <w:rPr>
                <w:vertAlign w:val="superscript"/>
              </w:rPr>
              <w:t>2</w:t>
            </w:r>
          </w:p>
        </w:tc>
      </w:tr>
      <w:tr w14:paraId="21B2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7EEEAD94">
            <w:pPr>
              <w:pStyle w:val="43"/>
              <w:bidi w:val="0"/>
            </w:pPr>
            <w:r>
              <w:rPr>
                <w:rFonts w:hint="eastAsia"/>
              </w:rPr>
              <w:t>开采标高</w:t>
            </w:r>
          </w:p>
        </w:tc>
        <w:tc>
          <w:tcPr>
            <w:tcW w:w="3155" w:type="pct"/>
            <w:gridSpan w:val="2"/>
            <w:noWrap/>
            <w:vAlign w:val="center"/>
          </w:tcPr>
          <w:p w14:paraId="25860672">
            <w:pPr>
              <w:pStyle w:val="43"/>
              <w:bidi w:val="0"/>
              <w:rPr>
                <w:rFonts w:hint="eastAsia"/>
              </w:rPr>
            </w:pPr>
            <w:r>
              <w:t>1690m-1565m</w:t>
            </w:r>
          </w:p>
        </w:tc>
      </w:tr>
      <w:tr w14:paraId="1C27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45" w:type="pct"/>
            <w:noWrap/>
            <w:vAlign w:val="center"/>
          </w:tcPr>
          <w:p w14:paraId="4650385C">
            <w:pPr>
              <w:pStyle w:val="43"/>
              <w:bidi w:val="0"/>
            </w:pPr>
            <w:r>
              <w:rPr>
                <w:rFonts w:hint="eastAsia"/>
              </w:rPr>
              <w:t>露天剥离标高</w:t>
            </w:r>
          </w:p>
        </w:tc>
        <w:tc>
          <w:tcPr>
            <w:tcW w:w="3155" w:type="pct"/>
            <w:gridSpan w:val="2"/>
            <w:noWrap/>
            <w:vAlign w:val="center"/>
          </w:tcPr>
          <w:p w14:paraId="0E8EED07">
            <w:pPr>
              <w:pStyle w:val="43"/>
              <w:bidi w:val="0"/>
              <w:rPr>
                <w:rFonts w:hint="eastAsia"/>
              </w:rPr>
            </w:pPr>
            <w:r>
              <w:t>1654m-1565m</w:t>
            </w:r>
          </w:p>
        </w:tc>
      </w:tr>
    </w:tbl>
    <w:p w14:paraId="22709FAA">
      <w:pPr>
        <w:pStyle w:val="4"/>
        <w:bidi w:val="0"/>
        <w:rPr>
          <w:rFonts w:hint="default"/>
          <w:lang w:val="en-US" w:eastAsia="zh-CN"/>
        </w:rPr>
      </w:pPr>
      <w:r>
        <w:rPr>
          <w:rFonts w:hint="default"/>
          <w:lang w:val="en-US" w:eastAsia="zh-CN"/>
        </w:rPr>
        <w:t>矿体特征</w:t>
      </w:r>
      <w:bookmarkEnd w:id="168"/>
      <w:bookmarkEnd w:id="169"/>
    </w:p>
    <w:p w14:paraId="2E2BE245">
      <w:pPr>
        <w:pStyle w:val="41"/>
        <w:bidi w:val="0"/>
      </w:pPr>
      <w:r>
        <w:t>矿床属沉积型碳酸盐岩类灰岩矿床，为一套浅海相沉积灰岩。</w:t>
      </w:r>
    </w:p>
    <w:p w14:paraId="19D00E94">
      <w:pPr>
        <w:pStyle w:val="41"/>
        <w:bidi w:val="0"/>
      </w:pPr>
      <w:r>
        <w:t>建筑石料用灰岩矿矿体赋存于石炭系下统董有组（C1 dn）、大塘组（C1 d）地层中，岩性为灰色生物屑泥晶灰岩、灰岩。采矿权范围内共圈定矿体一个，编号为V</w:t>
      </w:r>
      <w:r>
        <w:rPr>
          <w:rFonts w:hint="eastAsia"/>
          <w:lang w:eastAsia="zh-CN"/>
        </w:rPr>
        <w:t>，</w:t>
      </w:r>
      <w:r>
        <w:t>矿体形态简单，呈单斜层状产出，产状一般为305°~310°∠30°~46°</w:t>
      </w:r>
      <w:r>
        <w:rPr>
          <w:rFonts w:hint="eastAsia"/>
          <w:lang w:eastAsia="zh-CN"/>
        </w:rPr>
        <w:t>，</w:t>
      </w:r>
      <w:r>
        <w:t>平均产状305°∠30°</w:t>
      </w:r>
      <w:r>
        <w:rPr>
          <w:rFonts w:hint="eastAsia"/>
          <w:lang w:eastAsia="zh-CN"/>
        </w:rPr>
        <w:t>，</w:t>
      </w:r>
      <w:r>
        <w:t>出露长＞80m，采矿权范围内出露宽237～428m，平均323m，矿体宽度属稳定；矿体厚度20～80m，平均厚度50m，矿体连续，厚度变化小</w:t>
      </w:r>
      <w:r>
        <w:rPr>
          <w:rFonts w:hint="eastAsia"/>
          <w:lang w:eastAsia="zh-CN"/>
        </w:rPr>
        <w:t>，</w:t>
      </w:r>
      <w:r>
        <w:t>矿体厚度属稳定，最低控制标高1545.42m（ZK5-2）。</w:t>
      </w:r>
    </w:p>
    <w:p w14:paraId="7815FC3D">
      <w:pPr>
        <w:spacing w:line="21" w:lineRule="exact"/>
      </w:pPr>
    </w:p>
    <w:p w14:paraId="598D6BEC">
      <w:pPr>
        <w:pStyle w:val="4"/>
        <w:bidi w:val="0"/>
        <w:rPr>
          <w:rFonts w:hint="default"/>
          <w:lang w:val="en-US" w:eastAsia="zh-CN"/>
        </w:rPr>
      </w:pPr>
      <w:bookmarkStart w:id="170" w:name="bookmark186"/>
      <w:bookmarkEnd w:id="170"/>
      <w:bookmarkStart w:id="171" w:name="_Toc12911"/>
      <w:bookmarkStart w:id="172" w:name="_Toc1519"/>
      <w:bookmarkStart w:id="173" w:name="_Toc186033870"/>
      <w:r>
        <w:rPr>
          <w:rFonts w:hint="default"/>
          <w:lang w:val="en-US" w:eastAsia="zh-CN"/>
        </w:rPr>
        <w:t>矿石质量特征</w:t>
      </w:r>
      <w:bookmarkEnd w:id="171"/>
      <w:bookmarkEnd w:id="172"/>
    </w:p>
    <w:bookmarkEnd w:id="173"/>
    <w:p w14:paraId="21043CDF">
      <w:pPr>
        <w:pStyle w:val="41"/>
        <w:bidi w:val="0"/>
        <w:rPr>
          <w:b/>
          <w:bCs/>
        </w:rPr>
      </w:pPr>
      <w:bookmarkStart w:id="174" w:name="_Toc186033871"/>
      <w:r>
        <w:rPr>
          <w:rFonts w:hint="eastAsia"/>
          <w:b/>
          <w:bCs/>
          <w:lang w:eastAsia="zh-CN"/>
        </w:rPr>
        <w:t>（</w:t>
      </w:r>
      <w:r>
        <w:rPr>
          <w:rFonts w:hint="eastAsia"/>
          <w:b/>
          <w:bCs/>
          <w:lang w:val="en-US" w:eastAsia="zh-CN"/>
        </w:rPr>
        <w:t>1）</w:t>
      </w:r>
      <w:r>
        <w:rPr>
          <w:b/>
          <w:bCs/>
        </w:rPr>
        <w:t>矿石类型和品级</w:t>
      </w:r>
    </w:p>
    <w:p w14:paraId="4594BF12">
      <w:pPr>
        <w:pStyle w:val="41"/>
        <w:bidi w:val="0"/>
      </w:pPr>
      <w:r>
        <w:t>矿石自然类型：沉积型碳酸盐岩类石灰岩。</w:t>
      </w:r>
    </w:p>
    <w:p w14:paraId="12374DC7">
      <w:pPr>
        <w:pStyle w:val="41"/>
        <w:bidi w:val="0"/>
      </w:pPr>
      <w:r>
        <w:t>矿石工业类型：电石用灰岩。</w:t>
      </w:r>
    </w:p>
    <w:bookmarkEnd w:id="174"/>
    <w:p w14:paraId="2B945F96">
      <w:pPr>
        <w:pStyle w:val="41"/>
        <w:bidi w:val="0"/>
        <w:rPr>
          <w:b/>
          <w:bCs/>
        </w:rPr>
      </w:pPr>
      <w:bookmarkStart w:id="175" w:name="_Toc186033872"/>
      <w:r>
        <w:rPr>
          <w:rFonts w:hint="eastAsia"/>
          <w:b/>
          <w:bCs/>
          <w:lang w:eastAsia="zh-CN"/>
        </w:rPr>
        <w:t>（</w:t>
      </w:r>
      <w:r>
        <w:rPr>
          <w:rFonts w:hint="eastAsia"/>
          <w:b/>
          <w:bCs/>
          <w:lang w:val="en-US" w:eastAsia="zh-CN"/>
        </w:rPr>
        <w:t>2）</w:t>
      </w:r>
      <w:r>
        <w:rPr>
          <w:b/>
          <w:bCs/>
        </w:rPr>
        <w:t>矿物组成与结构构造</w:t>
      </w:r>
    </w:p>
    <w:p w14:paraId="44BE3354">
      <w:pPr>
        <w:pStyle w:val="41"/>
        <w:bidi w:val="0"/>
        <w:rPr>
          <w:b/>
          <w:bCs/>
        </w:rPr>
      </w:pPr>
      <w:r>
        <w:rPr>
          <w:rFonts w:hint="eastAsia"/>
          <w:b/>
          <w:bCs/>
          <w:lang w:val="en-US" w:eastAsia="zh-CN"/>
        </w:rPr>
        <w:t>1）</w:t>
      </w:r>
      <w:r>
        <w:rPr>
          <w:b/>
          <w:bCs/>
        </w:rPr>
        <w:t>矿石矿物组成</w:t>
      </w:r>
    </w:p>
    <w:p w14:paraId="4B139A1D">
      <w:pPr>
        <w:pStyle w:val="41"/>
        <w:bidi w:val="0"/>
      </w:pPr>
      <w:r>
        <w:t>核实区内灰岩矿石呈灰色，泥晶-亮晶砂屑生物屑结构，块状构造.其矿物成分主要为泥晶方解石，含量85%，次为生物屑、内碎屑，生物屑含量10~ 40%左右。由粒径0.1～3mm的多为单晶棘屑，部分为晶粒结构的藻类等组成。内碎屑含量5%左右，椭圆状，多为泥晶方解石集合体。</w:t>
      </w:r>
    </w:p>
    <w:p w14:paraId="2ABB1050">
      <w:pPr>
        <w:pStyle w:val="41"/>
        <w:bidi w:val="0"/>
      </w:pPr>
      <w:r>
        <w:t>岩石主要由</w:t>
      </w:r>
      <w:r>
        <w:rPr>
          <w:rFonts w:hint="eastAsia"/>
          <w:lang w:eastAsia="zh-CN"/>
        </w:rPr>
        <w:t>碎屑</w:t>
      </w:r>
      <w:r>
        <w:t>颗粒及填隙物。粒屑成分主要为生物屑、内碎屑，粒度0.1</w:t>
      </w:r>
      <w:r>
        <w:rPr>
          <w:rFonts w:hint="eastAsia"/>
          <w:lang w:eastAsia="zh-CN"/>
        </w:rPr>
        <w:t>—</w:t>
      </w:r>
      <w:r>
        <w:t>3mm，含量约为15%；生物屑多为单晶棘屑，部分为晶粒结构的藻类；内碎屑呈椭圆状，多为泥晶方解石集合体。杂基支撑，基底式胶结。填隙物为泥晶方解石。</w:t>
      </w:r>
    </w:p>
    <w:p w14:paraId="08B88F68">
      <w:pPr>
        <w:pStyle w:val="41"/>
        <w:bidi w:val="0"/>
        <w:rPr>
          <w:b/>
          <w:bCs/>
        </w:rPr>
      </w:pPr>
      <w:r>
        <w:rPr>
          <w:rFonts w:hint="eastAsia"/>
          <w:b/>
          <w:bCs/>
          <w:lang w:val="en-US" w:eastAsia="zh-CN"/>
        </w:rPr>
        <w:t>2）</w:t>
      </w:r>
      <w:r>
        <w:rPr>
          <w:b/>
          <w:bCs/>
        </w:rPr>
        <w:t>矿石结构、构造</w:t>
      </w:r>
    </w:p>
    <w:p w14:paraId="2C9F87A3">
      <w:pPr>
        <w:pStyle w:val="41"/>
        <w:bidi w:val="0"/>
      </w:pPr>
      <w:r>
        <w:t>矿石结构：生物屑泥晶结构。</w:t>
      </w:r>
    </w:p>
    <w:p w14:paraId="52DD5A2A">
      <w:pPr>
        <w:pStyle w:val="41"/>
        <w:bidi w:val="0"/>
      </w:pPr>
      <w:r>
        <w:t>矿石构造：块状构造。</w:t>
      </w:r>
    </w:p>
    <w:p w14:paraId="204DC364">
      <w:pPr>
        <w:pStyle w:val="41"/>
        <w:bidi w:val="0"/>
        <w:rPr>
          <w:rFonts w:hint="default"/>
          <w:b/>
          <w:bCs/>
        </w:rPr>
      </w:pPr>
      <w:r>
        <w:rPr>
          <w:rFonts w:hint="default"/>
          <w:b/>
          <w:bCs/>
        </w:rPr>
        <w:t>（3）矿石物理性能</w:t>
      </w:r>
      <w:bookmarkEnd w:id="175"/>
    </w:p>
    <w:p w14:paraId="0A08FC01">
      <w:pPr>
        <w:pStyle w:val="41"/>
        <w:bidi w:val="0"/>
        <w:rPr>
          <w:b/>
          <w:bCs/>
        </w:rPr>
      </w:pPr>
      <w:bookmarkStart w:id="176" w:name="_Toc211267980"/>
      <w:bookmarkStart w:id="177" w:name="_Toc183021285"/>
      <w:bookmarkStart w:id="178" w:name="_Toc5314"/>
      <w:bookmarkStart w:id="179" w:name="_Toc21200"/>
      <w:bookmarkStart w:id="180" w:name="_Toc9204"/>
      <w:bookmarkStart w:id="181" w:name="_Toc186033874"/>
      <w:bookmarkStart w:id="182" w:name="_Toc17697"/>
      <w:bookmarkStart w:id="183" w:name="_Toc10798"/>
      <w:bookmarkStart w:id="184" w:name="_Toc131667411"/>
      <w:bookmarkStart w:id="185" w:name="_Toc11945"/>
      <w:r>
        <w:rPr>
          <w:rFonts w:hint="eastAsia"/>
          <w:b/>
          <w:bCs/>
        </w:rPr>
        <w:t>1）小体重及</w:t>
      </w:r>
      <w:r>
        <w:rPr>
          <w:b/>
          <w:bCs/>
        </w:rPr>
        <w:t>吸</w:t>
      </w:r>
      <w:r>
        <w:rPr>
          <w:rFonts w:hint="eastAsia"/>
          <w:b/>
          <w:bCs/>
        </w:rPr>
        <w:t>水率</w:t>
      </w:r>
    </w:p>
    <w:p w14:paraId="15B86EC3">
      <w:pPr>
        <w:pStyle w:val="41"/>
        <w:bidi w:val="0"/>
      </w:pPr>
      <w:r>
        <w:rPr>
          <w:rFonts w:hint="eastAsia"/>
        </w:rPr>
        <w:t>2005年详查报告采取的32件结合本次工作中采取小体重及含水率样品15件共47件，小</w:t>
      </w:r>
      <w:r>
        <w:t>体重值</w:t>
      </w:r>
      <w:r>
        <w:rPr>
          <w:rFonts w:hint="eastAsia"/>
        </w:rPr>
        <w:t>2.684</w:t>
      </w:r>
      <w:r>
        <w:rPr>
          <w:rFonts w:hint="eastAsia"/>
          <w:lang w:eastAsia="zh-CN"/>
        </w:rPr>
        <w:t>～</w:t>
      </w:r>
      <w:r>
        <w:t>2.7</w:t>
      </w:r>
      <w:r>
        <w:rPr>
          <w:rFonts w:hint="eastAsia"/>
        </w:rPr>
        <w:t>2g</w:t>
      </w:r>
      <w:r>
        <w:t>/</w:t>
      </w:r>
      <w:r>
        <w:rPr>
          <w:rFonts w:hint="eastAsia"/>
        </w:rPr>
        <w:t>c</w:t>
      </w:r>
      <w:r>
        <w:rPr>
          <w:rFonts w:hint="eastAsia"/>
          <w:lang w:eastAsia="zh-CN"/>
        </w:rPr>
        <w:t>m</w:t>
      </w:r>
      <w:r>
        <w:rPr>
          <w:rFonts w:hint="eastAsia"/>
          <w:vertAlign w:val="superscript"/>
          <w:lang w:eastAsia="zh-CN"/>
        </w:rPr>
        <w:t>3</w:t>
      </w:r>
      <w:r>
        <w:t>，平均</w:t>
      </w:r>
      <w:r>
        <w:rPr>
          <w:rFonts w:hint="eastAsia"/>
        </w:rPr>
        <w:t>为</w:t>
      </w:r>
      <w:r>
        <w:t>2.</w:t>
      </w:r>
      <w:r>
        <w:rPr>
          <w:rFonts w:hint="eastAsia"/>
        </w:rPr>
        <w:t>71g</w:t>
      </w:r>
      <w:r>
        <w:t>/</w:t>
      </w:r>
      <w:r>
        <w:rPr>
          <w:rFonts w:hint="eastAsia"/>
        </w:rPr>
        <w:t>c</w:t>
      </w:r>
      <w:r>
        <w:rPr>
          <w:rFonts w:hint="eastAsia"/>
          <w:lang w:eastAsia="zh-CN"/>
        </w:rPr>
        <w:t>m</w:t>
      </w:r>
      <w:r>
        <w:rPr>
          <w:rFonts w:hint="eastAsia"/>
          <w:vertAlign w:val="superscript"/>
          <w:lang w:eastAsia="zh-CN"/>
        </w:rPr>
        <w:t>3</w:t>
      </w:r>
      <w:r>
        <w:rPr>
          <w:rFonts w:hint="eastAsia"/>
        </w:rPr>
        <w:t>，矿石</w:t>
      </w:r>
      <w:r>
        <w:t>吸</w:t>
      </w:r>
      <w:r>
        <w:rPr>
          <w:rFonts w:hint="eastAsia"/>
        </w:rPr>
        <w:t>水率0.01</w:t>
      </w:r>
      <w:r>
        <w:rPr>
          <w:rFonts w:hint="eastAsia"/>
          <w:lang w:eastAsia="zh-CN"/>
        </w:rPr>
        <w:t>～</w:t>
      </w:r>
      <w:r>
        <w:rPr>
          <w:rFonts w:hint="eastAsia"/>
        </w:rPr>
        <w:t>0.09%，</w:t>
      </w:r>
      <w:r>
        <w:t>平均值为</w:t>
      </w:r>
      <w:r>
        <w:rPr>
          <w:rFonts w:hint="eastAsia"/>
        </w:rPr>
        <w:t>0.034</w:t>
      </w:r>
      <w:r>
        <w:t>%，</w:t>
      </w:r>
      <w:r>
        <w:rPr>
          <w:rFonts w:hint="eastAsia"/>
        </w:rPr>
        <w:t>结合以往及本次取样，最终取小体重平均值</w:t>
      </w:r>
      <w:r>
        <w:t>2.</w:t>
      </w:r>
      <w:r>
        <w:rPr>
          <w:rFonts w:hint="eastAsia"/>
        </w:rPr>
        <w:t>71g</w:t>
      </w:r>
      <w:r>
        <w:t>/</w:t>
      </w:r>
      <w:r>
        <w:rPr>
          <w:rFonts w:hint="eastAsia"/>
        </w:rPr>
        <w:t>c</w:t>
      </w:r>
      <w:r>
        <w:rPr>
          <w:rFonts w:hint="eastAsia"/>
          <w:lang w:eastAsia="zh-CN"/>
        </w:rPr>
        <w:t>m</w:t>
      </w:r>
      <w:r>
        <w:rPr>
          <w:rFonts w:hint="eastAsia"/>
          <w:vertAlign w:val="superscript"/>
          <w:lang w:eastAsia="zh-CN"/>
        </w:rPr>
        <w:t>3</w:t>
      </w:r>
      <w:r>
        <w:t>。</w:t>
      </w:r>
    </w:p>
    <w:p w14:paraId="3CB7AF33">
      <w:pPr>
        <w:pStyle w:val="41"/>
        <w:bidi w:val="0"/>
        <w:rPr>
          <w:b/>
          <w:bCs/>
        </w:rPr>
      </w:pPr>
      <w:r>
        <w:rPr>
          <w:rFonts w:hint="eastAsia"/>
          <w:b/>
          <w:bCs/>
        </w:rPr>
        <w:t>2）抗压、抗剪强度</w:t>
      </w:r>
    </w:p>
    <w:p w14:paraId="6DC91975">
      <w:pPr>
        <w:pStyle w:val="41"/>
        <w:bidi w:val="0"/>
      </w:pPr>
      <w:r>
        <w:rPr>
          <w:rFonts w:hint="eastAsia"/>
        </w:rPr>
        <w:t>以往工作根据区测资料，区内石灰岩力学强度高，新鲜岩石单轴饱和抗压强度44.5~46.0Mpa，内摩擦角φ40.42~43.46</w:t>
      </w:r>
      <w:r>
        <w:t>°</w:t>
      </w:r>
      <w:r>
        <w:rPr>
          <w:rFonts w:hint="eastAsia"/>
        </w:rPr>
        <w:t>，本次工作中采取岩石物理力学样品4组/12件，岩石抗剪强度（</w:t>
      </w:r>
      <w:r>
        <w:t>饱和</w:t>
      </w:r>
      <w:r>
        <w:rPr>
          <w:rFonts w:hint="eastAsia"/>
        </w:rPr>
        <w:t>）：内摩擦角44.1~44.5</w:t>
      </w:r>
      <w:r>
        <w:t>°，平均</w:t>
      </w:r>
      <w:r>
        <w:rPr>
          <w:rFonts w:hint="eastAsia"/>
        </w:rPr>
        <w:t>44.3</w:t>
      </w:r>
      <w:r>
        <w:t>°</w:t>
      </w:r>
      <w:r>
        <w:rPr>
          <w:rFonts w:hint="eastAsia"/>
        </w:rPr>
        <w:t>，粘聚力7.97~8.29M</w:t>
      </w:r>
      <w:r>
        <w:t>Pa</w:t>
      </w:r>
      <w:r>
        <w:rPr>
          <w:rFonts w:hint="eastAsia"/>
        </w:rPr>
        <w:t>，</w:t>
      </w:r>
      <w:r>
        <w:t>平均</w:t>
      </w:r>
      <w:r>
        <w:rPr>
          <w:rFonts w:hint="eastAsia"/>
        </w:rPr>
        <w:t>8.13M</w:t>
      </w:r>
      <w:r>
        <w:t>Pa</w:t>
      </w:r>
      <w:r>
        <w:rPr>
          <w:rFonts w:hint="eastAsia"/>
        </w:rPr>
        <w:t>。岩石抗压强度</w:t>
      </w:r>
      <w:r>
        <w:t>饱和状态</w:t>
      </w:r>
      <w:r>
        <w:rPr>
          <w:rFonts w:hint="eastAsia"/>
        </w:rPr>
        <w:t>：44.5~46.0M</w:t>
      </w:r>
      <w:r>
        <w:t>Pa，平均</w:t>
      </w:r>
      <w:r>
        <w:rPr>
          <w:rFonts w:hint="eastAsia"/>
        </w:rPr>
        <w:t>45.25M</w:t>
      </w:r>
      <w:r>
        <w:t>Pa，</w:t>
      </w:r>
      <w:r>
        <w:rPr>
          <w:rFonts w:hint="eastAsia"/>
        </w:rPr>
        <w:t>矿石</w:t>
      </w:r>
      <w:r>
        <w:t>抗压强度（饱和）满足</w:t>
      </w:r>
      <w:r>
        <w:rPr>
          <w:rFonts w:hint="eastAsia"/>
        </w:rPr>
        <w:t>石灰岩物理性能（沉积岩≥30M</w:t>
      </w:r>
      <w:r>
        <w:t>Pa</w:t>
      </w:r>
      <w:r>
        <w:rPr>
          <w:rFonts w:hint="eastAsia"/>
        </w:rPr>
        <w:t>）</w:t>
      </w:r>
      <w:r>
        <w:t>的要求</w:t>
      </w:r>
      <w:r>
        <w:rPr>
          <w:rFonts w:hint="eastAsia"/>
        </w:rPr>
        <w:t>。</w:t>
      </w:r>
    </w:p>
    <w:p w14:paraId="01D8CC7B">
      <w:pPr>
        <w:pStyle w:val="41"/>
        <w:bidi w:val="0"/>
        <w:rPr>
          <w:b/>
          <w:bCs/>
        </w:rPr>
      </w:pPr>
      <w:r>
        <w:rPr>
          <w:rFonts w:hint="eastAsia"/>
          <w:b/>
          <w:bCs/>
          <w:lang w:eastAsia="zh-CN"/>
        </w:rPr>
        <w:t>（</w:t>
      </w:r>
      <w:r>
        <w:rPr>
          <w:rFonts w:hint="eastAsia"/>
          <w:b/>
          <w:bCs/>
          <w:lang w:val="en-US" w:eastAsia="zh-CN"/>
        </w:rPr>
        <w:t>4）</w:t>
      </w:r>
      <w:r>
        <w:rPr>
          <w:b/>
          <w:bCs/>
        </w:rPr>
        <w:t>矿石化学成分</w:t>
      </w:r>
    </w:p>
    <w:p w14:paraId="7529407B">
      <w:pPr>
        <w:pStyle w:val="41"/>
        <w:bidi w:val="0"/>
      </w:pPr>
      <w:r>
        <w:rPr>
          <w:rFonts w:hint="eastAsia"/>
        </w:rPr>
        <w:t>根据2005年云南地质工程勘察设计研究院有限公司编制的《云南省砚山县红舍克东山石灰岩矿地质详查报告》，前期进行了95件基本分析，34件组合分析，2件光谱分析；结合本次共取184件基本分析，13件组合分析，CaO含量一般在48.37</w:t>
      </w:r>
      <w:r>
        <w:rPr>
          <w:rFonts w:hint="eastAsia"/>
          <w:lang w:eastAsia="zh-CN"/>
        </w:rPr>
        <w:t>～</w:t>
      </w:r>
      <w:r>
        <w:rPr>
          <w:rFonts w:hint="eastAsia"/>
        </w:rPr>
        <w:t>55.99%，全矿区CaO含量为54.73%。符合电石用石灰岩化学成分一般要求。</w:t>
      </w:r>
    </w:p>
    <w:p w14:paraId="4A9B988F">
      <w:pPr>
        <w:pStyle w:val="41"/>
        <w:bidi w:val="0"/>
      </w:pPr>
      <w:r>
        <w:rPr>
          <w:rFonts w:hint="eastAsia"/>
        </w:rPr>
        <w:t>结合以往及本次核组合分析结果，有害元素含量甚微，SiO</w:t>
      </w:r>
      <w:r>
        <w:rPr>
          <w:rFonts w:hint="eastAsia"/>
          <w:vertAlign w:val="subscript"/>
        </w:rPr>
        <w:t>2</w:t>
      </w:r>
      <w:r>
        <w:rPr>
          <w:rFonts w:hint="eastAsia"/>
        </w:rPr>
        <w:t>平均含量为0.50%，MgO%平均含量为0.44%，Al</w:t>
      </w:r>
      <w:r>
        <w:rPr>
          <w:rFonts w:hint="eastAsia"/>
          <w:vertAlign w:val="subscript"/>
        </w:rPr>
        <w:t>2</w:t>
      </w:r>
      <w:r>
        <w:rPr>
          <w:rFonts w:hint="eastAsia"/>
        </w:rPr>
        <w:t>O</w:t>
      </w:r>
      <w:r>
        <w:rPr>
          <w:rFonts w:hint="eastAsia"/>
          <w:vertAlign w:val="subscript"/>
        </w:rPr>
        <w:t>3</w:t>
      </w:r>
      <w:r>
        <w:rPr>
          <w:rFonts w:hint="eastAsia"/>
        </w:rPr>
        <w:t>平均含量为0.209%，Fe</w:t>
      </w:r>
      <w:r>
        <w:rPr>
          <w:rFonts w:hint="eastAsia"/>
          <w:vertAlign w:val="subscript"/>
        </w:rPr>
        <w:t>2</w:t>
      </w:r>
      <w:r>
        <w:rPr>
          <w:rFonts w:hint="eastAsia"/>
        </w:rPr>
        <w:t>O</w:t>
      </w:r>
      <w:r>
        <w:rPr>
          <w:rFonts w:hint="eastAsia"/>
          <w:vertAlign w:val="subscript"/>
        </w:rPr>
        <w:t>3</w:t>
      </w:r>
      <w:r>
        <w:rPr>
          <w:rFonts w:hint="eastAsia"/>
        </w:rPr>
        <w:t>平均含量为0.076%，P平均含量为0.0052%，S平均含量为0.016%，矿石质量稳定，有害元素不超标，达到电石用石灰岩工业品位要求。</w:t>
      </w:r>
    </w:p>
    <w:p w14:paraId="062336AB">
      <w:pPr>
        <w:pStyle w:val="41"/>
        <w:bidi w:val="0"/>
      </w:pPr>
      <w:r>
        <w:rPr>
          <w:rFonts w:hint="eastAsia"/>
        </w:rPr>
        <w:t>本次工作共采取多元素分析样2件，矿石</w:t>
      </w:r>
      <w:r>
        <w:t>化学成分为：</w:t>
      </w:r>
      <w:r>
        <w:rPr>
          <w:rFonts w:hint="eastAsia"/>
        </w:rPr>
        <w:t>CaO含量54.44</w:t>
      </w:r>
      <w:r>
        <w:rPr>
          <w:rFonts w:hint="eastAsia"/>
          <w:lang w:eastAsia="zh-CN"/>
        </w:rPr>
        <w:t>～</w:t>
      </w:r>
      <w:r>
        <w:rPr>
          <w:rFonts w:hint="eastAsia"/>
        </w:rPr>
        <w:t>54.66%，平均54.55%；SiO</w:t>
      </w:r>
      <w:r>
        <w:rPr>
          <w:rFonts w:hint="eastAsia"/>
          <w:vertAlign w:val="subscript"/>
        </w:rPr>
        <w:t>2</w:t>
      </w:r>
      <w:r>
        <w:rPr>
          <w:rFonts w:hint="eastAsia"/>
        </w:rPr>
        <w:t>含量＜0.25%，平均&lt;0.25%；MgO含量0.22</w:t>
      </w:r>
      <w:r>
        <w:rPr>
          <w:rFonts w:hint="eastAsia"/>
          <w:lang w:eastAsia="zh-CN"/>
        </w:rPr>
        <w:t>～</w:t>
      </w:r>
      <w:r>
        <w:rPr>
          <w:rFonts w:hint="eastAsia"/>
        </w:rPr>
        <w:t>0.25%，平均0.225%；Al</w:t>
      </w:r>
      <w:r>
        <w:rPr>
          <w:rFonts w:hint="eastAsia"/>
          <w:vertAlign w:val="subscript"/>
        </w:rPr>
        <w:t>2</w:t>
      </w:r>
      <w:r>
        <w:rPr>
          <w:rFonts w:hint="eastAsia"/>
        </w:rPr>
        <w:t>O</w:t>
      </w:r>
      <w:r>
        <w:rPr>
          <w:rFonts w:hint="eastAsia"/>
          <w:vertAlign w:val="subscript"/>
        </w:rPr>
        <w:t>3</w:t>
      </w:r>
      <w:r>
        <w:rPr>
          <w:rFonts w:hint="eastAsia"/>
        </w:rPr>
        <w:t>含量0.036</w:t>
      </w:r>
      <w:r>
        <w:rPr>
          <w:rFonts w:hint="eastAsia"/>
          <w:lang w:eastAsia="zh-CN"/>
        </w:rPr>
        <w:t>～</w:t>
      </w:r>
      <w:r>
        <w:rPr>
          <w:rFonts w:hint="eastAsia"/>
        </w:rPr>
        <w:t>0.017%，平均0.027%；TFe</w:t>
      </w:r>
      <w:r>
        <w:rPr>
          <w:rFonts w:hint="eastAsia"/>
          <w:vertAlign w:val="subscript"/>
        </w:rPr>
        <w:t>2</w:t>
      </w:r>
      <w:r>
        <w:rPr>
          <w:rFonts w:hint="eastAsia"/>
        </w:rPr>
        <w:t>O</w:t>
      </w:r>
      <w:r>
        <w:rPr>
          <w:rFonts w:hint="eastAsia"/>
          <w:vertAlign w:val="subscript"/>
        </w:rPr>
        <w:t>3</w:t>
      </w:r>
      <w:r>
        <w:rPr>
          <w:rFonts w:hint="eastAsia"/>
        </w:rPr>
        <w:t>含量0.040~0.022%，平均0.031%；Na</w:t>
      </w:r>
      <w:r>
        <w:rPr>
          <w:rFonts w:hint="eastAsia"/>
          <w:vertAlign w:val="subscript"/>
        </w:rPr>
        <w:t>2</w:t>
      </w:r>
      <w:r>
        <w:rPr>
          <w:rFonts w:hint="eastAsia"/>
        </w:rPr>
        <w:t>O含量0.014</w:t>
      </w:r>
      <w:r>
        <w:rPr>
          <w:rFonts w:hint="eastAsia"/>
          <w:lang w:eastAsia="zh-CN"/>
        </w:rPr>
        <w:t>～</w:t>
      </w:r>
      <w:r>
        <w:rPr>
          <w:rFonts w:hint="eastAsia"/>
        </w:rPr>
        <w:t>0.016%，平均0.015%；K</w:t>
      </w:r>
      <w:r>
        <w:rPr>
          <w:rFonts w:hint="eastAsia"/>
          <w:vertAlign w:val="subscript"/>
        </w:rPr>
        <w:t>2</w:t>
      </w:r>
      <w:r>
        <w:rPr>
          <w:rFonts w:hint="eastAsia"/>
        </w:rPr>
        <w:t>O含量0.036</w:t>
      </w:r>
      <w:r>
        <w:rPr>
          <w:rFonts w:hint="eastAsia"/>
          <w:lang w:eastAsia="zh-CN"/>
        </w:rPr>
        <w:t>～</w:t>
      </w:r>
      <w:r>
        <w:rPr>
          <w:rFonts w:hint="eastAsia"/>
        </w:rPr>
        <w:t>0.0084%，平均0.022%；P</w:t>
      </w:r>
      <w:r>
        <w:rPr>
          <w:rFonts w:hint="eastAsia"/>
          <w:vertAlign w:val="subscript"/>
        </w:rPr>
        <w:t>2</w:t>
      </w:r>
      <w:r>
        <w:rPr>
          <w:rFonts w:hint="eastAsia"/>
        </w:rPr>
        <w:t>O</w:t>
      </w:r>
      <w:r>
        <w:rPr>
          <w:rFonts w:hint="eastAsia"/>
          <w:vertAlign w:val="subscript"/>
        </w:rPr>
        <w:t>5</w:t>
      </w:r>
      <w:r>
        <w:rPr>
          <w:rFonts w:hint="eastAsia"/>
        </w:rPr>
        <w:t>含量0.</w:t>
      </w:r>
      <w:r>
        <w:t>00</w:t>
      </w:r>
      <w:r>
        <w:rPr>
          <w:rFonts w:hint="eastAsia"/>
        </w:rPr>
        <w:t>33</w:t>
      </w:r>
      <w:r>
        <w:rPr>
          <w:rFonts w:hint="eastAsia"/>
          <w:lang w:eastAsia="zh-CN"/>
        </w:rPr>
        <w:t>～</w:t>
      </w:r>
      <w:r>
        <w:rPr>
          <w:rFonts w:hint="eastAsia"/>
        </w:rPr>
        <w:t>0.</w:t>
      </w:r>
      <w:r>
        <w:t>0</w:t>
      </w:r>
      <w:r>
        <w:rPr>
          <w:rFonts w:hint="eastAsia"/>
        </w:rPr>
        <w:t>34%，平均</w:t>
      </w:r>
      <w:r>
        <w:t>0</w:t>
      </w:r>
      <w:r>
        <w:rPr>
          <w:rFonts w:hint="eastAsia"/>
        </w:rPr>
        <w:t>.</w:t>
      </w:r>
      <w:r>
        <w:t>00</w:t>
      </w:r>
      <w:r>
        <w:rPr>
          <w:rFonts w:hint="eastAsia"/>
        </w:rPr>
        <w:t>34%；TiO</w:t>
      </w:r>
      <w:r>
        <w:rPr>
          <w:rFonts w:hint="eastAsia"/>
          <w:vertAlign w:val="subscript"/>
        </w:rPr>
        <w:t>2</w:t>
      </w:r>
      <w:r>
        <w:rPr>
          <w:rFonts w:hint="eastAsia"/>
        </w:rPr>
        <w:t>含量0.</w:t>
      </w:r>
      <w:r>
        <w:t>00</w:t>
      </w:r>
      <w:r>
        <w:rPr>
          <w:rFonts w:hint="eastAsia"/>
        </w:rPr>
        <w:t>26</w:t>
      </w:r>
      <w:r>
        <w:rPr>
          <w:rFonts w:hint="eastAsia"/>
          <w:lang w:eastAsia="zh-CN"/>
        </w:rPr>
        <w:t>～</w:t>
      </w:r>
      <w:r>
        <w:rPr>
          <w:rFonts w:hint="eastAsia"/>
        </w:rPr>
        <w:t>0.</w:t>
      </w:r>
      <w:r>
        <w:t>00</w:t>
      </w:r>
      <w:r>
        <w:rPr>
          <w:rFonts w:hint="eastAsia"/>
        </w:rPr>
        <w:t>36%，平均</w:t>
      </w:r>
      <w:r>
        <w:t>0</w:t>
      </w:r>
      <w:r>
        <w:rPr>
          <w:rFonts w:hint="eastAsia"/>
        </w:rPr>
        <w:t>.</w:t>
      </w:r>
      <w:r>
        <w:t>00</w:t>
      </w:r>
      <w:r>
        <w:rPr>
          <w:rFonts w:hint="eastAsia"/>
        </w:rPr>
        <w:t>31%；Cl含量＜0.</w:t>
      </w:r>
      <w:r>
        <w:t>0</w:t>
      </w:r>
      <w:r>
        <w:rPr>
          <w:rFonts w:hint="eastAsia"/>
        </w:rPr>
        <w:t>2%，平均＜</w:t>
      </w:r>
      <w:r>
        <w:t>0</w:t>
      </w:r>
      <w:r>
        <w:rPr>
          <w:rFonts w:hint="eastAsia"/>
        </w:rPr>
        <w:t>.</w:t>
      </w:r>
      <w:r>
        <w:t>0</w:t>
      </w:r>
      <w:r>
        <w:rPr>
          <w:rFonts w:hint="eastAsia"/>
        </w:rPr>
        <w:t>2%；SO</w:t>
      </w:r>
      <w:r>
        <w:rPr>
          <w:rFonts w:hint="eastAsia"/>
          <w:vertAlign w:val="subscript"/>
        </w:rPr>
        <w:t>3</w:t>
      </w:r>
      <w:r>
        <w:rPr>
          <w:rFonts w:hint="eastAsia"/>
        </w:rPr>
        <w:t>含量0.042</w:t>
      </w:r>
      <w:r>
        <w:rPr>
          <w:rFonts w:hint="eastAsia"/>
          <w:lang w:eastAsia="zh-CN"/>
        </w:rPr>
        <w:t>～</w:t>
      </w:r>
      <w:r>
        <w:rPr>
          <w:rFonts w:hint="eastAsia"/>
        </w:rPr>
        <w:t>0.044%，平均</w:t>
      </w:r>
      <w:r>
        <w:t>0</w:t>
      </w:r>
      <w:r>
        <w:rPr>
          <w:rFonts w:hint="eastAsia"/>
        </w:rPr>
        <w:t>.043%；烧矢量4</w:t>
      </w:r>
      <w:r>
        <w:t>3</w:t>
      </w:r>
      <w:r>
        <w:rPr>
          <w:rFonts w:hint="eastAsia"/>
        </w:rPr>
        <w:t>.21</w:t>
      </w:r>
      <w:r>
        <w:rPr>
          <w:rFonts w:hint="eastAsia"/>
          <w:lang w:eastAsia="zh-CN"/>
        </w:rPr>
        <w:t>～</w:t>
      </w:r>
      <w:r>
        <w:rPr>
          <w:rFonts w:hint="eastAsia"/>
        </w:rPr>
        <w:t>4</w:t>
      </w:r>
      <w:r>
        <w:t>3</w:t>
      </w:r>
      <w:r>
        <w:rPr>
          <w:rFonts w:hint="eastAsia"/>
        </w:rPr>
        <w:t>.22%，平均43.22%。</w:t>
      </w:r>
    </w:p>
    <w:bookmarkEnd w:id="176"/>
    <w:bookmarkEnd w:id="177"/>
    <w:p w14:paraId="0FEC126B">
      <w:pPr>
        <w:pStyle w:val="41"/>
        <w:bidi w:val="0"/>
        <w:rPr>
          <w:rFonts w:hint="default" w:eastAsia="宋体"/>
          <w:b/>
          <w:bCs/>
          <w:lang w:val="en-US" w:eastAsia="zh-CN"/>
        </w:rPr>
      </w:pPr>
      <w:r>
        <w:rPr>
          <w:rFonts w:hint="default"/>
          <w:b/>
          <w:bCs/>
        </w:rPr>
        <w:t>（5）</w:t>
      </w:r>
      <w:bookmarkEnd w:id="178"/>
      <w:bookmarkEnd w:id="179"/>
      <w:bookmarkEnd w:id="180"/>
      <w:bookmarkEnd w:id="181"/>
      <w:bookmarkEnd w:id="182"/>
      <w:bookmarkEnd w:id="183"/>
      <w:bookmarkEnd w:id="184"/>
      <w:bookmarkEnd w:id="185"/>
      <w:r>
        <w:rPr>
          <w:rFonts w:hint="eastAsia"/>
          <w:b/>
          <w:bCs/>
          <w:lang w:val="en-US" w:eastAsia="zh-CN"/>
        </w:rPr>
        <w:t>风（氧）化带</w:t>
      </w:r>
    </w:p>
    <w:p w14:paraId="40054939">
      <w:pPr>
        <w:pStyle w:val="41"/>
        <w:bidi w:val="0"/>
      </w:pPr>
      <w:r>
        <w:rPr>
          <w:rFonts w:hint="eastAsia"/>
        </w:rPr>
        <w:t>经实地调查，采矿权范围内矿体大部呈半裸露地表，第四系覆盖层呈褐色、褐红色风化土层，由粘土、含砾粘土组成，经施工钻孔工程揭露</w:t>
      </w:r>
      <w:r>
        <w:t>明显的溶蚀裂隙</w:t>
      </w:r>
      <w:r>
        <w:rPr>
          <w:rFonts w:hint="eastAsia"/>
        </w:rPr>
        <w:t>，第四系覆盖层与岩石接触面多见褐</w:t>
      </w:r>
      <w:r>
        <w:t>色、</w:t>
      </w:r>
      <w:r>
        <w:rPr>
          <w:rFonts w:hint="eastAsia"/>
        </w:rPr>
        <w:t>褐</w:t>
      </w:r>
      <w:r>
        <w:t>黄色粘土充填。</w:t>
      </w:r>
    </w:p>
    <w:p w14:paraId="6649850B">
      <w:pPr>
        <w:pStyle w:val="41"/>
        <w:bidi w:val="0"/>
        <w:rPr>
          <w:rFonts w:hint="default"/>
          <w:b/>
          <w:bCs/>
        </w:rPr>
      </w:pPr>
      <w:bookmarkStart w:id="186" w:name="_Toc131667412"/>
      <w:bookmarkStart w:id="187" w:name="_Toc186033875"/>
      <w:bookmarkStart w:id="188" w:name="_Toc31141"/>
      <w:bookmarkStart w:id="189" w:name="_Toc20108"/>
      <w:bookmarkStart w:id="190" w:name="_Toc11692"/>
      <w:bookmarkStart w:id="191" w:name="_Toc112"/>
      <w:bookmarkStart w:id="192" w:name="_Toc25716"/>
      <w:bookmarkStart w:id="193" w:name="_Toc4353"/>
      <w:r>
        <w:rPr>
          <w:rFonts w:hint="default"/>
          <w:b/>
          <w:bCs/>
        </w:rPr>
        <w:t>（6）</w:t>
      </w:r>
      <w:bookmarkEnd w:id="186"/>
      <w:bookmarkEnd w:id="187"/>
      <w:bookmarkEnd w:id="188"/>
      <w:bookmarkEnd w:id="189"/>
      <w:bookmarkEnd w:id="190"/>
      <w:bookmarkEnd w:id="191"/>
      <w:bookmarkEnd w:id="192"/>
      <w:bookmarkEnd w:id="193"/>
      <w:r>
        <w:rPr>
          <w:rFonts w:hint="eastAsia"/>
          <w:b/>
          <w:bCs/>
        </w:rPr>
        <w:t>矿体围岩和夹石</w:t>
      </w:r>
    </w:p>
    <w:p w14:paraId="1EE23DE7">
      <w:pPr>
        <w:pStyle w:val="41"/>
        <w:bidi w:val="0"/>
      </w:pPr>
      <w:bookmarkStart w:id="194" w:name="_Toc1514"/>
      <w:bookmarkStart w:id="195" w:name="_Toc186033876"/>
      <w:bookmarkStart w:id="196" w:name="_Toc7386"/>
      <w:r>
        <w:rPr>
          <w:rFonts w:hint="eastAsia"/>
        </w:rPr>
        <w:t>矿体出露地表，赋存于石炭系下统大塘组（C</w:t>
      </w:r>
      <w:r>
        <w:rPr>
          <w:rFonts w:hint="eastAsia"/>
          <w:vertAlign w:val="subscript"/>
        </w:rPr>
        <w:t>1</w:t>
      </w:r>
      <w:r>
        <w:rPr>
          <w:rFonts w:hint="eastAsia"/>
        </w:rPr>
        <w:t>d）、董有组（C</w:t>
      </w:r>
      <w:r>
        <w:rPr>
          <w:rFonts w:hint="eastAsia"/>
          <w:vertAlign w:val="subscript"/>
        </w:rPr>
        <w:t>1</w:t>
      </w:r>
      <w:r>
        <w:rPr>
          <w:rFonts w:hint="eastAsia"/>
        </w:rPr>
        <w:t>dn）地层中，仅局部被第四系残坡积层（Q</w:t>
      </w:r>
      <w:r>
        <w:rPr>
          <w:rFonts w:hint="eastAsia"/>
          <w:vertAlign w:val="superscript"/>
        </w:rPr>
        <w:t>el+dl</w:t>
      </w:r>
      <w:r>
        <w:rPr>
          <w:rFonts w:hint="eastAsia"/>
        </w:rPr>
        <w:t>）覆盖。</w:t>
      </w:r>
    </w:p>
    <w:p w14:paraId="4CF3641C">
      <w:pPr>
        <w:pStyle w:val="4"/>
        <w:bidi w:val="0"/>
        <w:rPr>
          <w:rFonts w:hint="default"/>
        </w:rPr>
      </w:pPr>
      <w:r>
        <w:rPr>
          <w:rFonts w:hint="default"/>
        </w:rPr>
        <w:t>矿石加工技术性能</w:t>
      </w:r>
      <w:bookmarkEnd w:id="194"/>
      <w:bookmarkEnd w:id="195"/>
      <w:bookmarkEnd w:id="196"/>
    </w:p>
    <w:p w14:paraId="2E866A6C">
      <w:pPr>
        <w:pStyle w:val="41"/>
        <w:bidi w:val="0"/>
      </w:pPr>
      <w:bookmarkStart w:id="197" w:name="_Toc12129"/>
      <w:bookmarkStart w:id="198" w:name="_Toc14843"/>
      <w:r>
        <w:rPr>
          <w:rFonts w:hint="eastAsia"/>
        </w:rPr>
        <w:t>矿山自投产以来，已形成成熟稳定的开采-加工-销售产业链，生产利用情况良好，具体如下：</w:t>
      </w:r>
    </w:p>
    <w:p w14:paraId="75AD8A05">
      <w:pPr>
        <w:pStyle w:val="41"/>
        <w:bidi w:val="0"/>
      </w:pPr>
      <w:r>
        <w:rPr>
          <w:rFonts w:hint="eastAsia"/>
        </w:rPr>
        <w:t>开采作业现状：矿山采用露天台阶式开采方式，严格遵循本次核实报告确定的“剥采比0.5:1、最终边坡角＜50</w:t>
      </w:r>
      <w:r>
        <w:t>°</w:t>
      </w:r>
      <w:r>
        <w:rPr>
          <w:rFonts w:hint="eastAsia"/>
        </w:rPr>
        <w:t>、底盘最小宽度40m”等技术参数。开采过程中实施分层开采，结合矿体裸露特征，采用微差爆破技术，确保爆破后矿石块度均匀，减少大块矿石对后续加工环节的压力。同时，开采现场设置专职质检人员，对采出矿石实时拣选，保障原矿品位达标。</w:t>
      </w:r>
    </w:p>
    <w:p w14:paraId="1D94EB63">
      <w:pPr>
        <w:pStyle w:val="41"/>
        <w:bidi w:val="0"/>
      </w:pPr>
      <w:r>
        <w:rPr>
          <w:rFonts w:hint="eastAsia"/>
          <w:lang w:val="en-US" w:eastAsia="zh-CN"/>
        </w:rPr>
        <w:t>根据</w:t>
      </w:r>
      <w:r>
        <w:rPr>
          <w:rFonts w:hint="eastAsia"/>
        </w:rPr>
        <w:t>本次储量核实报告未单独开展电石用灰岩煅烧试验，主要基于矿山成熟的生产实践验证，具备充分的合理合规性，具体说明如下：</w:t>
      </w:r>
    </w:p>
    <w:p w14:paraId="7516FB52">
      <w:pPr>
        <w:pStyle w:val="41"/>
        <w:bidi w:val="0"/>
      </w:pPr>
      <w:r>
        <w:rPr>
          <w:rFonts w:hint="eastAsia"/>
        </w:rPr>
        <w:t>据《矿产地质勘查规范 石灰岩、水泥配料类》（DZ/T0213-2020），本次核实的矿山为已投产运营矿山，非新建勘查项目，且经核查，矿体赋存特征、矿石矿物成分、化学指标等与开采初期及以往报告一致，无重大变化，不再单独开展煅烧试验。</w:t>
      </w:r>
    </w:p>
    <w:p w14:paraId="0DB46823">
      <w:pPr>
        <w:pStyle w:val="41"/>
        <w:bidi w:val="0"/>
      </w:pPr>
      <w:r>
        <w:rPr>
          <w:rFonts w:hint="eastAsia"/>
        </w:rPr>
        <w:t>石灰岩矿矿体赋存于</w:t>
      </w:r>
      <w:r>
        <w:rPr>
          <w:rFonts w:hint="eastAsia"/>
          <w:lang w:eastAsia="zh-CN"/>
        </w:rPr>
        <w:t>石炭系下统</w:t>
      </w:r>
      <w:r>
        <w:rPr>
          <w:rFonts w:hint="eastAsia"/>
        </w:rPr>
        <w:t>大塘组（C</w:t>
      </w:r>
      <w:r>
        <w:rPr>
          <w:rFonts w:hint="eastAsia"/>
          <w:vertAlign w:val="subscript"/>
        </w:rPr>
        <w:t>1</w:t>
      </w:r>
      <w:r>
        <w:rPr>
          <w:rFonts w:hint="eastAsia"/>
        </w:rPr>
        <w:t>d）、董有组（C</w:t>
      </w:r>
      <w:r>
        <w:rPr>
          <w:rFonts w:hint="eastAsia"/>
          <w:vertAlign w:val="subscript"/>
        </w:rPr>
        <w:t>1</w:t>
      </w:r>
      <w:r>
        <w:rPr>
          <w:rFonts w:hint="eastAsia"/>
        </w:rPr>
        <w:t>dn），主要由灰色生物屑泥晶灰岩、灰岩。矿石矿物主要为方解石，矿物成分均匀，矿体直接裸露于地表，便于开采，矿体内夹石少，易于分选，矿石加工技术性能良好。</w:t>
      </w:r>
    </w:p>
    <w:p w14:paraId="5E701CC4">
      <w:pPr>
        <w:pStyle w:val="41"/>
        <w:bidi w:val="0"/>
        <w:rPr>
          <w:rFonts w:hint="eastAsia"/>
        </w:rPr>
      </w:pPr>
      <w:r>
        <w:rPr>
          <w:rFonts w:hint="eastAsia"/>
        </w:rPr>
        <w:t>矿山采用挖掘机开采，自卸汽车运输。采用两级破碎工艺，集机械筛分、精选、排次、排废于一体，机械化程度较高，可现场加工成满足电石厂原料要求（粒度：30</w:t>
      </w:r>
      <w:r>
        <w:rPr>
          <w:rFonts w:hint="eastAsia"/>
          <w:lang w:eastAsia="zh-CN"/>
        </w:rPr>
        <w:t>～</w:t>
      </w:r>
      <w:r>
        <w:rPr>
          <w:rFonts w:hint="eastAsia"/>
        </w:rPr>
        <w:t>60mm）的碎石。破碎后的矿石经皮带运输分为不同的级别堆放。</w:t>
      </w:r>
    </w:p>
    <w:p w14:paraId="4FA25E10">
      <w:pPr>
        <w:pStyle w:val="4"/>
        <w:bidi w:val="0"/>
        <w:rPr>
          <w:rFonts w:hint="default"/>
          <w:lang w:val="en-US" w:eastAsia="zh-CN"/>
        </w:rPr>
      </w:pPr>
      <w:r>
        <w:rPr>
          <w:rFonts w:hint="default"/>
          <w:lang w:val="en-US" w:eastAsia="zh-CN"/>
        </w:rPr>
        <w:t>设计利用矿产资源储量</w:t>
      </w:r>
      <w:bookmarkEnd w:id="197"/>
      <w:bookmarkEnd w:id="198"/>
    </w:p>
    <w:p w14:paraId="6BD99EA0">
      <w:pPr>
        <w:pStyle w:val="41"/>
        <w:bidi w:val="0"/>
      </w:pPr>
      <w:bookmarkStart w:id="199" w:name="_Toc19064"/>
      <w:r>
        <w:rPr>
          <w:rFonts w:hint="eastAsia"/>
        </w:rPr>
        <w:t>云南普阳煤化工有限责任公司于2025年11月编制并提交了《云南省砚山县红舍克东山石灰岩矿资源储量核实报告（2025年9月30日）》（下称《储量核实报告》）。云南金涌道矿业科技有限公司于2025年12月9日组织评审专家组对《储量核实报告》进行评审，并于2025年12月20日评审通过。</w:t>
      </w:r>
    </w:p>
    <w:p w14:paraId="5E730B66">
      <w:pPr>
        <w:pStyle w:val="41"/>
        <w:bidi w:val="0"/>
      </w:pPr>
      <w:r>
        <w:rPr>
          <w:rFonts w:hint="eastAsia"/>
        </w:rPr>
        <w:t>根据</w:t>
      </w:r>
      <w:r>
        <w:t>《</w:t>
      </w:r>
      <w:r>
        <w:rPr>
          <w:rFonts w:hint="eastAsia"/>
        </w:rPr>
        <w:t>云南省砚山县红舍克东山石灰岩矿资源储量核实报告</w:t>
      </w:r>
      <w:r>
        <w:t>》</w:t>
      </w:r>
      <w:r>
        <w:rPr>
          <w:rFonts w:hint="eastAsia"/>
        </w:rPr>
        <w:t>（2025年9月30日）矿产资源储量评审意见书</w:t>
      </w:r>
      <w:r>
        <w:t>（</w:t>
      </w:r>
      <w:r>
        <w:rPr>
          <w:rFonts w:hint="eastAsia"/>
        </w:rPr>
        <w:t>金涌道矿评储字〔2025〕24号</w:t>
      </w:r>
      <w:r>
        <w:t>），</w:t>
      </w:r>
      <w:r>
        <w:rPr>
          <w:rFonts w:hint="eastAsia"/>
          <w:lang w:eastAsia="zh-CN"/>
        </w:rPr>
        <w:t>截至</w:t>
      </w:r>
      <w:r>
        <w:rPr>
          <w:rFonts w:hint="eastAsia"/>
        </w:rPr>
        <w:t>2025年9月30日。砚山县红舍克东山石灰岩矿拟变更矿权范围内扣除岩溶率校正资源量如下：</w:t>
      </w:r>
    </w:p>
    <w:p w14:paraId="7E8937D8">
      <w:pPr>
        <w:pStyle w:val="41"/>
        <w:bidi w:val="0"/>
      </w:pPr>
      <w:r>
        <w:rPr>
          <w:rFonts w:hint="eastAsia"/>
        </w:rPr>
        <w:t>累计查明量：3468.4万t，其中探明资源量1061.2万t；控制资源量1245.8万t；推断资源量431.9万t；高速压覆资源量729.5万t。</w:t>
      </w:r>
    </w:p>
    <w:p w14:paraId="713059F8">
      <w:pPr>
        <w:pStyle w:val="41"/>
        <w:bidi w:val="0"/>
      </w:pPr>
      <w:r>
        <w:rPr>
          <w:rFonts w:hint="eastAsia"/>
        </w:rPr>
        <w:t>动用量：探明资源量782.7万t。</w:t>
      </w:r>
    </w:p>
    <w:p w14:paraId="1EDDD40E">
      <w:pPr>
        <w:pStyle w:val="41"/>
        <w:bidi w:val="0"/>
      </w:pPr>
      <w:r>
        <w:rPr>
          <w:rFonts w:hint="eastAsia"/>
        </w:rPr>
        <w:t>保有量：探明资源量278.5万t；控制资源量1245.8万t；推断资源量431.9万t；高速压覆资源量729.5万t。其中探明资源量占比31%，控制资源量占比36%，探明+控制资源量占比67%，达到勘探程度要求。</w:t>
      </w:r>
    </w:p>
    <w:p w14:paraId="50C49658">
      <w:pPr>
        <w:pStyle w:val="2"/>
        <w:bidi w:val="0"/>
        <w:ind w:left="432" w:leftChars="0" w:hanging="432" w:firstLineChars="0"/>
      </w:pPr>
      <w:r>
        <w:t>工程分析</w:t>
      </w:r>
      <w:bookmarkEnd w:id="199"/>
    </w:p>
    <w:p w14:paraId="5ED70D4E">
      <w:pPr>
        <w:pStyle w:val="3"/>
        <w:bidi w:val="0"/>
        <w:ind w:left="575" w:leftChars="0" w:hanging="575" w:firstLineChars="0"/>
      </w:pPr>
      <w:bookmarkStart w:id="200" w:name="bookmark549"/>
      <w:bookmarkEnd w:id="200"/>
      <w:bookmarkStart w:id="201" w:name="_Toc26930"/>
      <w:r>
        <w:t>矿床开采</w:t>
      </w:r>
      <w:bookmarkEnd w:id="201"/>
    </w:p>
    <w:p w14:paraId="1B767E56">
      <w:pPr>
        <w:pStyle w:val="4"/>
        <w:bidi w:val="0"/>
      </w:pPr>
      <w:bookmarkStart w:id="202" w:name="bookmark550"/>
      <w:bookmarkEnd w:id="202"/>
      <w:bookmarkStart w:id="203" w:name="_Toc22966"/>
      <w:r>
        <w:t>设计开采范围</w:t>
      </w:r>
      <w:bookmarkEnd w:id="203"/>
    </w:p>
    <w:p w14:paraId="292D3216">
      <w:pPr>
        <w:pStyle w:val="41"/>
        <w:bidi w:val="0"/>
      </w:pPr>
      <w:bookmarkStart w:id="204" w:name="bookmark136"/>
      <w:bookmarkEnd w:id="204"/>
      <w:bookmarkStart w:id="205" w:name="bookmark135"/>
      <w:bookmarkEnd w:id="205"/>
      <w:bookmarkStart w:id="206" w:name="_Toc3075"/>
      <w:r>
        <w:rPr>
          <w:rFonts w:hint="eastAsia"/>
        </w:rPr>
        <w:t>根据云南普阳煤化工有限责任公司于2025年11月提交的《云南省砚山县红舍克东山石灰岩矿资源储量核实报告（2025年9月30日）》，</w:t>
      </w:r>
      <w:r>
        <w:t>资源量估算范围</w:t>
      </w:r>
      <w:r>
        <w:rPr>
          <w:rFonts w:hint="eastAsia"/>
        </w:rPr>
        <w:t>由22个拐点圈定，估算面积0.2878</w:t>
      </w:r>
      <w:r>
        <w:t>km</w:t>
      </w:r>
      <w:r>
        <w:rPr>
          <w:vertAlign w:val="superscript"/>
        </w:rPr>
        <w:t>2</w:t>
      </w:r>
      <w:r>
        <w:rPr>
          <w:rFonts w:hint="eastAsia"/>
        </w:rPr>
        <w:t>，估算标高1690m</w:t>
      </w:r>
      <w:r>
        <w:rPr>
          <w:rFonts w:hint="eastAsia"/>
          <w:lang w:eastAsia="zh-CN"/>
        </w:rPr>
        <w:t>～</w:t>
      </w:r>
      <w:r>
        <w:rPr>
          <w:rFonts w:hint="eastAsia"/>
        </w:rPr>
        <w:t>1565m，其中可供开采的资源量范围面积为0.2183</w:t>
      </w:r>
      <w:r>
        <w:t>km</w:t>
      </w:r>
      <w:r>
        <w:rPr>
          <w:vertAlign w:val="superscript"/>
        </w:rPr>
        <w:t>2</w:t>
      </w:r>
      <w:r>
        <w:rPr>
          <w:rFonts w:hint="eastAsia"/>
        </w:rPr>
        <w:t>。资源量估算范围拐点坐标表、原采矿权</w:t>
      </w:r>
      <w:r>
        <w:t>范围</w:t>
      </w:r>
      <w:r>
        <w:rPr>
          <w:rFonts w:hint="eastAsia"/>
        </w:rPr>
        <w:t>、拟申请开采区域与资源量估算范围叠合关系详见图</w:t>
      </w:r>
      <w:r>
        <w:rPr>
          <w:rFonts w:hint="eastAsia"/>
          <w:lang w:val="en-US" w:eastAsia="zh-CN"/>
        </w:rPr>
        <w:t>4.1</w:t>
      </w:r>
      <w:r>
        <w:rPr>
          <w:rFonts w:hint="eastAsia"/>
        </w:rPr>
        <w:t>-1。</w:t>
      </w:r>
    </w:p>
    <w:p w14:paraId="30658125">
      <w:pPr>
        <w:pStyle w:val="45"/>
        <w:bidi w:val="0"/>
        <w:rPr>
          <w:rFonts w:hint="eastAsia"/>
        </w:rPr>
      </w:pPr>
      <w:r>
        <w:rPr>
          <w:rFonts w:hint="eastAsia"/>
        </w:rPr>
        <w:t>表</w:t>
      </w:r>
      <w:r>
        <w:rPr>
          <w:rFonts w:hint="eastAsia"/>
          <w:lang w:val="en-US" w:eastAsia="zh-CN"/>
        </w:rPr>
        <w:t>4.1-1</w:t>
      </w:r>
      <w:r>
        <w:rPr>
          <w:rFonts w:hint="eastAsia"/>
        </w:rPr>
        <w:t>本次资源量估算范围拐点坐标表</w:t>
      </w:r>
    </w:p>
    <w:tbl>
      <w:tblPr>
        <w:tblStyle w:val="34"/>
        <w:tblW w:w="5000" w:type="pct"/>
        <w:tblInd w:w="0" w:type="dxa"/>
        <w:tblLayout w:type="autofit"/>
        <w:tblCellMar>
          <w:top w:w="0" w:type="dxa"/>
          <w:left w:w="108" w:type="dxa"/>
          <w:bottom w:w="0" w:type="dxa"/>
          <w:right w:w="108" w:type="dxa"/>
        </w:tblCellMar>
      </w:tblPr>
      <w:tblGrid>
        <w:gridCol w:w="2500"/>
        <w:gridCol w:w="2884"/>
        <w:gridCol w:w="3138"/>
      </w:tblGrid>
      <w:tr w14:paraId="6D1F8CAE">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41184461">
            <w:pPr>
              <w:pStyle w:val="68"/>
              <w:rPr>
                <w:b/>
                <w:bCs w:val="0"/>
              </w:rPr>
            </w:pPr>
            <w:r>
              <w:rPr>
                <w:b/>
                <w:bCs w:val="0"/>
                <w:lang w:bidi="ar"/>
              </w:rPr>
              <w:t>序号</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5B041235">
            <w:pPr>
              <w:pStyle w:val="68"/>
              <w:rPr>
                <w:b/>
                <w:bCs w:val="0"/>
              </w:rPr>
            </w:pPr>
            <w:r>
              <w:rPr>
                <w:b/>
                <w:bCs w:val="0"/>
                <w:lang w:bidi="ar"/>
              </w:rPr>
              <w:t>X</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463B5458">
            <w:pPr>
              <w:pStyle w:val="68"/>
              <w:rPr>
                <w:b/>
                <w:bCs w:val="0"/>
              </w:rPr>
            </w:pPr>
            <w:r>
              <w:rPr>
                <w:b/>
                <w:bCs w:val="0"/>
                <w:lang w:bidi="ar"/>
              </w:rPr>
              <w:t>Y</w:t>
            </w:r>
          </w:p>
        </w:tc>
      </w:tr>
      <w:tr w14:paraId="7D6208EB">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6E64F1CF">
            <w:pPr>
              <w:pStyle w:val="68"/>
            </w:pPr>
            <w:r>
              <w:rPr>
                <w:lang w:bidi="ar"/>
              </w:rPr>
              <w:t>估1</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319D831E">
            <w:pPr>
              <w:pStyle w:val="68"/>
            </w:pPr>
            <w:r>
              <w:rPr>
                <w:lang w:bidi="ar"/>
              </w:rPr>
              <w:t xml:space="preserve">2619881.58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02BBE58D">
            <w:pPr>
              <w:pStyle w:val="68"/>
            </w:pPr>
            <w:r>
              <w:rPr>
                <w:lang w:bidi="ar"/>
              </w:rPr>
              <w:t xml:space="preserve">35428605.54 </w:t>
            </w:r>
          </w:p>
        </w:tc>
      </w:tr>
      <w:tr w14:paraId="20FB2449">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34FD1024">
            <w:pPr>
              <w:pStyle w:val="68"/>
            </w:pPr>
            <w:r>
              <w:rPr>
                <w:lang w:bidi="ar"/>
              </w:rPr>
              <w:t>估2</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B610DB7">
            <w:pPr>
              <w:pStyle w:val="68"/>
            </w:pPr>
            <w:r>
              <w:rPr>
                <w:lang w:bidi="ar"/>
              </w:rPr>
              <w:t xml:space="preserve">2619973.71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0558211E">
            <w:pPr>
              <w:pStyle w:val="68"/>
            </w:pPr>
            <w:r>
              <w:rPr>
                <w:lang w:bidi="ar"/>
              </w:rPr>
              <w:t xml:space="preserve">35428494.02 </w:t>
            </w:r>
          </w:p>
        </w:tc>
      </w:tr>
      <w:tr w14:paraId="64791976">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5DABDAB0">
            <w:pPr>
              <w:pStyle w:val="68"/>
            </w:pPr>
            <w:r>
              <w:rPr>
                <w:lang w:bidi="ar"/>
              </w:rPr>
              <w:t>估3</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24F1676F">
            <w:pPr>
              <w:pStyle w:val="68"/>
            </w:pPr>
            <w:r>
              <w:rPr>
                <w:lang w:bidi="ar"/>
              </w:rPr>
              <w:t xml:space="preserve">2620078.88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5C19CA77">
            <w:pPr>
              <w:pStyle w:val="68"/>
            </w:pPr>
            <w:r>
              <w:rPr>
                <w:lang w:bidi="ar"/>
              </w:rPr>
              <w:t xml:space="preserve">35428499.51 </w:t>
            </w:r>
          </w:p>
        </w:tc>
      </w:tr>
      <w:tr w14:paraId="1EA7B5B9">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14D2A2BB">
            <w:pPr>
              <w:pStyle w:val="68"/>
            </w:pPr>
            <w:r>
              <w:rPr>
                <w:lang w:bidi="ar"/>
              </w:rPr>
              <w:t>估4</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FB991C2">
            <w:pPr>
              <w:pStyle w:val="68"/>
            </w:pPr>
            <w:r>
              <w:rPr>
                <w:lang w:bidi="ar"/>
              </w:rPr>
              <w:t xml:space="preserve">2620110.71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3D19B7A9">
            <w:pPr>
              <w:pStyle w:val="68"/>
            </w:pPr>
            <w:r>
              <w:rPr>
                <w:lang w:bidi="ar"/>
              </w:rPr>
              <w:t xml:space="preserve">35428519.12 </w:t>
            </w:r>
          </w:p>
        </w:tc>
      </w:tr>
      <w:tr w14:paraId="0A7C3A1B">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22F34031">
            <w:pPr>
              <w:pStyle w:val="68"/>
            </w:pPr>
            <w:r>
              <w:rPr>
                <w:lang w:bidi="ar"/>
              </w:rPr>
              <w:t>估5</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8F2644D">
            <w:pPr>
              <w:pStyle w:val="68"/>
            </w:pPr>
            <w:r>
              <w:rPr>
                <w:lang w:bidi="ar"/>
              </w:rPr>
              <w:t xml:space="preserve">2620139.48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35FEC945">
            <w:pPr>
              <w:pStyle w:val="68"/>
            </w:pPr>
            <w:r>
              <w:rPr>
                <w:lang w:bidi="ar"/>
              </w:rPr>
              <w:t xml:space="preserve">35428530.95 </w:t>
            </w:r>
          </w:p>
        </w:tc>
      </w:tr>
      <w:tr w14:paraId="0D9BC5C5">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5ACDCFB6">
            <w:pPr>
              <w:pStyle w:val="68"/>
            </w:pPr>
            <w:r>
              <w:rPr>
                <w:lang w:bidi="ar"/>
              </w:rPr>
              <w:t>估6</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24A651E9">
            <w:pPr>
              <w:pStyle w:val="68"/>
            </w:pPr>
            <w:r>
              <w:rPr>
                <w:lang w:bidi="ar"/>
              </w:rPr>
              <w:t xml:space="preserve">2620173.96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1BA1147D">
            <w:pPr>
              <w:pStyle w:val="68"/>
            </w:pPr>
            <w:r>
              <w:rPr>
                <w:lang w:bidi="ar"/>
              </w:rPr>
              <w:t xml:space="preserve">35428550.15 </w:t>
            </w:r>
          </w:p>
        </w:tc>
      </w:tr>
      <w:tr w14:paraId="7D9EB001">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2BFEDF8C">
            <w:pPr>
              <w:pStyle w:val="68"/>
            </w:pPr>
            <w:r>
              <w:rPr>
                <w:lang w:bidi="ar"/>
              </w:rPr>
              <w:t>估7</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BD2D48D">
            <w:pPr>
              <w:pStyle w:val="68"/>
            </w:pPr>
            <w:r>
              <w:rPr>
                <w:lang w:bidi="ar"/>
              </w:rPr>
              <w:t xml:space="preserve">2620197.08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12310522">
            <w:pPr>
              <w:pStyle w:val="68"/>
            </w:pPr>
            <w:r>
              <w:rPr>
                <w:lang w:bidi="ar"/>
              </w:rPr>
              <w:t xml:space="preserve">35428573.77 </w:t>
            </w:r>
          </w:p>
        </w:tc>
      </w:tr>
      <w:tr w14:paraId="61CFD62B">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4BD32194">
            <w:pPr>
              <w:pStyle w:val="68"/>
            </w:pPr>
            <w:r>
              <w:rPr>
                <w:lang w:bidi="ar"/>
              </w:rPr>
              <w:t>估8</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7DBC177C">
            <w:pPr>
              <w:pStyle w:val="68"/>
            </w:pPr>
            <w:r>
              <w:rPr>
                <w:lang w:bidi="ar"/>
              </w:rPr>
              <w:t xml:space="preserve">2620221.11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33DDDF64">
            <w:pPr>
              <w:pStyle w:val="68"/>
            </w:pPr>
            <w:r>
              <w:rPr>
                <w:lang w:bidi="ar"/>
              </w:rPr>
              <w:t xml:space="preserve">35428600.29 </w:t>
            </w:r>
          </w:p>
        </w:tc>
      </w:tr>
      <w:tr w14:paraId="552620EA">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7D581D76">
            <w:pPr>
              <w:pStyle w:val="68"/>
            </w:pPr>
            <w:r>
              <w:rPr>
                <w:lang w:bidi="ar"/>
              </w:rPr>
              <w:t>估9</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386F4303">
            <w:pPr>
              <w:pStyle w:val="68"/>
            </w:pPr>
            <w:r>
              <w:rPr>
                <w:lang w:bidi="ar"/>
              </w:rPr>
              <w:t xml:space="preserve">2620224.86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1F6A8968">
            <w:pPr>
              <w:pStyle w:val="68"/>
            </w:pPr>
            <w:r>
              <w:rPr>
                <w:lang w:bidi="ar"/>
              </w:rPr>
              <w:t xml:space="preserve">35428596.71 </w:t>
            </w:r>
          </w:p>
        </w:tc>
      </w:tr>
      <w:tr w14:paraId="7FD3FB88">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32C98B73">
            <w:pPr>
              <w:pStyle w:val="68"/>
            </w:pPr>
            <w:r>
              <w:rPr>
                <w:lang w:bidi="ar"/>
              </w:rPr>
              <w:t>估10</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78F77777">
            <w:pPr>
              <w:pStyle w:val="68"/>
            </w:pPr>
            <w:r>
              <w:rPr>
                <w:lang w:bidi="ar"/>
              </w:rPr>
              <w:t xml:space="preserve">2620251.07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48AF1561">
            <w:pPr>
              <w:pStyle w:val="68"/>
            </w:pPr>
            <w:r>
              <w:rPr>
                <w:lang w:bidi="ar"/>
              </w:rPr>
              <w:t xml:space="preserve">35428631.84 </w:t>
            </w:r>
          </w:p>
        </w:tc>
      </w:tr>
      <w:tr w14:paraId="42EFDDF7">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026593AF">
            <w:pPr>
              <w:pStyle w:val="68"/>
            </w:pPr>
            <w:r>
              <w:rPr>
                <w:lang w:bidi="ar"/>
              </w:rPr>
              <w:t>估11</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0DDF5D0B">
            <w:pPr>
              <w:pStyle w:val="68"/>
            </w:pPr>
            <w:r>
              <w:rPr>
                <w:lang w:bidi="ar"/>
              </w:rPr>
              <w:t xml:space="preserve">2620406.57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4D0138E1">
            <w:pPr>
              <w:pStyle w:val="68"/>
            </w:pPr>
            <w:r>
              <w:rPr>
                <w:lang w:bidi="ar"/>
              </w:rPr>
              <w:t xml:space="preserve">35428840.14 </w:t>
            </w:r>
          </w:p>
        </w:tc>
      </w:tr>
      <w:tr w14:paraId="264A2655">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0723187D">
            <w:pPr>
              <w:pStyle w:val="68"/>
            </w:pPr>
            <w:r>
              <w:rPr>
                <w:lang w:bidi="ar"/>
              </w:rPr>
              <w:t>估12</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86F1906">
            <w:pPr>
              <w:pStyle w:val="68"/>
            </w:pPr>
            <w:r>
              <w:rPr>
                <w:lang w:bidi="ar"/>
              </w:rPr>
              <w:t xml:space="preserve">2620603.07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091FDC11">
            <w:pPr>
              <w:pStyle w:val="68"/>
            </w:pPr>
            <w:r>
              <w:rPr>
                <w:lang w:bidi="ar"/>
              </w:rPr>
              <w:t xml:space="preserve">35428782.10 </w:t>
            </w:r>
          </w:p>
        </w:tc>
      </w:tr>
      <w:tr w14:paraId="543667D7">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05AD6087">
            <w:pPr>
              <w:pStyle w:val="68"/>
            </w:pPr>
            <w:r>
              <w:rPr>
                <w:lang w:bidi="ar"/>
              </w:rPr>
              <w:t>估13</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75CBFC1">
            <w:pPr>
              <w:pStyle w:val="68"/>
            </w:pPr>
            <w:r>
              <w:rPr>
                <w:lang w:bidi="ar"/>
              </w:rPr>
              <w:t xml:space="preserve">2620610.40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6C354F77">
            <w:pPr>
              <w:pStyle w:val="68"/>
            </w:pPr>
            <w:r>
              <w:rPr>
                <w:lang w:bidi="ar"/>
              </w:rPr>
              <w:t xml:space="preserve">35428789.64 </w:t>
            </w:r>
          </w:p>
        </w:tc>
      </w:tr>
      <w:tr w14:paraId="3BD064CE">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463A7441">
            <w:pPr>
              <w:pStyle w:val="68"/>
            </w:pPr>
            <w:r>
              <w:rPr>
                <w:lang w:bidi="ar"/>
              </w:rPr>
              <w:t>估14</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4B8AB096">
            <w:pPr>
              <w:pStyle w:val="68"/>
            </w:pPr>
            <w:r>
              <w:rPr>
                <w:lang w:bidi="ar"/>
              </w:rPr>
              <w:t xml:space="preserve">2620630.80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22A55591">
            <w:pPr>
              <w:pStyle w:val="68"/>
            </w:pPr>
            <w:r>
              <w:rPr>
                <w:lang w:bidi="ar"/>
              </w:rPr>
              <w:t xml:space="preserve">35428798.10 </w:t>
            </w:r>
          </w:p>
        </w:tc>
      </w:tr>
      <w:tr w14:paraId="6130C02D">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44B81777">
            <w:pPr>
              <w:pStyle w:val="68"/>
            </w:pPr>
            <w:r>
              <w:rPr>
                <w:lang w:bidi="ar"/>
              </w:rPr>
              <w:t>估15</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56907E5">
            <w:pPr>
              <w:pStyle w:val="68"/>
            </w:pPr>
            <w:r>
              <w:rPr>
                <w:lang w:bidi="ar"/>
              </w:rPr>
              <w:t xml:space="preserve">2620640.77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0960C9F7">
            <w:pPr>
              <w:pStyle w:val="68"/>
            </w:pPr>
            <w:r>
              <w:rPr>
                <w:lang w:bidi="ar"/>
              </w:rPr>
              <w:t xml:space="preserve">35428801.87 </w:t>
            </w:r>
          </w:p>
        </w:tc>
      </w:tr>
      <w:tr w14:paraId="0D43DF87">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26496813">
            <w:pPr>
              <w:pStyle w:val="68"/>
            </w:pPr>
            <w:r>
              <w:rPr>
                <w:lang w:bidi="ar"/>
              </w:rPr>
              <w:t>估16</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692A5FB1">
            <w:pPr>
              <w:pStyle w:val="68"/>
            </w:pPr>
            <w:r>
              <w:rPr>
                <w:lang w:bidi="ar"/>
              </w:rPr>
              <w:t xml:space="preserve">2620752.08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19A5EB62">
            <w:pPr>
              <w:pStyle w:val="68"/>
            </w:pPr>
            <w:r>
              <w:rPr>
                <w:lang w:bidi="ar"/>
              </w:rPr>
              <w:t xml:space="preserve">35428915.03 </w:t>
            </w:r>
          </w:p>
        </w:tc>
      </w:tr>
      <w:tr w14:paraId="112C2CC9">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7FE2F81C">
            <w:pPr>
              <w:pStyle w:val="68"/>
            </w:pPr>
            <w:r>
              <w:rPr>
                <w:lang w:bidi="ar"/>
              </w:rPr>
              <w:t>估17</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4155419C">
            <w:pPr>
              <w:pStyle w:val="68"/>
            </w:pPr>
            <w:r>
              <w:rPr>
                <w:lang w:bidi="ar"/>
              </w:rPr>
              <w:t xml:space="preserve">2620563.42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7EC2C5D3">
            <w:pPr>
              <w:pStyle w:val="68"/>
            </w:pPr>
            <w:r>
              <w:rPr>
                <w:lang w:bidi="ar"/>
              </w:rPr>
              <w:t xml:space="preserve">35429209.21 </w:t>
            </w:r>
          </w:p>
        </w:tc>
      </w:tr>
      <w:tr w14:paraId="545E9FC4">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66BEDBAE">
            <w:pPr>
              <w:pStyle w:val="68"/>
            </w:pPr>
            <w:r>
              <w:rPr>
                <w:lang w:bidi="ar"/>
              </w:rPr>
              <w:t>估18</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42FE990C">
            <w:pPr>
              <w:pStyle w:val="68"/>
            </w:pPr>
            <w:r>
              <w:rPr>
                <w:lang w:bidi="ar"/>
              </w:rPr>
              <w:t xml:space="preserve">2620507.30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3C423E59">
            <w:pPr>
              <w:pStyle w:val="68"/>
            </w:pPr>
            <w:r>
              <w:rPr>
                <w:lang w:bidi="ar"/>
              </w:rPr>
              <w:t xml:space="preserve">35429192.59 </w:t>
            </w:r>
          </w:p>
        </w:tc>
      </w:tr>
      <w:tr w14:paraId="5A97315D">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4D240E53">
            <w:pPr>
              <w:pStyle w:val="68"/>
            </w:pPr>
            <w:r>
              <w:rPr>
                <w:lang w:bidi="ar"/>
              </w:rPr>
              <w:t>估19</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7B46641C">
            <w:pPr>
              <w:pStyle w:val="68"/>
            </w:pPr>
            <w:r>
              <w:rPr>
                <w:lang w:bidi="ar"/>
              </w:rPr>
              <w:t xml:space="preserve">2620433.70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567B7DD5">
            <w:pPr>
              <w:pStyle w:val="68"/>
            </w:pPr>
            <w:r>
              <w:rPr>
                <w:lang w:bidi="ar"/>
              </w:rPr>
              <w:t xml:space="preserve">35429009.86 </w:t>
            </w:r>
          </w:p>
        </w:tc>
      </w:tr>
      <w:tr w14:paraId="22BFC7CA">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754DA695">
            <w:pPr>
              <w:pStyle w:val="68"/>
            </w:pPr>
            <w:r>
              <w:rPr>
                <w:lang w:bidi="ar"/>
              </w:rPr>
              <w:t>估20</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3EFC8E40">
            <w:pPr>
              <w:pStyle w:val="68"/>
            </w:pPr>
            <w:r>
              <w:rPr>
                <w:lang w:bidi="ar"/>
              </w:rPr>
              <w:t xml:space="preserve">2620260.17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79EA0B48">
            <w:pPr>
              <w:pStyle w:val="68"/>
            </w:pPr>
            <w:r>
              <w:rPr>
                <w:lang w:bidi="ar"/>
              </w:rPr>
              <w:t xml:space="preserve">35429037.36 </w:t>
            </w:r>
          </w:p>
        </w:tc>
      </w:tr>
      <w:tr w14:paraId="1DD2AC77">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326042F6">
            <w:pPr>
              <w:pStyle w:val="68"/>
            </w:pPr>
            <w:r>
              <w:rPr>
                <w:lang w:bidi="ar"/>
              </w:rPr>
              <w:t>估21</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31F5A226">
            <w:pPr>
              <w:pStyle w:val="68"/>
            </w:pPr>
            <w:r>
              <w:rPr>
                <w:lang w:bidi="ar"/>
              </w:rPr>
              <w:t xml:space="preserve">2619985.58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375A49EC">
            <w:pPr>
              <w:pStyle w:val="68"/>
            </w:pPr>
            <w:r>
              <w:rPr>
                <w:lang w:bidi="ar"/>
              </w:rPr>
              <w:t xml:space="preserve">35428929.94 </w:t>
            </w:r>
          </w:p>
        </w:tc>
      </w:tr>
      <w:tr w14:paraId="560A8760">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362F20E1">
            <w:pPr>
              <w:pStyle w:val="68"/>
            </w:pPr>
            <w:r>
              <w:rPr>
                <w:lang w:bidi="ar"/>
              </w:rPr>
              <w:t>估22</w:t>
            </w:r>
          </w:p>
        </w:tc>
        <w:tc>
          <w:tcPr>
            <w:tcW w:w="1692" w:type="pct"/>
            <w:tcBorders>
              <w:top w:val="single" w:color="000000" w:sz="4" w:space="0"/>
              <w:left w:val="single" w:color="000000" w:sz="4" w:space="0"/>
              <w:bottom w:val="single" w:color="000000" w:sz="4" w:space="0"/>
              <w:right w:val="single" w:color="000000" w:sz="4" w:space="0"/>
            </w:tcBorders>
            <w:noWrap/>
            <w:vAlign w:val="center"/>
          </w:tcPr>
          <w:p w14:paraId="490D34CD">
            <w:pPr>
              <w:pStyle w:val="68"/>
            </w:pPr>
            <w:r>
              <w:rPr>
                <w:lang w:bidi="ar"/>
              </w:rPr>
              <w:t xml:space="preserve">2619908.54 </w:t>
            </w:r>
          </w:p>
        </w:tc>
        <w:tc>
          <w:tcPr>
            <w:tcW w:w="1841" w:type="pct"/>
            <w:tcBorders>
              <w:top w:val="single" w:color="000000" w:sz="4" w:space="0"/>
              <w:left w:val="single" w:color="000000" w:sz="4" w:space="0"/>
              <w:bottom w:val="single" w:color="000000" w:sz="4" w:space="0"/>
              <w:right w:val="single" w:color="000000" w:sz="4" w:space="0"/>
            </w:tcBorders>
            <w:noWrap/>
            <w:vAlign w:val="center"/>
          </w:tcPr>
          <w:p w14:paraId="1AAF66E1">
            <w:pPr>
              <w:pStyle w:val="68"/>
            </w:pPr>
            <w:r>
              <w:rPr>
                <w:lang w:bidi="ar"/>
              </w:rPr>
              <w:t xml:space="preserve">35428862.76 </w:t>
            </w:r>
          </w:p>
        </w:tc>
      </w:tr>
      <w:tr w14:paraId="1EC0C826">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6CF84C35">
            <w:pPr>
              <w:pStyle w:val="68"/>
            </w:pPr>
            <w:r>
              <w:rPr>
                <w:lang w:bidi="ar"/>
              </w:rPr>
              <w:t>估算面积</w:t>
            </w:r>
          </w:p>
        </w:tc>
        <w:tc>
          <w:tcPr>
            <w:tcW w:w="3533" w:type="pct"/>
            <w:gridSpan w:val="2"/>
            <w:tcBorders>
              <w:top w:val="single" w:color="000000" w:sz="4" w:space="0"/>
              <w:left w:val="single" w:color="000000" w:sz="4" w:space="0"/>
              <w:bottom w:val="single" w:color="000000" w:sz="4" w:space="0"/>
              <w:right w:val="single" w:color="000000" w:sz="4" w:space="0"/>
            </w:tcBorders>
            <w:noWrap/>
            <w:vAlign w:val="center"/>
          </w:tcPr>
          <w:p w14:paraId="0C908165">
            <w:pPr>
              <w:pStyle w:val="68"/>
            </w:pPr>
            <w:r>
              <w:rPr>
                <w:lang w:bidi="ar"/>
              </w:rPr>
              <w:t>0.287</w:t>
            </w:r>
            <w:r>
              <w:rPr>
                <w:rFonts w:hint="eastAsia"/>
                <w:lang w:bidi="ar"/>
              </w:rPr>
              <w:t>8</w:t>
            </w:r>
            <w:r>
              <w:rPr>
                <w:lang w:bidi="ar"/>
              </w:rPr>
              <w:t>km</w:t>
            </w:r>
            <w:r>
              <w:rPr>
                <w:vertAlign w:val="superscript"/>
                <w:lang w:bidi="ar"/>
              </w:rPr>
              <w:t>2</w:t>
            </w:r>
          </w:p>
        </w:tc>
      </w:tr>
      <w:tr w14:paraId="47D30C37">
        <w:tblPrEx>
          <w:tblCellMar>
            <w:top w:w="0" w:type="dxa"/>
            <w:left w:w="108" w:type="dxa"/>
            <w:bottom w:w="0" w:type="dxa"/>
            <w:right w:w="108" w:type="dxa"/>
          </w:tblCellMar>
        </w:tblPrEx>
        <w:trPr>
          <w:trHeight w:val="397" w:hRule="atLeast"/>
        </w:trPr>
        <w:tc>
          <w:tcPr>
            <w:tcW w:w="1467" w:type="pct"/>
            <w:tcBorders>
              <w:top w:val="single" w:color="000000" w:sz="4" w:space="0"/>
              <w:left w:val="single" w:color="000000" w:sz="4" w:space="0"/>
              <w:bottom w:val="single" w:color="000000" w:sz="4" w:space="0"/>
              <w:right w:val="single" w:color="000000" w:sz="4" w:space="0"/>
            </w:tcBorders>
            <w:noWrap/>
            <w:vAlign w:val="center"/>
          </w:tcPr>
          <w:p w14:paraId="64CB2614">
            <w:pPr>
              <w:pStyle w:val="68"/>
            </w:pPr>
            <w:r>
              <w:rPr>
                <w:lang w:bidi="ar"/>
              </w:rPr>
              <w:t>估算标高</w:t>
            </w:r>
          </w:p>
        </w:tc>
        <w:tc>
          <w:tcPr>
            <w:tcW w:w="3533" w:type="pct"/>
            <w:gridSpan w:val="2"/>
            <w:tcBorders>
              <w:top w:val="single" w:color="000000" w:sz="4" w:space="0"/>
              <w:left w:val="single" w:color="000000" w:sz="4" w:space="0"/>
              <w:bottom w:val="single" w:color="000000" w:sz="4" w:space="0"/>
              <w:right w:val="single" w:color="000000" w:sz="4" w:space="0"/>
            </w:tcBorders>
            <w:noWrap/>
            <w:vAlign w:val="center"/>
          </w:tcPr>
          <w:p w14:paraId="6080CA05">
            <w:pPr>
              <w:pStyle w:val="68"/>
            </w:pPr>
            <w:r>
              <w:rPr>
                <w:lang w:bidi="ar"/>
              </w:rPr>
              <w:t>1690m-1565m</w:t>
            </w:r>
          </w:p>
        </w:tc>
      </w:tr>
    </w:tbl>
    <w:p w14:paraId="268C6769">
      <w:pPr>
        <w:pStyle w:val="43"/>
        <w:bidi w:val="0"/>
        <w:rPr>
          <w:rFonts w:hint="eastAsia"/>
        </w:rPr>
      </w:pPr>
      <w:r>
        <w:drawing>
          <wp:inline distT="0" distB="0" distL="0" distR="0">
            <wp:extent cx="5274945" cy="5215890"/>
            <wp:effectExtent l="0" t="0" r="13335" b="11430"/>
            <wp:docPr id="4272719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71939" name="图片 1"/>
                    <pic:cNvPicPr>
                      <a:picLocks noChangeAspect="1"/>
                    </pic:cNvPicPr>
                  </pic:nvPicPr>
                  <pic:blipFill>
                    <a:blip r:embed="rId22"/>
                    <a:stretch>
                      <a:fillRect/>
                    </a:stretch>
                  </pic:blipFill>
                  <pic:spPr>
                    <a:xfrm>
                      <a:off x="0" y="0"/>
                      <a:ext cx="5274945" cy="5215890"/>
                    </a:xfrm>
                    <a:prstGeom prst="rect">
                      <a:avLst/>
                    </a:prstGeom>
                  </pic:spPr>
                </pic:pic>
              </a:graphicData>
            </a:graphic>
          </wp:inline>
        </w:drawing>
      </w:r>
    </w:p>
    <w:p w14:paraId="6B604989">
      <w:pPr>
        <w:pStyle w:val="45"/>
        <w:bidi w:val="0"/>
      </w:pPr>
      <w:r>
        <w:rPr>
          <w:rFonts w:hint="eastAsia"/>
        </w:rPr>
        <w:t>图</w:t>
      </w:r>
      <w:r>
        <w:rPr>
          <w:rFonts w:hint="eastAsia"/>
          <w:lang w:val="en-US" w:eastAsia="zh-CN"/>
        </w:rPr>
        <w:t>4.1-1</w:t>
      </w:r>
      <w:r>
        <w:rPr>
          <w:rFonts w:hint="eastAsia"/>
        </w:rPr>
        <w:t>拟申请开采区域与资源量估算范围叠合图</w:t>
      </w:r>
    </w:p>
    <w:p w14:paraId="72994F32">
      <w:pPr>
        <w:pStyle w:val="4"/>
        <w:bidi w:val="0"/>
      </w:pPr>
      <w:r>
        <w:t>矿床开采方式</w:t>
      </w:r>
      <w:bookmarkEnd w:id="206"/>
    </w:p>
    <w:p w14:paraId="7021A213">
      <w:pPr>
        <w:pStyle w:val="41"/>
        <w:bidi w:val="0"/>
      </w:pPr>
      <w:r>
        <w:t>根据矿区地形地貌条件、开采技术条件</w:t>
      </w:r>
      <w:r>
        <w:rPr>
          <w:rFonts w:hint="eastAsia"/>
        </w:rPr>
        <w:t>及</w:t>
      </w:r>
      <w:r>
        <w:t>矿体的赋存特征，</w:t>
      </w:r>
      <w:r>
        <w:rPr>
          <w:rFonts w:hint="eastAsia"/>
        </w:rPr>
        <w:t>设计推荐</w:t>
      </w:r>
      <w:r>
        <w:t>矿山开采方式为</w:t>
      </w:r>
      <w:r>
        <w:rPr>
          <w:rFonts w:hint="eastAsia"/>
        </w:rPr>
        <w:t>露天开采。</w:t>
      </w:r>
    </w:p>
    <w:p w14:paraId="7E631115">
      <w:pPr>
        <w:pStyle w:val="4"/>
        <w:bidi w:val="0"/>
        <w:rPr>
          <w:rFonts w:hint="default"/>
          <w:lang w:val="en-US" w:eastAsia="zh-CN"/>
        </w:rPr>
      </w:pPr>
      <w:bookmarkStart w:id="207" w:name="bookmark137"/>
      <w:bookmarkEnd w:id="207"/>
      <w:bookmarkStart w:id="208" w:name="bookmark138"/>
      <w:bookmarkEnd w:id="208"/>
      <w:bookmarkStart w:id="209" w:name="_Toc14714"/>
      <w:r>
        <w:rPr>
          <w:rFonts w:hint="default"/>
          <w:lang w:val="en-US" w:eastAsia="zh-CN"/>
        </w:rPr>
        <w:t>露天开采终了境界的确定</w:t>
      </w:r>
      <w:bookmarkEnd w:id="209"/>
    </w:p>
    <w:p w14:paraId="22260E3F">
      <w:pPr>
        <w:pStyle w:val="5"/>
        <w:bidi w:val="0"/>
        <w:rPr>
          <w:rFonts w:hint="default" w:ascii="Times New Roman" w:hAnsi="Times New Roman" w:cs="Times New Roman"/>
          <w:color w:val="000000" w:themeColor="text1"/>
          <w:highlight w:val="none"/>
          <w:lang w:eastAsia="zh-CN"/>
          <w14:textFill>
            <w14:solidFill>
              <w14:schemeClr w14:val="tx1"/>
            </w14:solidFill>
          </w14:textFill>
        </w:rPr>
      </w:pPr>
      <w:bookmarkStart w:id="210" w:name="_Toc224443272"/>
      <w:r>
        <w:rPr>
          <w:rFonts w:hint="default" w:ascii="Times New Roman" w:hAnsi="Times New Roman" w:cs="Times New Roman"/>
          <w:color w:val="000000" w:themeColor="text1"/>
          <w:highlight w:val="none"/>
          <w:lang w:eastAsia="zh-CN"/>
          <w14:textFill>
            <w14:solidFill>
              <w14:schemeClr w14:val="tx1"/>
            </w14:solidFill>
          </w14:textFill>
        </w:rPr>
        <w:t>圈定露天采场境界的原则</w:t>
      </w:r>
      <w:bookmarkEnd w:id="210"/>
    </w:p>
    <w:p w14:paraId="5A3D9A29">
      <w:pPr>
        <w:pStyle w:val="41"/>
        <w:bidi w:val="0"/>
      </w:pPr>
      <w:bookmarkStart w:id="211" w:name="_Toc224443273"/>
      <w:r>
        <w:rPr>
          <w:rFonts w:hint="eastAsia"/>
        </w:rPr>
        <w:t>（</w:t>
      </w:r>
      <w:r>
        <w:t>1）开采境界位于</w:t>
      </w:r>
      <w:r>
        <w:rPr>
          <w:rFonts w:hint="eastAsia"/>
        </w:rPr>
        <w:t>拟申请开采区域</w:t>
      </w:r>
      <w:r>
        <w:t>之内；</w:t>
      </w:r>
    </w:p>
    <w:p w14:paraId="084FEBCB">
      <w:pPr>
        <w:pStyle w:val="41"/>
        <w:bidi w:val="0"/>
      </w:pPr>
      <w:r>
        <w:rPr>
          <w:rFonts w:hint="eastAsia"/>
        </w:rPr>
        <w:t>（</w:t>
      </w:r>
      <w:r>
        <w:t>2）保证地质报告提供的地质储量得到充分利用；</w:t>
      </w:r>
    </w:p>
    <w:p w14:paraId="7D157680">
      <w:pPr>
        <w:pStyle w:val="41"/>
        <w:bidi w:val="0"/>
      </w:pPr>
      <w:r>
        <w:rPr>
          <w:rFonts w:hint="eastAsia"/>
        </w:rPr>
        <w:t>（</w:t>
      </w:r>
      <w:r>
        <w:t>3）尽量圈定高级储量，确保矿山投产时矿石质量的可靠性；</w:t>
      </w:r>
    </w:p>
    <w:p w14:paraId="3B700FB3">
      <w:pPr>
        <w:pStyle w:val="41"/>
        <w:bidi w:val="0"/>
      </w:pPr>
      <w:r>
        <w:rPr>
          <w:rFonts w:hint="eastAsia"/>
        </w:rPr>
        <w:t>（</w:t>
      </w:r>
      <w:r>
        <w:t>4）开采境界内的平均剥采比尽可能小；</w:t>
      </w:r>
    </w:p>
    <w:p w14:paraId="551721F7">
      <w:pPr>
        <w:pStyle w:val="41"/>
        <w:bidi w:val="0"/>
      </w:pPr>
      <w:r>
        <w:rPr>
          <w:rFonts w:hint="eastAsia"/>
        </w:rPr>
        <w:t>（</w:t>
      </w:r>
      <w:r>
        <w:t>5）境界圈定的结构参数要有利于最终边坡的稳定；</w:t>
      </w:r>
    </w:p>
    <w:p w14:paraId="737ED5B2">
      <w:pPr>
        <w:pStyle w:val="41"/>
        <w:bidi w:val="0"/>
      </w:pPr>
      <w:r>
        <w:rPr>
          <w:rFonts w:hint="eastAsia"/>
        </w:rPr>
        <w:t>（</w:t>
      </w:r>
      <w:r>
        <w:t>6）境界圈定参数要与矿山生产规模、矿岩物理性能、开采设备技术性能等相适应。</w:t>
      </w:r>
    </w:p>
    <w:p w14:paraId="4C8FB4CE">
      <w:pPr>
        <w:pStyle w:val="5"/>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经济合理剥采比确定</w:t>
      </w:r>
      <w:bookmarkEnd w:id="211"/>
    </w:p>
    <w:p w14:paraId="1733E08A">
      <w:pPr>
        <w:pStyle w:val="41"/>
        <w:bidi w:val="0"/>
      </w:pPr>
      <w:bookmarkStart w:id="212" w:name="_Toc224443275"/>
      <w:r>
        <w:rPr>
          <w:rFonts w:hint="eastAsia"/>
        </w:rPr>
        <w:t>矿体大部分出露于地表，覆盖表土较薄，不用计算经济合理剥采比</w:t>
      </w:r>
      <w:r>
        <w:rPr>
          <w:lang w:val="zh-CN"/>
        </w:rPr>
        <w:t>。</w:t>
      </w:r>
    </w:p>
    <w:p w14:paraId="2EE00447">
      <w:pPr>
        <w:pStyle w:val="5"/>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露天采场境界圈定结果</w:t>
      </w:r>
      <w:bookmarkEnd w:id="212"/>
    </w:p>
    <w:p w14:paraId="7CE834E6">
      <w:pPr>
        <w:pStyle w:val="41"/>
        <w:bidi w:val="0"/>
      </w:pPr>
      <w:r>
        <w:t>台阶高度：本次</w:t>
      </w:r>
      <w:r>
        <w:rPr>
          <w:rFonts w:hint="eastAsia"/>
        </w:rPr>
        <w:t>开采矿体</w:t>
      </w:r>
      <w:r>
        <w:t>为需经</w:t>
      </w:r>
      <w:r>
        <w:rPr>
          <w:rFonts w:hint="eastAsia"/>
        </w:rPr>
        <w:t>爆破</w:t>
      </w:r>
      <w:r>
        <w:t>的坚硬矿岩，</w:t>
      </w:r>
      <w:r>
        <w:rPr>
          <w:rFonts w:hint="eastAsia"/>
        </w:rPr>
        <w:t>根据《金属非金属安全规程》，爆破开采时台阶</w:t>
      </w:r>
      <w:r>
        <w:t>高度不应</w:t>
      </w:r>
      <w:r>
        <w:rPr>
          <w:rFonts w:hint="eastAsia"/>
          <w:lang w:eastAsia="zh-CN"/>
        </w:rPr>
        <w:t>超过</w:t>
      </w:r>
      <w:r>
        <w:t>挖掘机最大挖掘高度的1.5倍，</w:t>
      </w:r>
      <w:r>
        <w:rPr>
          <w:rFonts w:hint="eastAsia"/>
        </w:rPr>
        <w:t>设计采用的</w:t>
      </w:r>
      <w:r>
        <w:t>挖掘机最大挖掘高度为10.72m，</w:t>
      </w:r>
      <w:r>
        <w:rPr>
          <w:rFonts w:hint="eastAsia"/>
        </w:rPr>
        <w:t>本次设计</w:t>
      </w:r>
      <w:r>
        <w:t>台阶高度1</w:t>
      </w:r>
      <w:r>
        <w:rPr>
          <w:rFonts w:hint="eastAsia"/>
        </w:rPr>
        <w:t>2</w:t>
      </w:r>
      <w:r>
        <w:t>m。</w:t>
      </w:r>
    </w:p>
    <w:p w14:paraId="430C78C2">
      <w:pPr>
        <w:pStyle w:val="41"/>
        <w:bidi w:val="0"/>
      </w:pPr>
      <w:r>
        <w:t>台阶坡面角：本次设计边坡角是根据矿床工程地质条件，参照类似生产矿山，按类比法选取的。</w:t>
      </w:r>
      <w:r>
        <w:rPr>
          <w:rFonts w:hint="eastAsia"/>
        </w:rPr>
        <w:t>拟申请开采区域</w:t>
      </w:r>
      <w:r>
        <w:t>构造较发育，矿体属层状</w:t>
      </w:r>
      <w:r>
        <w:rPr>
          <w:rFonts w:hint="eastAsia"/>
        </w:rPr>
        <w:t>较硬岩组</w:t>
      </w:r>
      <w:r>
        <w:t>。矿体岩石强度高，矿体节理裂隙较发育，岩体中等完整；构成露天矿坑最终边坡的岩组为</w:t>
      </w:r>
      <w:r>
        <w:rPr>
          <w:rFonts w:hint="eastAsia"/>
        </w:rPr>
        <w:t>较坚硬-坚硬岩组</w:t>
      </w:r>
      <w:r>
        <w:t>，最终边坡稳定性评价结果均处于稳定</w:t>
      </w:r>
      <w:r>
        <w:rPr>
          <w:rFonts w:hint="eastAsia"/>
        </w:rPr>
        <w:t>-</w:t>
      </w:r>
      <w:r>
        <w:t>基本稳定状态</w:t>
      </w:r>
      <w:r>
        <w:rPr>
          <w:rFonts w:hint="eastAsia"/>
        </w:rPr>
        <w:t>。参考</w:t>
      </w:r>
      <w:r>
        <w:t>类似露天矿山，结合本矿实际情况，本次设计取</w:t>
      </w:r>
      <w:r>
        <w:rPr>
          <w:rFonts w:hint="eastAsia"/>
        </w:rPr>
        <w:t>60</w:t>
      </w:r>
      <w:r>
        <w:t>°。</w:t>
      </w:r>
    </w:p>
    <w:p w14:paraId="5996BA7A">
      <w:pPr>
        <w:pStyle w:val="41"/>
        <w:bidi w:val="0"/>
      </w:pPr>
      <w:r>
        <w:t>安全平台宽度：本次设计安全平台宽度为</w:t>
      </w:r>
      <w:r>
        <w:rPr>
          <w:rFonts w:hint="eastAsia"/>
        </w:rPr>
        <w:t>4</w:t>
      </w:r>
      <w:r>
        <w:t>m。</w:t>
      </w:r>
    </w:p>
    <w:p w14:paraId="61728D7A">
      <w:pPr>
        <w:pStyle w:val="41"/>
        <w:bidi w:val="0"/>
      </w:pPr>
      <w:r>
        <w:t>清扫平台宽度：</w:t>
      </w:r>
      <w:r>
        <w:rPr>
          <w:rFonts w:hint="eastAsia"/>
        </w:rPr>
        <w:t>根据《安全规程》</w:t>
      </w:r>
      <w:r>
        <w:t>每隔2个台阶设置一个清扫平台，</w:t>
      </w:r>
      <w:r>
        <w:rPr>
          <w:rFonts w:hint="eastAsia"/>
        </w:rPr>
        <w:t>设计</w:t>
      </w:r>
      <w:r>
        <w:t>清扫平台宽度</w:t>
      </w:r>
      <w:r>
        <w:rPr>
          <w:rFonts w:hint="eastAsia"/>
        </w:rPr>
        <w:t>6</w:t>
      </w:r>
      <w:r>
        <w:t>m。</w:t>
      </w:r>
    </w:p>
    <w:p w14:paraId="5F42731A">
      <w:pPr>
        <w:pStyle w:val="41"/>
        <w:bidi w:val="0"/>
        <w:rPr>
          <w:rFonts w:hint="eastAsia"/>
        </w:rPr>
      </w:pPr>
      <w:r>
        <w:rPr>
          <w:rFonts w:hint="eastAsia"/>
        </w:rPr>
        <w:t>运输平台宽度：《水泥原料矿山工程设计规范》（GB50598-2010），</w:t>
      </w:r>
      <w:r>
        <w:t>本次设计运输平台路面为单车道，</w:t>
      </w:r>
      <w:r>
        <w:rPr>
          <w:rFonts w:hint="eastAsia"/>
        </w:rPr>
        <w:t>汽车宽度为2.5m，</w:t>
      </w:r>
      <w:r>
        <w:t>设计确定采场运输平台宽度为</w:t>
      </w:r>
      <w:r>
        <w:rPr>
          <w:rFonts w:hint="eastAsia"/>
        </w:rPr>
        <w:t>8</w:t>
      </w:r>
      <w:r>
        <w:t>m</w:t>
      </w:r>
      <w:r>
        <w:rPr>
          <w:rFonts w:hint="eastAsia"/>
        </w:rPr>
        <w:t>。</w:t>
      </w:r>
    </w:p>
    <w:p w14:paraId="68B89107">
      <w:pPr>
        <w:pStyle w:val="41"/>
        <w:bidi w:val="0"/>
      </w:pPr>
      <w:r>
        <w:t>采场底部最小宽度：应满足采装运输设备在底部正常运行与安全作业的要求，一般不应小于开段沟的底宽，根据采装、运输设备规格及路线布置计算确定。拟采用回返式调车。</w:t>
      </w:r>
    </w:p>
    <w:p w14:paraId="46F4C8D6">
      <w:pPr>
        <w:pStyle w:val="41"/>
        <w:bidi w:val="0"/>
      </w:pPr>
      <w:r>
        <w:t>Bmin=2</w:t>
      </w:r>
      <w:r>
        <w:rPr>
          <w:rFonts w:hint="eastAsia"/>
          <w:lang w:eastAsia="zh-CN"/>
        </w:rPr>
        <w:t>(</w:t>
      </w:r>
      <w:r>
        <w:t>Rcmin+0.5bc+e</w:t>
      </w:r>
      <w:r>
        <w:rPr>
          <w:rFonts w:hint="eastAsia"/>
          <w:lang w:eastAsia="zh-CN"/>
        </w:rPr>
        <w:t>)</w:t>
      </w:r>
    </w:p>
    <w:p w14:paraId="629C965E">
      <w:pPr>
        <w:pStyle w:val="41"/>
        <w:bidi w:val="0"/>
      </w:pPr>
      <w:r>
        <w:t>式中：</w:t>
      </w:r>
    </w:p>
    <w:p w14:paraId="6B44D60E">
      <w:pPr>
        <w:pStyle w:val="41"/>
        <w:bidi w:val="0"/>
      </w:pPr>
      <w:r>
        <w:t>Rcmin—汽车最小转弯半径，</w:t>
      </w:r>
      <w:r>
        <w:rPr>
          <w:rFonts w:hint="eastAsia"/>
        </w:rPr>
        <w:t>9</w:t>
      </w:r>
      <w:r>
        <w:t>m；</w:t>
      </w:r>
    </w:p>
    <w:p w14:paraId="54AB4673">
      <w:pPr>
        <w:pStyle w:val="41"/>
        <w:bidi w:val="0"/>
      </w:pPr>
      <w:r>
        <w:t>bc—汽车宽度，2.5m；</w:t>
      </w:r>
    </w:p>
    <w:p w14:paraId="7F7779A2">
      <w:pPr>
        <w:pStyle w:val="41"/>
        <w:bidi w:val="0"/>
      </w:pPr>
      <w:r>
        <w:t>e—汽车距边坡安全距离，1m；</w:t>
      </w:r>
    </w:p>
    <w:p w14:paraId="7800BDFE">
      <w:pPr>
        <w:pStyle w:val="41"/>
        <w:bidi w:val="0"/>
      </w:pPr>
      <w:r>
        <w:t>计算结果：Bmin=22</w:t>
      </w:r>
      <w:r>
        <w:rPr>
          <w:rFonts w:hint="eastAsia"/>
        </w:rPr>
        <w:t>.5</w:t>
      </w:r>
      <w:r>
        <w:t>m。</w:t>
      </w:r>
    </w:p>
    <w:p w14:paraId="294647FD">
      <w:pPr>
        <w:pStyle w:val="41"/>
        <w:bidi w:val="0"/>
        <w:rPr>
          <w:rFonts w:hint="eastAsia"/>
        </w:rPr>
      </w:pPr>
      <w:r>
        <w:rPr>
          <w:rFonts w:hint="eastAsia"/>
        </w:rPr>
        <w:t>根据计算结果，设计最小底宽为23m。</w:t>
      </w:r>
    </w:p>
    <w:p w14:paraId="4FA7DDC1">
      <w:pPr>
        <w:pStyle w:val="41"/>
        <w:bidi w:val="0"/>
      </w:pPr>
      <w:r>
        <w:t>根据上述确定的露天边坡参数及设计原则，结合该矿床赋存特点，本次设计圈定的露天开采境界主要指标见表4</w:t>
      </w:r>
      <w:r>
        <w:rPr>
          <w:rFonts w:hint="eastAsia"/>
          <w:lang w:val="en-US" w:eastAsia="zh-CN"/>
        </w:rPr>
        <w:t>.1-2</w:t>
      </w:r>
      <w:r>
        <w:t>。</w:t>
      </w:r>
    </w:p>
    <w:p w14:paraId="303B1F8A">
      <w:pPr>
        <w:pStyle w:val="45"/>
        <w:bidi w:val="0"/>
        <w:rPr>
          <w:rFonts w:hint="default"/>
          <w:lang w:eastAsia="zh-CN"/>
        </w:rPr>
      </w:pPr>
      <w:r>
        <w:rPr>
          <w:rFonts w:hint="default"/>
          <w:lang w:eastAsia="zh-CN"/>
        </w:rPr>
        <w:t>表</w:t>
      </w:r>
      <w:r>
        <w:rPr>
          <w:rFonts w:hint="eastAsia"/>
          <w:lang w:val="en-US" w:eastAsia="zh-CN"/>
        </w:rPr>
        <w:t>4.1-2</w:t>
      </w:r>
      <w:r>
        <w:rPr>
          <w:rFonts w:hint="default"/>
          <w:lang w:val="en-US" w:eastAsia="zh-CN"/>
        </w:rPr>
        <w:t xml:space="preserve">  </w:t>
      </w:r>
      <w:r>
        <w:rPr>
          <w:rFonts w:hint="default"/>
          <w:lang w:eastAsia="zh-CN"/>
        </w:rPr>
        <w:t>露天开采终了境界主要指标表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2417"/>
        <w:gridCol w:w="1041"/>
        <w:gridCol w:w="1367"/>
        <w:gridCol w:w="2502"/>
      </w:tblGrid>
      <w:tr w14:paraId="6FDE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19" w:type="pct"/>
            <w:gridSpan w:val="2"/>
            <w:vAlign w:val="center"/>
          </w:tcPr>
          <w:p w14:paraId="0940D06D">
            <w:pPr>
              <w:pStyle w:val="68"/>
              <w:rPr>
                <w:b/>
                <w:bCs w:val="0"/>
              </w:rPr>
            </w:pPr>
            <w:r>
              <w:rPr>
                <w:b/>
                <w:bCs w:val="0"/>
              </w:rPr>
              <w:t>项目</w:t>
            </w:r>
          </w:p>
        </w:tc>
        <w:tc>
          <w:tcPr>
            <w:tcW w:w="611" w:type="pct"/>
            <w:vAlign w:val="center"/>
          </w:tcPr>
          <w:p w14:paraId="1688A9DC">
            <w:pPr>
              <w:pStyle w:val="68"/>
              <w:rPr>
                <w:b/>
                <w:bCs w:val="0"/>
              </w:rPr>
            </w:pPr>
            <w:r>
              <w:rPr>
                <w:b/>
                <w:bCs w:val="0"/>
              </w:rPr>
              <w:t>单位</w:t>
            </w:r>
          </w:p>
        </w:tc>
        <w:tc>
          <w:tcPr>
            <w:tcW w:w="802" w:type="pct"/>
            <w:vAlign w:val="center"/>
          </w:tcPr>
          <w:p w14:paraId="13E9229C">
            <w:pPr>
              <w:pStyle w:val="68"/>
              <w:rPr>
                <w:b/>
                <w:bCs w:val="0"/>
              </w:rPr>
            </w:pPr>
            <w:r>
              <w:rPr>
                <w:b/>
                <w:bCs w:val="0"/>
              </w:rPr>
              <w:t>参数</w:t>
            </w:r>
          </w:p>
        </w:tc>
        <w:tc>
          <w:tcPr>
            <w:tcW w:w="1468" w:type="pct"/>
            <w:vAlign w:val="center"/>
          </w:tcPr>
          <w:p w14:paraId="71E16B4C">
            <w:pPr>
              <w:pStyle w:val="68"/>
              <w:rPr>
                <w:b/>
                <w:bCs w:val="0"/>
              </w:rPr>
            </w:pPr>
            <w:r>
              <w:rPr>
                <w:b/>
                <w:bCs w:val="0"/>
              </w:rPr>
              <w:t>备注</w:t>
            </w:r>
          </w:p>
        </w:tc>
      </w:tr>
      <w:tr w14:paraId="4DB9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restart"/>
            <w:vAlign w:val="center"/>
          </w:tcPr>
          <w:p w14:paraId="3C0C5EDD">
            <w:pPr>
              <w:pStyle w:val="68"/>
            </w:pPr>
            <w:r>
              <w:t>境界</w:t>
            </w:r>
          </w:p>
        </w:tc>
        <w:tc>
          <w:tcPr>
            <w:tcW w:w="1418" w:type="pct"/>
            <w:vAlign w:val="center"/>
          </w:tcPr>
          <w:p w14:paraId="41A02AB6">
            <w:pPr>
              <w:pStyle w:val="68"/>
            </w:pPr>
            <w:r>
              <w:t>上口尺寸</w:t>
            </w:r>
          </w:p>
        </w:tc>
        <w:tc>
          <w:tcPr>
            <w:tcW w:w="611" w:type="pct"/>
            <w:vMerge w:val="restart"/>
            <w:vAlign w:val="center"/>
          </w:tcPr>
          <w:p w14:paraId="38936D92">
            <w:pPr>
              <w:pStyle w:val="68"/>
            </w:pPr>
            <w:r>
              <w:t>m×m</w:t>
            </w:r>
          </w:p>
        </w:tc>
        <w:tc>
          <w:tcPr>
            <w:tcW w:w="802" w:type="pct"/>
            <w:vAlign w:val="center"/>
          </w:tcPr>
          <w:p w14:paraId="0ADF51A2">
            <w:pPr>
              <w:pStyle w:val="68"/>
              <w:rPr>
                <w:rFonts w:hint="eastAsia"/>
              </w:rPr>
            </w:pPr>
            <w:r>
              <w:rPr>
                <w:rFonts w:hint="eastAsia"/>
              </w:rPr>
              <w:t>672</w:t>
            </w:r>
            <w:r>
              <w:t>×</w:t>
            </w:r>
            <w:r>
              <w:rPr>
                <w:rFonts w:hint="eastAsia"/>
              </w:rPr>
              <w:t>338</w:t>
            </w:r>
          </w:p>
        </w:tc>
        <w:tc>
          <w:tcPr>
            <w:tcW w:w="1468" w:type="pct"/>
            <w:vAlign w:val="center"/>
          </w:tcPr>
          <w:p w14:paraId="344B744A">
            <w:pPr>
              <w:pStyle w:val="68"/>
            </w:pPr>
          </w:p>
        </w:tc>
      </w:tr>
      <w:tr w14:paraId="409A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519340E9">
            <w:pPr>
              <w:pStyle w:val="68"/>
            </w:pPr>
          </w:p>
        </w:tc>
        <w:tc>
          <w:tcPr>
            <w:tcW w:w="1418" w:type="pct"/>
            <w:vAlign w:val="center"/>
          </w:tcPr>
          <w:p w14:paraId="192E1352">
            <w:pPr>
              <w:pStyle w:val="68"/>
            </w:pPr>
            <w:r>
              <w:t>下口尺寸</w:t>
            </w:r>
          </w:p>
        </w:tc>
        <w:tc>
          <w:tcPr>
            <w:tcW w:w="611" w:type="pct"/>
            <w:vMerge w:val="continue"/>
            <w:vAlign w:val="center"/>
          </w:tcPr>
          <w:p w14:paraId="17A8011D">
            <w:pPr>
              <w:pStyle w:val="68"/>
            </w:pPr>
          </w:p>
        </w:tc>
        <w:tc>
          <w:tcPr>
            <w:tcW w:w="802" w:type="pct"/>
            <w:vAlign w:val="center"/>
          </w:tcPr>
          <w:p w14:paraId="233F8496">
            <w:pPr>
              <w:pStyle w:val="68"/>
              <w:rPr>
                <w:rFonts w:hint="eastAsia"/>
              </w:rPr>
            </w:pPr>
            <w:r>
              <w:rPr>
                <w:rFonts w:hint="eastAsia"/>
              </w:rPr>
              <w:t>638</w:t>
            </w:r>
            <w:r>
              <w:t>×</w:t>
            </w:r>
            <w:r>
              <w:rPr>
                <w:rFonts w:hint="eastAsia"/>
              </w:rPr>
              <w:t>334</w:t>
            </w:r>
          </w:p>
        </w:tc>
        <w:tc>
          <w:tcPr>
            <w:tcW w:w="1468" w:type="pct"/>
            <w:vAlign w:val="center"/>
          </w:tcPr>
          <w:p w14:paraId="56CE3A2B">
            <w:pPr>
              <w:pStyle w:val="68"/>
            </w:pPr>
          </w:p>
        </w:tc>
      </w:tr>
      <w:tr w14:paraId="0AF8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32AF4B4C">
            <w:pPr>
              <w:pStyle w:val="68"/>
            </w:pPr>
          </w:p>
        </w:tc>
        <w:tc>
          <w:tcPr>
            <w:tcW w:w="1418" w:type="pct"/>
            <w:vAlign w:val="center"/>
          </w:tcPr>
          <w:p w14:paraId="09E86BBE">
            <w:pPr>
              <w:pStyle w:val="68"/>
            </w:pPr>
            <w:r>
              <w:rPr>
                <w:rFonts w:hint="eastAsia"/>
              </w:rPr>
              <w:t>最高标高</w:t>
            </w:r>
          </w:p>
        </w:tc>
        <w:tc>
          <w:tcPr>
            <w:tcW w:w="611" w:type="pct"/>
            <w:vAlign w:val="center"/>
          </w:tcPr>
          <w:p w14:paraId="347A164A">
            <w:pPr>
              <w:pStyle w:val="68"/>
            </w:pPr>
            <w:r>
              <w:rPr>
                <w:rFonts w:hint="eastAsia"/>
              </w:rPr>
              <w:t>m</w:t>
            </w:r>
          </w:p>
        </w:tc>
        <w:tc>
          <w:tcPr>
            <w:tcW w:w="802" w:type="pct"/>
            <w:vAlign w:val="center"/>
          </w:tcPr>
          <w:p w14:paraId="4AB5EC8C">
            <w:pPr>
              <w:pStyle w:val="68"/>
              <w:rPr>
                <w:rFonts w:hint="eastAsia"/>
              </w:rPr>
            </w:pPr>
            <w:r>
              <w:rPr>
                <w:rFonts w:hint="eastAsia"/>
              </w:rPr>
              <w:t>1613</w:t>
            </w:r>
          </w:p>
        </w:tc>
        <w:tc>
          <w:tcPr>
            <w:tcW w:w="1468" w:type="pct"/>
            <w:vAlign w:val="center"/>
          </w:tcPr>
          <w:p w14:paraId="4040A4A1">
            <w:pPr>
              <w:pStyle w:val="68"/>
            </w:pPr>
          </w:p>
        </w:tc>
      </w:tr>
      <w:tr w14:paraId="503C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33251B28">
            <w:pPr>
              <w:pStyle w:val="68"/>
            </w:pPr>
          </w:p>
        </w:tc>
        <w:tc>
          <w:tcPr>
            <w:tcW w:w="1418" w:type="pct"/>
            <w:vAlign w:val="center"/>
          </w:tcPr>
          <w:p w14:paraId="318F916B">
            <w:pPr>
              <w:pStyle w:val="68"/>
            </w:pPr>
            <w:r>
              <w:rPr>
                <w:rFonts w:hint="eastAsia"/>
              </w:rPr>
              <w:t>最低标高</w:t>
            </w:r>
          </w:p>
        </w:tc>
        <w:tc>
          <w:tcPr>
            <w:tcW w:w="611" w:type="pct"/>
            <w:vAlign w:val="center"/>
          </w:tcPr>
          <w:p w14:paraId="6BCA7F13">
            <w:pPr>
              <w:pStyle w:val="68"/>
            </w:pPr>
            <w:r>
              <w:rPr>
                <w:rFonts w:hint="eastAsia"/>
              </w:rPr>
              <w:t>m</w:t>
            </w:r>
          </w:p>
        </w:tc>
        <w:tc>
          <w:tcPr>
            <w:tcW w:w="802" w:type="pct"/>
            <w:vAlign w:val="center"/>
          </w:tcPr>
          <w:p w14:paraId="5279E780">
            <w:pPr>
              <w:pStyle w:val="68"/>
              <w:rPr>
                <w:rFonts w:hint="eastAsia"/>
              </w:rPr>
            </w:pPr>
            <w:r>
              <w:rPr>
                <w:rFonts w:hint="eastAsia"/>
              </w:rPr>
              <w:t>1565</w:t>
            </w:r>
          </w:p>
        </w:tc>
        <w:tc>
          <w:tcPr>
            <w:tcW w:w="1468" w:type="pct"/>
            <w:vAlign w:val="center"/>
          </w:tcPr>
          <w:p w14:paraId="29B2ED0C">
            <w:pPr>
              <w:pStyle w:val="68"/>
            </w:pPr>
          </w:p>
        </w:tc>
      </w:tr>
      <w:tr w14:paraId="5BAD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23F8F9C5">
            <w:pPr>
              <w:pStyle w:val="68"/>
            </w:pPr>
          </w:p>
        </w:tc>
        <w:tc>
          <w:tcPr>
            <w:tcW w:w="1418" w:type="pct"/>
            <w:vAlign w:val="center"/>
          </w:tcPr>
          <w:p w14:paraId="2192C0DA">
            <w:pPr>
              <w:pStyle w:val="68"/>
            </w:pPr>
            <w:r>
              <w:t>开采深度</w:t>
            </w:r>
          </w:p>
        </w:tc>
        <w:tc>
          <w:tcPr>
            <w:tcW w:w="611" w:type="pct"/>
            <w:vAlign w:val="center"/>
          </w:tcPr>
          <w:p w14:paraId="15FD2D36">
            <w:pPr>
              <w:pStyle w:val="68"/>
            </w:pPr>
            <w:r>
              <w:t>m</w:t>
            </w:r>
          </w:p>
        </w:tc>
        <w:tc>
          <w:tcPr>
            <w:tcW w:w="802" w:type="pct"/>
            <w:vAlign w:val="center"/>
          </w:tcPr>
          <w:p w14:paraId="2CBC2512">
            <w:pPr>
              <w:pStyle w:val="68"/>
              <w:rPr>
                <w:rFonts w:hint="eastAsia"/>
              </w:rPr>
            </w:pPr>
            <w:r>
              <w:rPr>
                <w:rFonts w:hint="eastAsia"/>
              </w:rPr>
              <w:t>89</w:t>
            </w:r>
          </w:p>
        </w:tc>
        <w:tc>
          <w:tcPr>
            <w:tcW w:w="1468" w:type="pct"/>
            <w:vAlign w:val="center"/>
          </w:tcPr>
          <w:p w14:paraId="48E6DCB6">
            <w:pPr>
              <w:pStyle w:val="68"/>
            </w:pPr>
          </w:p>
        </w:tc>
      </w:tr>
      <w:tr w14:paraId="4B2E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730E2F14">
            <w:pPr>
              <w:pStyle w:val="68"/>
            </w:pPr>
          </w:p>
        </w:tc>
        <w:tc>
          <w:tcPr>
            <w:tcW w:w="1418" w:type="pct"/>
            <w:vAlign w:val="center"/>
          </w:tcPr>
          <w:p w14:paraId="02310174">
            <w:pPr>
              <w:pStyle w:val="68"/>
            </w:pPr>
            <w:r>
              <w:rPr>
                <w:rFonts w:hint="eastAsia"/>
              </w:rPr>
              <w:t>边坡高度</w:t>
            </w:r>
          </w:p>
        </w:tc>
        <w:tc>
          <w:tcPr>
            <w:tcW w:w="611" w:type="pct"/>
            <w:vAlign w:val="center"/>
          </w:tcPr>
          <w:p w14:paraId="2D1178C3">
            <w:pPr>
              <w:pStyle w:val="68"/>
            </w:pPr>
            <w:r>
              <w:rPr>
                <w:rFonts w:hint="eastAsia"/>
              </w:rPr>
              <w:t>m</w:t>
            </w:r>
          </w:p>
        </w:tc>
        <w:tc>
          <w:tcPr>
            <w:tcW w:w="802" w:type="pct"/>
            <w:vAlign w:val="center"/>
          </w:tcPr>
          <w:p w14:paraId="12529E79">
            <w:pPr>
              <w:pStyle w:val="68"/>
              <w:rPr>
                <w:rFonts w:hint="eastAsia"/>
              </w:rPr>
            </w:pPr>
            <w:r>
              <w:rPr>
                <w:rFonts w:hint="eastAsia"/>
              </w:rPr>
              <w:t>48</w:t>
            </w:r>
          </w:p>
        </w:tc>
        <w:tc>
          <w:tcPr>
            <w:tcW w:w="1468" w:type="pct"/>
            <w:vAlign w:val="center"/>
          </w:tcPr>
          <w:p w14:paraId="069632F8">
            <w:pPr>
              <w:pStyle w:val="68"/>
            </w:pPr>
          </w:p>
        </w:tc>
      </w:tr>
      <w:tr w14:paraId="0167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restart"/>
            <w:vAlign w:val="center"/>
          </w:tcPr>
          <w:p w14:paraId="7FA0EB46">
            <w:pPr>
              <w:pStyle w:val="68"/>
            </w:pPr>
            <w:r>
              <w:t>台阶</w:t>
            </w:r>
          </w:p>
        </w:tc>
        <w:tc>
          <w:tcPr>
            <w:tcW w:w="1418" w:type="pct"/>
            <w:vAlign w:val="center"/>
          </w:tcPr>
          <w:p w14:paraId="5B6ED6F0">
            <w:pPr>
              <w:pStyle w:val="68"/>
            </w:pPr>
            <w:r>
              <w:t>台阶高度</w:t>
            </w:r>
          </w:p>
        </w:tc>
        <w:tc>
          <w:tcPr>
            <w:tcW w:w="611" w:type="pct"/>
            <w:vAlign w:val="center"/>
          </w:tcPr>
          <w:p w14:paraId="46388E6D">
            <w:pPr>
              <w:pStyle w:val="68"/>
            </w:pPr>
            <w:r>
              <w:t>m</w:t>
            </w:r>
          </w:p>
        </w:tc>
        <w:tc>
          <w:tcPr>
            <w:tcW w:w="802" w:type="pct"/>
            <w:vAlign w:val="center"/>
          </w:tcPr>
          <w:p w14:paraId="02BCD241">
            <w:pPr>
              <w:pStyle w:val="68"/>
            </w:pPr>
            <w:r>
              <w:rPr>
                <w:rFonts w:hint="eastAsia"/>
              </w:rPr>
              <w:t>12</w:t>
            </w:r>
          </w:p>
        </w:tc>
        <w:tc>
          <w:tcPr>
            <w:tcW w:w="1468" w:type="pct"/>
            <w:vAlign w:val="center"/>
          </w:tcPr>
          <w:p w14:paraId="20DAB53F">
            <w:pPr>
              <w:pStyle w:val="68"/>
            </w:pPr>
          </w:p>
        </w:tc>
      </w:tr>
      <w:tr w14:paraId="743C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0D664078">
            <w:pPr>
              <w:pStyle w:val="68"/>
            </w:pPr>
          </w:p>
        </w:tc>
        <w:tc>
          <w:tcPr>
            <w:tcW w:w="1418" w:type="pct"/>
            <w:vAlign w:val="center"/>
          </w:tcPr>
          <w:p w14:paraId="26C3E389">
            <w:pPr>
              <w:pStyle w:val="68"/>
            </w:pPr>
            <w:r>
              <w:t>台阶数量</w:t>
            </w:r>
          </w:p>
        </w:tc>
        <w:tc>
          <w:tcPr>
            <w:tcW w:w="611" w:type="pct"/>
            <w:vAlign w:val="center"/>
          </w:tcPr>
          <w:p w14:paraId="43FCB6A1">
            <w:pPr>
              <w:pStyle w:val="68"/>
            </w:pPr>
            <w:r>
              <w:t>个</w:t>
            </w:r>
          </w:p>
        </w:tc>
        <w:tc>
          <w:tcPr>
            <w:tcW w:w="802" w:type="pct"/>
            <w:vAlign w:val="center"/>
          </w:tcPr>
          <w:p w14:paraId="50F714FE">
            <w:pPr>
              <w:pStyle w:val="68"/>
            </w:pPr>
            <w:r>
              <w:rPr>
                <w:rFonts w:hint="eastAsia"/>
              </w:rPr>
              <w:t>7</w:t>
            </w:r>
          </w:p>
        </w:tc>
        <w:tc>
          <w:tcPr>
            <w:tcW w:w="1468" w:type="pct"/>
            <w:vAlign w:val="center"/>
          </w:tcPr>
          <w:p w14:paraId="31ED35FB">
            <w:pPr>
              <w:pStyle w:val="68"/>
            </w:pPr>
          </w:p>
        </w:tc>
      </w:tr>
      <w:tr w14:paraId="2DCF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579D9929">
            <w:pPr>
              <w:pStyle w:val="68"/>
            </w:pPr>
          </w:p>
        </w:tc>
        <w:tc>
          <w:tcPr>
            <w:tcW w:w="1418" w:type="pct"/>
            <w:vAlign w:val="center"/>
          </w:tcPr>
          <w:p w14:paraId="5409AF9B">
            <w:pPr>
              <w:pStyle w:val="68"/>
            </w:pPr>
            <w:r>
              <w:t>最高台阶标高</w:t>
            </w:r>
          </w:p>
        </w:tc>
        <w:tc>
          <w:tcPr>
            <w:tcW w:w="611" w:type="pct"/>
            <w:vAlign w:val="center"/>
          </w:tcPr>
          <w:p w14:paraId="12A2B4DD">
            <w:pPr>
              <w:pStyle w:val="68"/>
            </w:pPr>
            <w:r>
              <w:t>m</w:t>
            </w:r>
          </w:p>
        </w:tc>
        <w:tc>
          <w:tcPr>
            <w:tcW w:w="802" w:type="pct"/>
            <w:vAlign w:val="center"/>
          </w:tcPr>
          <w:p w14:paraId="070136D0">
            <w:pPr>
              <w:pStyle w:val="68"/>
              <w:rPr>
                <w:rFonts w:hint="eastAsia"/>
              </w:rPr>
            </w:pPr>
            <w:r>
              <w:rPr>
                <w:rFonts w:hint="eastAsia"/>
              </w:rPr>
              <w:t>1601</w:t>
            </w:r>
          </w:p>
        </w:tc>
        <w:tc>
          <w:tcPr>
            <w:tcW w:w="1468" w:type="pct"/>
            <w:vAlign w:val="center"/>
          </w:tcPr>
          <w:p w14:paraId="54A089B3">
            <w:pPr>
              <w:pStyle w:val="68"/>
            </w:pPr>
          </w:p>
        </w:tc>
      </w:tr>
      <w:tr w14:paraId="7E09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0D190340">
            <w:pPr>
              <w:pStyle w:val="68"/>
            </w:pPr>
          </w:p>
        </w:tc>
        <w:tc>
          <w:tcPr>
            <w:tcW w:w="1418" w:type="pct"/>
            <w:vAlign w:val="center"/>
          </w:tcPr>
          <w:p w14:paraId="139E6F11">
            <w:pPr>
              <w:pStyle w:val="68"/>
            </w:pPr>
            <w:r>
              <w:t>最低台阶标高</w:t>
            </w:r>
          </w:p>
        </w:tc>
        <w:tc>
          <w:tcPr>
            <w:tcW w:w="611" w:type="pct"/>
            <w:vAlign w:val="center"/>
          </w:tcPr>
          <w:p w14:paraId="40179739">
            <w:pPr>
              <w:pStyle w:val="68"/>
            </w:pPr>
            <w:r>
              <w:t>m</w:t>
            </w:r>
          </w:p>
        </w:tc>
        <w:tc>
          <w:tcPr>
            <w:tcW w:w="802" w:type="pct"/>
            <w:vAlign w:val="center"/>
          </w:tcPr>
          <w:p w14:paraId="64113A73">
            <w:pPr>
              <w:pStyle w:val="68"/>
              <w:rPr>
                <w:rFonts w:hint="eastAsia"/>
              </w:rPr>
            </w:pPr>
            <w:r>
              <w:rPr>
                <w:rFonts w:hint="eastAsia"/>
              </w:rPr>
              <w:t>1565</w:t>
            </w:r>
          </w:p>
        </w:tc>
        <w:tc>
          <w:tcPr>
            <w:tcW w:w="1468" w:type="pct"/>
            <w:vAlign w:val="center"/>
          </w:tcPr>
          <w:p w14:paraId="03FC3854">
            <w:pPr>
              <w:pStyle w:val="68"/>
            </w:pPr>
          </w:p>
        </w:tc>
      </w:tr>
      <w:tr w14:paraId="48CD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restart"/>
            <w:vAlign w:val="center"/>
          </w:tcPr>
          <w:p w14:paraId="44A46036">
            <w:pPr>
              <w:pStyle w:val="68"/>
            </w:pPr>
            <w:r>
              <w:rPr>
                <w:rFonts w:hint="eastAsia"/>
              </w:rPr>
              <w:t>资源量</w:t>
            </w:r>
          </w:p>
        </w:tc>
        <w:tc>
          <w:tcPr>
            <w:tcW w:w="1418" w:type="pct"/>
            <w:vAlign w:val="center"/>
          </w:tcPr>
          <w:p w14:paraId="7D80D137">
            <w:pPr>
              <w:pStyle w:val="68"/>
            </w:pPr>
            <w:r>
              <w:t>保有资源量</w:t>
            </w:r>
          </w:p>
        </w:tc>
        <w:tc>
          <w:tcPr>
            <w:tcW w:w="611" w:type="pct"/>
            <w:vAlign w:val="center"/>
          </w:tcPr>
          <w:p w14:paraId="51E72BB5">
            <w:pPr>
              <w:pStyle w:val="68"/>
            </w:pPr>
            <w:r>
              <w:t>万t</w:t>
            </w:r>
          </w:p>
        </w:tc>
        <w:tc>
          <w:tcPr>
            <w:tcW w:w="802" w:type="pct"/>
            <w:vAlign w:val="center"/>
          </w:tcPr>
          <w:p w14:paraId="2C849AFE">
            <w:pPr>
              <w:pStyle w:val="68"/>
              <w:rPr>
                <w:rFonts w:hint="eastAsia"/>
              </w:rPr>
            </w:pPr>
            <w:r>
              <w:rPr>
                <w:rFonts w:hint="eastAsia"/>
              </w:rPr>
              <w:t>1956.2</w:t>
            </w:r>
          </w:p>
        </w:tc>
        <w:tc>
          <w:tcPr>
            <w:tcW w:w="1468" w:type="pct"/>
            <w:vAlign w:val="center"/>
          </w:tcPr>
          <w:p w14:paraId="763ACCC0">
            <w:pPr>
              <w:pStyle w:val="68"/>
            </w:pPr>
          </w:p>
        </w:tc>
      </w:tr>
      <w:tr w14:paraId="787E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42F3C736">
            <w:pPr>
              <w:pStyle w:val="68"/>
            </w:pPr>
          </w:p>
        </w:tc>
        <w:tc>
          <w:tcPr>
            <w:tcW w:w="1418" w:type="pct"/>
            <w:vAlign w:val="center"/>
          </w:tcPr>
          <w:p w14:paraId="1ACCFD23">
            <w:pPr>
              <w:pStyle w:val="68"/>
            </w:pPr>
            <w:r>
              <w:t>资源可信系数</w:t>
            </w:r>
          </w:p>
        </w:tc>
        <w:tc>
          <w:tcPr>
            <w:tcW w:w="611" w:type="pct"/>
            <w:vAlign w:val="center"/>
          </w:tcPr>
          <w:p w14:paraId="4517D678">
            <w:pPr>
              <w:pStyle w:val="68"/>
            </w:pPr>
          </w:p>
        </w:tc>
        <w:tc>
          <w:tcPr>
            <w:tcW w:w="802" w:type="pct"/>
            <w:vAlign w:val="center"/>
          </w:tcPr>
          <w:p w14:paraId="3E8BA09F">
            <w:pPr>
              <w:pStyle w:val="68"/>
            </w:pPr>
            <w:r>
              <w:t>1</w:t>
            </w:r>
            <w:r>
              <w:rPr>
                <w:rFonts w:hint="eastAsia"/>
              </w:rPr>
              <w:t>/0.7</w:t>
            </w:r>
          </w:p>
        </w:tc>
        <w:tc>
          <w:tcPr>
            <w:tcW w:w="1468" w:type="pct"/>
            <w:vAlign w:val="center"/>
          </w:tcPr>
          <w:p w14:paraId="0D9DC43D">
            <w:pPr>
              <w:pStyle w:val="68"/>
            </w:pPr>
            <w:r>
              <w:rPr>
                <w:rFonts w:hint="eastAsia"/>
              </w:rPr>
              <w:t>探明、控制/推断</w:t>
            </w:r>
          </w:p>
        </w:tc>
      </w:tr>
      <w:tr w14:paraId="272F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2E662ADB">
            <w:pPr>
              <w:pStyle w:val="68"/>
            </w:pPr>
          </w:p>
        </w:tc>
        <w:tc>
          <w:tcPr>
            <w:tcW w:w="1418" w:type="pct"/>
            <w:vAlign w:val="center"/>
          </w:tcPr>
          <w:p w14:paraId="1709F875">
            <w:pPr>
              <w:pStyle w:val="68"/>
            </w:pPr>
            <w:r>
              <w:t>设计利用资源量</w:t>
            </w:r>
          </w:p>
        </w:tc>
        <w:tc>
          <w:tcPr>
            <w:tcW w:w="611" w:type="pct"/>
            <w:vAlign w:val="center"/>
          </w:tcPr>
          <w:p w14:paraId="748D6642">
            <w:pPr>
              <w:pStyle w:val="68"/>
            </w:pPr>
            <w:r>
              <w:t>万t</w:t>
            </w:r>
          </w:p>
        </w:tc>
        <w:tc>
          <w:tcPr>
            <w:tcW w:w="802" w:type="pct"/>
            <w:noWrap/>
            <w:vAlign w:val="center"/>
          </w:tcPr>
          <w:p w14:paraId="6F98F64C">
            <w:pPr>
              <w:pStyle w:val="68"/>
              <w:rPr>
                <w:rFonts w:hint="eastAsia"/>
              </w:rPr>
            </w:pPr>
            <w:r>
              <w:rPr>
                <w:rFonts w:hint="eastAsia"/>
              </w:rPr>
              <w:t>1806.89</w:t>
            </w:r>
          </w:p>
        </w:tc>
        <w:tc>
          <w:tcPr>
            <w:tcW w:w="1468" w:type="pct"/>
            <w:vAlign w:val="center"/>
          </w:tcPr>
          <w:p w14:paraId="5A2DB96B">
            <w:pPr>
              <w:pStyle w:val="68"/>
            </w:pPr>
          </w:p>
        </w:tc>
      </w:tr>
      <w:tr w14:paraId="0826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645A9045">
            <w:pPr>
              <w:pStyle w:val="68"/>
            </w:pPr>
          </w:p>
        </w:tc>
        <w:tc>
          <w:tcPr>
            <w:tcW w:w="1418" w:type="pct"/>
            <w:vAlign w:val="center"/>
          </w:tcPr>
          <w:p w14:paraId="573CD54D">
            <w:pPr>
              <w:pStyle w:val="68"/>
            </w:pPr>
            <w:r>
              <w:t>设计可采资源量</w:t>
            </w:r>
          </w:p>
        </w:tc>
        <w:tc>
          <w:tcPr>
            <w:tcW w:w="611" w:type="pct"/>
            <w:vAlign w:val="center"/>
          </w:tcPr>
          <w:p w14:paraId="53CFD7D8">
            <w:pPr>
              <w:pStyle w:val="68"/>
            </w:pPr>
            <w:r>
              <w:t>万t</w:t>
            </w:r>
          </w:p>
        </w:tc>
        <w:tc>
          <w:tcPr>
            <w:tcW w:w="802" w:type="pct"/>
            <w:noWrap/>
            <w:vAlign w:val="center"/>
          </w:tcPr>
          <w:p w14:paraId="67985062">
            <w:pPr>
              <w:pStyle w:val="68"/>
              <w:rPr>
                <w:rFonts w:hint="eastAsia"/>
              </w:rPr>
            </w:pPr>
            <w:r>
              <w:rPr>
                <w:rFonts w:hint="eastAsia"/>
              </w:rPr>
              <w:t>1752.68</w:t>
            </w:r>
          </w:p>
        </w:tc>
        <w:tc>
          <w:tcPr>
            <w:tcW w:w="1468" w:type="pct"/>
            <w:vAlign w:val="center"/>
          </w:tcPr>
          <w:p w14:paraId="5950B46A">
            <w:pPr>
              <w:pStyle w:val="68"/>
            </w:pPr>
          </w:p>
        </w:tc>
      </w:tr>
      <w:tr w14:paraId="3A43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4EB1EEA7">
            <w:pPr>
              <w:pStyle w:val="68"/>
            </w:pPr>
          </w:p>
        </w:tc>
        <w:tc>
          <w:tcPr>
            <w:tcW w:w="1418" w:type="pct"/>
            <w:vAlign w:val="center"/>
          </w:tcPr>
          <w:p w14:paraId="3AB95C3C">
            <w:pPr>
              <w:pStyle w:val="68"/>
            </w:pPr>
            <w:r>
              <w:t>采出矿石量</w:t>
            </w:r>
          </w:p>
        </w:tc>
        <w:tc>
          <w:tcPr>
            <w:tcW w:w="611" w:type="pct"/>
            <w:vAlign w:val="center"/>
          </w:tcPr>
          <w:p w14:paraId="74144BCD">
            <w:pPr>
              <w:pStyle w:val="68"/>
            </w:pPr>
            <w:r>
              <w:t>万t</w:t>
            </w:r>
          </w:p>
        </w:tc>
        <w:tc>
          <w:tcPr>
            <w:tcW w:w="802" w:type="pct"/>
            <w:noWrap/>
            <w:vAlign w:val="center"/>
          </w:tcPr>
          <w:p w14:paraId="49ACE7CA">
            <w:pPr>
              <w:pStyle w:val="68"/>
              <w:rPr>
                <w:rFonts w:hint="eastAsia"/>
              </w:rPr>
            </w:pPr>
            <w:r>
              <w:rPr>
                <w:rFonts w:hint="eastAsia"/>
              </w:rPr>
              <w:t>1752.68</w:t>
            </w:r>
          </w:p>
        </w:tc>
        <w:tc>
          <w:tcPr>
            <w:tcW w:w="1468" w:type="pct"/>
            <w:vAlign w:val="center"/>
          </w:tcPr>
          <w:p w14:paraId="09451504">
            <w:pPr>
              <w:pStyle w:val="68"/>
            </w:pPr>
          </w:p>
        </w:tc>
      </w:tr>
      <w:tr w14:paraId="6BA2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restart"/>
            <w:vAlign w:val="center"/>
          </w:tcPr>
          <w:p w14:paraId="61189FC0">
            <w:pPr>
              <w:pStyle w:val="68"/>
            </w:pPr>
            <w:r>
              <w:t>平台</w:t>
            </w:r>
          </w:p>
        </w:tc>
        <w:tc>
          <w:tcPr>
            <w:tcW w:w="1418" w:type="pct"/>
            <w:vAlign w:val="center"/>
          </w:tcPr>
          <w:p w14:paraId="08B560F2">
            <w:pPr>
              <w:pStyle w:val="68"/>
            </w:pPr>
            <w:r>
              <w:t>安全平台宽度</w:t>
            </w:r>
          </w:p>
        </w:tc>
        <w:tc>
          <w:tcPr>
            <w:tcW w:w="611" w:type="pct"/>
            <w:vAlign w:val="center"/>
          </w:tcPr>
          <w:p w14:paraId="3154CF60">
            <w:pPr>
              <w:pStyle w:val="68"/>
            </w:pPr>
            <w:r>
              <w:t>m</w:t>
            </w:r>
          </w:p>
        </w:tc>
        <w:tc>
          <w:tcPr>
            <w:tcW w:w="802" w:type="pct"/>
            <w:vAlign w:val="center"/>
          </w:tcPr>
          <w:p w14:paraId="1DA456D7">
            <w:pPr>
              <w:pStyle w:val="68"/>
            </w:pPr>
            <w:r>
              <w:rPr>
                <w:rFonts w:hint="eastAsia"/>
              </w:rPr>
              <w:t>4</w:t>
            </w:r>
          </w:p>
        </w:tc>
        <w:tc>
          <w:tcPr>
            <w:tcW w:w="1468" w:type="pct"/>
            <w:vAlign w:val="center"/>
          </w:tcPr>
          <w:p w14:paraId="44A43C17">
            <w:pPr>
              <w:pStyle w:val="68"/>
            </w:pPr>
          </w:p>
        </w:tc>
      </w:tr>
      <w:tr w14:paraId="37DC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42875EDB">
            <w:pPr>
              <w:pStyle w:val="68"/>
            </w:pPr>
          </w:p>
        </w:tc>
        <w:tc>
          <w:tcPr>
            <w:tcW w:w="1418" w:type="pct"/>
            <w:vAlign w:val="center"/>
          </w:tcPr>
          <w:p w14:paraId="5E4ED598">
            <w:pPr>
              <w:pStyle w:val="68"/>
            </w:pPr>
            <w:r>
              <w:t>清扫平台宽度</w:t>
            </w:r>
          </w:p>
        </w:tc>
        <w:tc>
          <w:tcPr>
            <w:tcW w:w="611" w:type="pct"/>
            <w:vAlign w:val="center"/>
          </w:tcPr>
          <w:p w14:paraId="1165007D">
            <w:pPr>
              <w:pStyle w:val="68"/>
            </w:pPr>
            <w:r>
              <w:t>m</w:t>
            </w:r>
          </w:p>
        </w:tc>
        <w:tc>
          <w:tcPr>
            <w:tcW w:w="802" w:type="pct"/>
            <w:vAlign w:val="center"/>
          </w:tcPr>
          <w:p w14:paraId="6AD06DD6">
            <w:pPr>
              <w:pStyle w:val="68"/>
            </w:pPr>
            <w:r>
              <w:rPr>
                <w:rFonts w:hint="eastAsia"/>
              </w:rPr>
              <w:t>6</w:t>
            </w:r>
          </w:p>
        </w:tc>
        <w:tc>
          <w:tcPr>
            <w:tcW w:w="1468" w:type="pct"/>
            <w:vAlign w:val="center"/>
          </w:tcPr>
          <w:p w14:paraId="59128DF2">
            <w:pPr>
              <w:pStyle w:val="68"/>
            </w:pPr>
          </w:p>
        </w:tc>
      </w:tr>
      <w:tr w14:paraId="6C5A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32F4F810">
            <w:pPr>
              <w:pStyle w:val="68"/>
            </w:pPr>
          </w:p>
        </w:tc>
        <w:tc>
          <w:tcPr>
            <w:tcW w:w="1418" w:type="pct"/>
            <w:vAlign w:val="center"/>
          </w:tcPr>
          <w:p w14:paraId="7ADD4A9C">
            <w:pPr>
              <w:pStyle w:val="68"/>
            </w:pPr>
            <w:r>
              <w:rPr>
                <w:rFonts w:hint="eastAsia"/>
              </w:rPr>
              <w:t>运输平台宽度</w:t>
            </w:r>
          </w:p>
        </w:tc>
        <w:tc>
          <w:tcPr>
            <w:tcW w:w="611" w:type="pct"/>
            <w:vAlign w:val="center"/>
          </w:tcPr>
          <w:p w14:paraId="168449D8">
            <w:pPr>
              <w:pStyle w:val="68"/>
            </w:pPr>
            <w:r>
              <w:rPr>
                <w:rFonts w:hint="eastAsia"/>
              </w:rPr>
              <w:t>m</w:t>
            </w:r>
          </w:p>
        </w:tc>
        <w:tc>
          <w:tcPr>
            <w:tcW w:w="802" w:type="pct"/>
            <w:vAlign w:val="center"/>
          </w:tcPr>
          <w:p w14:paraId="6C11B104">
            <w:pPr>
              <w:pStyle w:val="68"/>
              <w:rPr>
                <w:rFonts w:hint="eastAsia"/>
              </w:rPr>
            </w:pPr>
            <w:r>
              <w:rPr>
                <w:rFonts w:hint="eastAsia"/>
              </w:rPr>
              <w:t>8</w:t>
            </w:r>
          </w:p>
        </w:tc>
        <w:tc>
          <w:tcPr>
            <w:tcW w:w="1468" w:type="pct"/>
            <w:vAlign w:val="center"/>
          </w:tcPr>
          <w:p w14:paraId="7DC0E694">
            <w:pPr>
              <w:pStyle w:val="68"/>
            </w:pPr>
          </w:p>
        </w:tc>
      </w:tr>
      <w:tr w14:paraId="05A2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13827A75">
            <w:pPr>
              <w:pStyle w:val="68"/>
            </w:pPr>
          </w:p>
        </w:tc>
        <w:tc>
          <w:tcPr>
            <w:tcW w:w="1418" w:type="pct"/>
            <w:vAlign w:val="center"/>
          </w:tcPr>
          <w:p w14:paraId="0FA09600">
            <w:pPr>
              <w:pStyle w:val="68"/>
            </w:pPr>
            <w:r>
              <w:rPr>
                <w:rFonts w:hint="eastAsia"/>
              </w:rPr>
              <w:t>最小工作平台宽度</w:t>
            </w:r>
          </w:p>
        </w:tc>
        <w:tc>
          <w:tcPr>
            <w:tcW w:w="611" w:type="pct"/>
            <w:vAlign w:val="center"/>
          </w:tcPr>
          <w:p w14:paraId="1EA73A05">
            <w:pPr>
              <w:pStyle w:val="68"/>
            </w:pPr>
            <w:r>
              <w:rPr>
                <w:rFonts w:hint="eastAsia"/>
              </w:rPr>
              <w:t>m</w:t>
            </w:r>
          </w:p>
        </w:tc>
        <w:tc>
          <w:tcPr>
            <w:tcW w:w="802" w:type="pct"/>
            <w:vAlign w:val="center"/>
          </w:tcPr>
          <w:p w14:paraId="10699841">
            <w:pPr>
              <w:pStyle w:val="68"/>
            </w:pPr>
            <w:r>
              <w:rPr>
                <w:rFonts w:hint="eastAsia"/>
              </w:rPr>
              <w:t>23</w:t>
            </w:r>
          </w:p>
        </w:tc>
        <w:tc>
          <w:tcPr>
            <w:tcW w:w="1468" w:type="pct"/>
            <w:vAlign w:val="center"/>
          </w:tcPr>
          <w:p w14:paraId="3E029F33">
            <w:pPr>
              <w:pStyle w:val="68"/>
            </w:pPr>
          </w:p>
        </w:tc>
      </w:tr>
      <w:tr w14:paraId="2D86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restart"/>
            <w:vAlign w:val="center"/>
          </w:tcPr>
          <w:p w14:paraId="1DCD5B33">
            <w:pPr>
              <w:pStyle w:val="68"/>
            </w:pPr>
            <w:r>
              <w:t>边坡角</w:t>
            </w:r>
          </w:p>
        </w:tc>
        <w:tc>
          <w:tcPr>
            <w:tcW w:w="1418" w:type="pct"/>
            <w:vAlign w:val="center"/>
          </w:tcPr>
          <w:p w14:paraId="6A3063DB">
            <w:pPr>
              <w:pStyle w:val="68"/>
            </w:pPr>
            <w:r>
              <w:t>台阶坡面角</w:t>
            </w:r>
          </w:p>
        </w:tc>
        <w:tc>
          <w:tcPr>
            <w:tcW w:w="611" w:type="pct"/>
            <w:vAlign w:val="center"/>
          </w:tcPr>
          <w:p w14:paraId="5D73A877">
            <w:pPr>
              <w:pStyle w:val="68"/>
            </w:pPr>
            <w:r>
              <w:t>°</w:t>
            </w:r>
          </w:p>
        </w:tc>
        <w:tc>
          <w:tcPr>
            <w:tcW w:w="802" w:type="pct"/>
            <w:vAlign w:val="center"/>
          </w:tcPr>
          <w:p w14:paraId="3912CA40">
            <w:pPr>
              <w:pStyle w:val="68"/>
            </w:pPr>
            <w:r>
              <w:rPr>
                <w:rFonts w:hint="eastAsia"/>
              </w:rPr>
              <w:t>60</w:t>
            </w:r>
          </w:p>
        </w:tc>
        <w:tc>
          <w:tcPr>
            <w:tcW w:w="1468" w:type="pct"/>
            <w:vAlign w:val="center"/>
          </w:tcPr>
          <w:p w14:paraId="20E5DE1B">
            <w:pPr>
              <w:pStyle w:val="68"/>
            </w:pPr>
          </w:p>
        </w:tc>
      </w:tr>
      <w:tr w14:paraId="29FB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1" w:type="pct"/>
            <w:vMerge w:val="continue"/>
            <w:vAlign w:val="center"/>
          </w:tcPr>
          <w:p w14:paraId="1AB712DD">
            <w:pPr>
              <w:pStyle w:val="68"/>
            </w:pPr>
          </w:p>
        </w:tc>
        <w:tc>
          <w:tcPr>
            <w:tcW w:w="1418" w:type="pct"/>
            <w:vAlign w:val="center"/>
          </w:tcPr>
          <w:p w14:paraId="7C5B60DA">
            <w:pPr>
              <w:pStyle w:val="68"/>
            </w:pPr>
            <w:r>
              <w:t>最终边坡角</w:t>
            </w:r>
          </w:p>
        </w:tc>
        <w:tc>
          <w:tcPr>
            <w:tcW w:w="611" w:type="pct"/>
            <w:vAlign w:val="center"/>
          </w:tcPr>
          <w:p w14:paraId="589F90B7">
            <w:pPr>
              <w:pStyle w:val="68"/>
            </w:pPr>
            <w:r>
              <w:t>°</w:t>
            </w:r>
          </w:p>
        </w:tc>
        <w:tc>
          <w:tcPr>
            <w:tcW w:w="802" w:type="pct"/>
            <w:vAlign w:val="center"/>
          </w:tcPr>
          <w:p w14:paraId="7C7FB0B1">
            <w:pPr>
              <w:pStyle w:val="68"/>
            </w:pPr>
            <w:r>
              <w:rPr>
                <w:rFonts w:hint="eastAsia"/>
              </w:rPr>
              <w:t>≤48</w:t>
            </w:r>
          </w:p>
        </w:tc>
        <w:tc>
          <w:tcPr>
            <w:tcW w:w="1468" w:type="pct"/>
            <w:vAlign w:val="center"/>
          </w:tcPr>
          <w:p w14:paraId="49AA6BF0">
            <w:pPr>
              <w:pStyle w:val="68"/>
            </w:pPr>
          </w:p>
        </w:tc>
      </w:tr>
    </w:tbl>
    <w:p w14:paraId="428E4602">
      <w:pPr>
        <w:pStyle w:val="3"/>
        <w:bidi w:val="0"/>
        <w:rPr>
          <w:rFonts w:hint="default" w:ascii="Times New Roman" w:hAnsi="Times New Roman" w:cs="Times New Roman"/>
          <w:color w:val="000000" w:themeColor="text1"/>
          <w:highlight w:val="none"/>
          <w:lang w:eastAsia="zh-CN"/>
          <w14:textFill>
            <w14:solidFill>
              <w14:schemeClr w14:val="tx1"/>
            </w14:solidFill>
          </w14:textFill>
        </w:rPr>
      </w:pPr>
      <w:bookmarkStart w:id="213" w:name="_Toc6803"/>
      <w:bookmarkStart w:id="214" w:name="_Toc14337"/>
      <w:bookmarkStart w:id="215" w:name="_Toc30130"/>
      <w:r>
        <w:rPr>
          <w:rFonts w:hint="default" w:ascii="Times New Roman" w:hAnsi="Times New Roman" w:cs="Times New Roman"/>
          <w:color w:val="000000" w:themeColor="text1"/>
          <w:highlight w:val="none"/>
          <w:lang w:eastAsia="zh-CN"/>
          <w14:textFill>
            <w14:solidFill>
              <w14:schemeClr w14:val="tx1"/>
            </w14:solidFill>
          </w14:textFill>
        </w:rPr>
        <w:t>开拓运输方案</w:t>
      </w:r>
      <w:bookmarkEnd w:id="213"/>
      <w:bookmarkEnd w:id="214"/>
      <w:bookmarkEnd w:id="215"/>
    </w:p>
    <w:p w14:paraId="122F8576">
      <w:pPr>
        <w:pStyle w:val="5"/>
        <w:bidi w:val="0"/>
      </w:pPr>
      <w:bookmarkStart w:id="216" w:name="_Toc29168"/>
      <w:r>
        <w:t>开拓方案选择的遵循原则</w:t>
      </w:r>
    </w:p>
    <w:p w14:paraId="441FAE2D">
      <w:pPr>
        <w:pStyle w:val="41"/>
        <w:bidi w:val="0"/>
      </w:pPr>
      <w:r>
        <w:rPr>
          <w:rFonts w:hint="eastAsia"/>
        </w:rPr>
        <w:t>（1）</w:t>
      </w:r>
      <w:r>
        <w:t>基建周期短，投产快；</w:t>
      </w:r>
    </w:p>
    <w:p w14:paraId="0E69BD12">
      <w:pPr>
        <w:pStyle w:val="41"/>
        <w:bidi w:val="0"/>
      </w:pPr>
      <w:r>
        <w:rPr>
          <w:rFonts w:hint="eastAsia"/>
        </w:rPr>
        <w:t>（2）</w:t>
      </w:r>
      <w:r>
        <w:t>生产流程简单、可靠，技术先进，节约能源；</w:t>
      </w:r>
    </w:p>
    <w:p w14:paraId="098706B4">
      <w:pPr>
        <w:pStyle w:val="41"/>
        <w:bidi w:val="0"/>
      </w:pPr>
      <w:r>
        <w:rPr>
          <w:rFonts w:hint="eastAsia"/>
        </w:rPr>
        <w:t>（3）</w:t>
      </w:r>
      <w:r>
        <w:t>在确保形成生产能力的前提下，减少基建工程量，节约基建投资；</w:t>
      </w:r>
    </w:p>
    <w:p w14:paraId="1C18CC7C">
      <w:pPr>
        <w:pStyle w:val="41"/>
        <w:bidi w:val="0"/>
      </w:pPr>
      <w:r>
        <w:rPr>
          <w:rFonts w:hint="eastAsia"/>
        </w:rPr>
        <w:t>（4）</w:t>
      </w:r>
      <w:r>
        <w:t>投产后生产经营费用相对较低；</w:t>
      </w:r>
    </w:p>
    <w:p w14:paraId="7E696126">
      <w:pPr>
        <w:pStyle w:val="41"/>
        <w:bidi w:val="0"/>
      </w:pPr>
      <w:r>
        <w:rPr>
          <w:rFonts w:hint="eastAsia"/>
        </w:rPr>
        <w:t>（5）</w:t>
      </w:r>
      <w:r>
        <w:t>充分利用地形高差条件；</w:t>
      </w:r>
    </w:p>
    <w:p w14:paraId="2BC0E02C">
      <w:pPr>
        <w:pStyle w:val="41"/>
        <w:bidi w:val="0"/>
      </w:pPr>
      <w:r>
        <w:rPr>
          <w:rFonts w:hint="eastAsia"/>
        </w:rPr>
        <w:t>（6）</w:t>
      </w:r>
      <w:r>
        <w:t>不占良田，少占耕地与林地；</w:t>
      </w:r>
    </w:p>
    <w:p w14:paraId="2164CB15">
      <w:pPr>
        <w:pStyle w:val="41"/>
        <w:bidi w:val="0"/>
      </w:pPr>
      <w:r>
        <w:rPr>
          <w:rFonts w:hint="eastAsia"/>
        </w:rPr>
        <w:t>（7）</w:t>
      </w:r>
      <w:r>
        <w:t>便于扩大生产规模及后期开拓系统的衔接；</w:t>
      </w:r>
    </w:p>
    <w:p w14:paraId="32CFA8F7">
      <w:pPr>
        <w:pStyle w:val="41"/>
        <w:bidi w:val="0"/>
      </w:pPr>
      <w:r>
        <w:rPr>
          <w:rFonts w:hint="eastAsia"/>
        </w:rPr>
        <w:t>（8）</w:t>
      </w:r>
      <w:r>
        <w:t>改善环保条件，改善操作条件，提高劳动生产力；</w:t>
      </w:r>
    </w:p>
    <w:p w14:paraId="6391D861">
      <w:pPr>
        <w:pStyle w:val="41"/>
        <w:bidi w:val="0"/>
      </w:pPr>
      <w:r>
        <w:rPr>
          <w:rFonts w:hint="eastAsia"/>
        </w:rPr>
        <w:t>（9）</w:t>
      </w:r>
      <w:r>
        <w:t>设备维护检修方便。</w:t>
      </w:r>
    </w:p>
    <w:p w14:paraId="6D26FA78">
      <w:pPr>
        <w:pStyle w:val="5"/>
        <w:bidi w:val="0"/>
      </w:pPr>
      <w:r>
        <w:t>开拓运输方案</w:t>
      </w:r>
    </w:p>
    <w:p w14:paraId="0B63C9C1">
      <w:pPr>
        <w:pStyle w:val="41"/>
        <w:bidi w:val="0"/>
      </w:pPr>
      <w:r>
        <w:rPr>
          <w:rFonts w:hint="eastAsia"/>
        </w:rPr>
        <w:t>结合露天采场内的矿岩量、露天终了境界、外部地形条件、汽车运输运距、</w:t>
      </w:r>
      <w:r>
        <w:t>征地情况</w:t>
      </w:r>
      <w:r>
        <w:rPr>
          <w:rFonts w:hint="eastAsia"/>
        </w:rPr>
        <w:t>等因素，本次设计采用公路-汽车开拓的运输方式，采用载重为</w:t>
      </w:r>
      <w:r>
        <w:rPr>
          <w:rFonts w:hint="eastAsia"/>
          <w:lang w:val="en-US" w:eastAsia="zh-CN"/>
        </w:rPr>
        <w:t>25</w:t>
      </w:r>
      <w:r>
        <w:rPr>
          <w:rFonts w:hint="eastAsia"/>
        </w:rPr>
        <w:t>t的自卸汽车运输矿石至</w:t>
      </w:r>
      <w:r>
        <w:rPr>
          <w:rFonts w:hint="eastAsia"/>
          <w:lang w:eastAsia="zh-CN"/>
        </w:rPr>
        <w:t>加工区</w:t>
      </w:r>
      <w:r>
        <w:rPr>
          <w:rFonts w:hint="eastAsia"/>
        </w:rPr>
        <w:t>卸矿</w:t>
      </w:r>
      <w:r>
        <w:t>平台</w:t>
      </w:r>
      <w:r>
        <w:rPr>
          <w:rFonts w:hint="eastAsia"/>
        </w:rPr>
        <w:t>，平均运距</w:t>
      </w:r>
      <w:r>
        <w:rPr>
          <w:rFonts w:hint="eastAsia"/>
          <w:lang w:val="en-US" w:eastAsia="zh-CN"/>
        </w:rPr>
        <w:t>2</w:t>
      </w:r>
      <w:r>
        <w:rPr>
          <w:rFonts w:hint="eastAsia"/>
        </w:rPr>
        <w:t>km。</w:t>
      </w:r>
    </w:p>
    <w:p w14:paraId="6376C4D8">
      <w:pPr>
        <w:pStyle w:val="5"/>
        <w:bidi w:val="0"/>
      </w:pPr>
      <w:r>
        <w:rPr>
          <w:rFonts w:hint="eastAsia"/>
        </w:rPr>
        <w:t>设计道路</w:t>
      </w:r>
    </w:p>
    <w:p w14:paraId="5D91AD85">
      <w:pPr>
        <w:pStyle w:val="41"/>
        <w:bidi w:val="0"/>
      </w:pPr>
      <w:r>
        <w:t>根据采出矿石量分布，结合矿区现状地形条件、</w:t>
      </w:r>
      <w:r>
        <w:rPr>
          <w:rFonts w:hint="eastAsia"/>
        </w:rPr>
        <w:t>卸矿平台位置</w:t>
      </w:r>
      <w:r>
        <w:t>等，本工程拟定道路</w:t>
      </w:r>
      <w:r>
        <w:rPr>
          <w:rFonts w:hint="eastAsia"/>
        </w:rPr>
        <w:t>采用</w:t>
      </w:r>
      <w:r>
        <w:t>单车道。</w:t>
      </w:r>
    </w:p>
    <w:p w14:paraId="3E89FD0C">
      <w:pPr>
        <w:pStyle w:val="41"/>
        <w:bidi w:val="0"/>
      </w:pPr>
      <w:r>
        <w:rPr>
          <w:rFonts w:hint="eastAsia"/>
        </w:rPr>
        <w:t>开拓道路从卸矿平台1577m标高到达1637m标高，开拓运输道路总长740m，路面宽4m，路基宽6m，运输道路坡度为8.11%，最大纵坡9%，最小转弯半径15m</w:t>
      </w:r>
      <w:r>
        <w:t>。道路</w:t>
      </w:r>
      <w:r>
        <w:rPr>
          <w:rFonts w:hint="eastAsia"/>
        </w:rPr>
        <w:t>邻</w:t>
      </w:r>
      <w:r>
        <w:t>边一侧，设置土质安全</w:t>
      </w:r>
      <w:r>
        <w:rPr>
          <w:rFonts w:hint="eastAsia"/>
          <w:lang w:eastAsia="zh-CN"/>
        </w:rPr>
        <w:t>车挡</w:t>
      </w:r>
      <w:r>
        <w:t>，车</w:t>
      </w:r>
      <w:r>
        <w:rPr>
          <w:rFonts w:hint="eastAsia"/>
          <w:lang w:eastAsia="zh-CN"/>
        </w:rPr>
        <w:t>挡</w:t>
      </w:r>
      <w:r>
        <w:t>设置为梯形</w:t>
      </w:r>
      <w:r>
        <w:rPr>
          <w:rFonts w:hint="eastAsia"/>
        </w:rPr>
        <w:t>，</w:t>
      </w:r>
      <w:r>
        <w:t>高度为1.0m。</w:t>
      </w:r>
    </w:p>
    <w:p w14:paraId="73391F86">
      <w:pPr>
        <w:pStyle w:val="5"/>
        <w:bidi w:val="0"/>
      </w:pPr>
      <w:r>
        <w:t>运输设备选择</w:t>
      </w:r>
    </w:p>
    <w:p w14:paraId="492142AF">
      <w:pPr>
        <w:pStyle w:val="41"/>
        <w:bidi w:val="0"/>
      </w:pPr>
      <w:r>
        <w:rPr>
          <w:rFonts w:hint="eastAsia"/>
        </w:rPr>
        <w:t>设计采用</w:t>
      </w:r>
      <w:r>
        <w:rPr>
          <w:rFonts w:hint="eastAsia"/>
          <w:lang w:val="en-US" w:eastAsia="zh-CN"/>
        </w:rPr>
        <w:t>25</w:t>
      </w:r>
      <w:r>
        <w:rPr>
          <w:rFonts w:hint="eastAsia"/>
        </w:rPr>
        <w:t>t自卸汽车将矿石运至卸矿口。</w:t>
      </w:r>
    </w:p>
    <w:p w14:paraId="5B6F7293">
      <w:pPr>
        <w:pStyle w:val="45"/>
        <w:bidi w:val="0"/>
      </w:pPr>
      <w:r>
        <w:t>表</w:t>
      </w:r>
      <w:r>
        <w:rPr>
          <w:rFonts w:hint="eastAsia"/>
          <w:lang w:val="en-US" w:eastAsia="zh-CN"/>
        </w:rPr>
        <w:t>4.2-1</w:t>
      </w:r>
      <w:r>
        <w:rPr>
          <w:rFonts w:hint="eastAsia"/>
        </w:rPr>
        <w:t>自卸汽车</w:t>
      </w:r>
      <w:r>
        <w:t>主要参数</w:t>
      </w:r>
    </w:p>
    <w:tbl>
      <w:tblPr>
        <w:tblStyle w:val="34"/>
        <w:tblW w:w="5000" w:type="pct"/>
        <w:jc w:val="center"/>
        <w:tblLayout w:type="autofit"/>
        <w:tblCellMar>
          <w:top w:w="0" w:type="dxa"/>
          <w:left w:w="108" w:type="dxa"/>
          <w:bottom w:w="0" w:type="dxa"/>
          <w:right w:w="108" w:type="dxa"/>
        </w:tblCellMar>
      </w:tblPr>
      <w:tblGrid>
        <w:gridCol w:w="1746"/>
        <w:gridCol w:w="719"/>
        <w:gridCol w:w="1995"/>
        <w:gridCol w:w="1464"/>
        <w:gridCol w:w="719"/>
        <w:gridCol w:w="1879"/>
      </w:tblGrid>
      <w:tr w14:paraId="23514C1D">
        <w:tblPrEx>
          <w:tblCellMar>
            <w:top w:w="0" w:type="dxa"/>
            <w:left w:w="108" w:type="dxa"/>
            <w:bottom w:w="0" w:type="dxa"/>
            <w:right w:w="108" w:type="dxa"/>
          </w:tblCellMar>
        </w:tblPrEx>
        <w:trPr>
          <w:trHeight w:val="454" w:hRule="atLeast"/>
          <w:jc w:val="center"/>
        </w:trPr>
        <w:tc>
          <w:tcPr>
            <w:tcW w:w="1024" w:type="pct"/>
            <w:tcBorders>
              <w:top w:val="single" w:color="auto" w:sz="4" w:space="0"/>
              <w:left w:val="single" w:color="auto" w:sz="4" w:space="0"/>
              <w:bottom w:val="single" w:color="auto" w:sz="4" w:space="0"/>
              <w:right w:val="single" w:color="auto" w:sz="4" w:space="0"/>
            </w:tcBorders>
            <w:vAlign w:val="center"/>
          </w:tcPr>
          <w:p w14:paraId="5D8B6012">
            <w:pPr>
              <w:pStyle w:val="43"/>
              <w:bidi w:val="0"/>
              <w:rPr>
                <w:b/>
                <w:bCs/>
              </w:rPr>
            </w:pPr>
            <w:bookmarkStart w:id="217" w:name="_Hlk155546942"/>
            <w:r>
              <w:rPr>
                <w:b/>
                <w:bCs/>
              </w:rPr>
              <w:t>名称</w:t>
            </w:r>
          </w:p>
        </w:tc>
        <w:tc>
          <w:tcPr>
            <w:tcW w:w="422" w:type="pct"/>
            <w:tcBorders>
              <w:top w:val="single" w:color="auto" w:sz="4" w:space="0"/>
              <w:left w:val="nil"/>
              <w:bottom w:val="single" w:color="auto" w:sz="4" w:space="0"/>
              <w:right w:val="single" w:color="auto" w:sz="4" w:space="0"/>
            </w:tcBorders>
            <w:vAlign w:val="center"/>
          </w:tcPr>
          <w:p w14:paraId="46F1773E">
            <w:pPr>
              <w:pStyle w:val="43"/>
              <w:bidi w:val="0"/>
              <w:rPr>
                <w:b/>
                <w:bCs/>
              </w:rPr>
            </w:pPr>
            <w:r>
              <w:rPr>
                <w:b/>
                <w:bCs/>
              </w:rPr>
              <w:t>单位</w:t>
            </w:r>
          </w:p>
        </w:tc>
        <w:tc>
          <w:tcPr>
            <w:tcW w:w="1170" w:type="pct"/>
            <w:tcBorders>
              <w:top w:val="single" w:color="auto" w:sz="4" w:space="0"/>
              <w:left w:val="nil"/>
              <w:bottom w:val="single" w:color="auto" w:sz="4" w:space="0"/>
              <w:right w:val="single" w:color="auto" w:sz="4" w:space="0"/>
            </w:tcBorders>
            <w:vAlign w:val="center"/>
          </w:tcPr>
          <w:p w14:paraId="38786429">
            <w:pPr>
              <w:pStyle w:val="43"/>
              <w:bidi w:val="0"/>
              <w:rPr>
                <w:b/>
                <w:bCs/>
              </w:rPr>
            </w:pPr>
            <w:r>
              <w:rPr>
                <w:b/>
                <w:bCs/>
              </w:rPr>
              <w:t>参数</w:t>
            </w:r>
          </w:p>
        </w:tc>
        <w:tc>
          <w:tcPr>
            <w:tcW w:w="859" w:type="pct"/>
            <w:tcBorders>
              <w:top w:val="single" w:color="auto" w:sz="4" w:space="0"/>
              <w:left w:val="nil"/>
              <w:bottom w:val="single" w:color="auto" w:sz="4" w:space="0"/>
              <w:right w:val="single" w:color="auto" w:sz="4" w:space="0"/>
            </w:tcBorders>
            <w:vAlign w:val="center"/>
          </w:tcPr>
          <w:p w14:paraId="7DA73C2D">
            <w:pPr>
              <w:pStyle w:val="43"/>
              <w:bidi w:val="0"/>
              <w:rPr>
                <w:b/>
                <w:bCs/>
              </w:rPr>
            </w:pPr>
            <w:r>
              <w:rPr>
                <w:b/>
                <w:bCs/>
              </w:rPr>
              <w:t>名称</w:t>
            </w:r>
          </w:p>
        </w:tc>
        <w:tc>
          <w:tcPr>
            <w:tcW w:w="422" w:type="pct"/>
            <w:tcBorders>
              <w:top w:val="single" w:color="auto" w:sz="4" w:space="0"/>
              <w:left w:val="nil"/>
              <w:bottom w:val="single" w:color="auto" w:sz="4" w:space="0"/>
              <w:right w:val="single" w:color="auto" w:sz="4" w:space="0"/>
            </w:tcBorders>
            <w:vAlign w:val="center"/>
          </w:tcPr>
          <w:p w14:paraId="13BC8EE6">
            <w:pPr>
              <w:pStyle w:val="43"/>
              <w:bidi w:val="0"/>
              <w:rPr>
                <w:b/>
                <w:bCs/>
              </w:rPr>
            </w:pPr>
            <w:r>
              <w:rPr>
                <w:b/>
                <w:bCs/>
              </w:rPr>
              <w:t>单位</w:t>
            </w:r>
          </w:p>
        </w:tc>
        <w:tc>
          <w:tcPr>
            <w:tcW w:w="1102" w:type="pct"/>
            <w:tcBorders>
              <w:top w:val="single" w:color="auto" w:sz="4" w:space="0"/>
              <w:left w:val="nil"/>
              <w:bottom w:val="single" w:color="auto" w:sz="4" w:space="0"/>
              <w:right w:val="single" w:color="auto" w:sz="4" w:space="0"/>
            </w:tcBorders>
            <w:vAlign w:val="center"/>
          </w:tcPr>
          <w:p w14:paraId="43C2CD78">
            <w:pPr>
              <w:pStyle w:val="43"/>
              <w:bidi w:val="0"/>
              <w:rPr>
                <w:b/>
                <w:bCs/>
              </w:rPr>
            </w:pPr>
            <w:r>
              <w:rPr>
                <w:b/>
                <w:bCs/>
              </w:rPr>
              <w:t>参数</w:t>
            </w:r>
          </w:p>
        </w:tc>
      </w:tr>
      <w:tr w14:paraId="2BE4E638">
        <w:tblPrEx>
          <w:tblCellMar>
            <w:top w:w="0" w:type="dxa"/>
            <w:left w:w="108" w:type="dxa"/>
            <w:bottom w:w="0" w:type="dxa"/>
            <w:right w:w="108" w:type="dxa"/>
          </w:tblCellMar>
        </w:tblPrEx>
        <w:trPr>
          <w:trHeight w:val="454" w:hRule="atLeast"/>
          <w:jc w:val="center"/>
        </w:trPr>
        <w:tc>
          <w:tcPr>
            <w:tcW w:w="1024" w:type="pct"/>
            <w:tcBorders>
              <w:top w:val="nil"/>
              <w:left w:val="single" w:color="auto" w:sz="4" w:space="0"/>
              <w:bottom w:val="single" w:color="auto" w:sz="4" w:space="0"/>
              <w:right w:val="single" w:color="auto" w:sz="4" w:space="0"/>
            </w:tcBorders>
            <w:vAlign w:val="center"/>
          </w:tcPr>
          <w:p w14:paraId="00E1AE02">
            <w:pPr>
              <w:pStyle w:val="43"/>
              <w:bidi w:val="0"/>
            </w:pPr>
            <w:r>
              <w:t>整车整备质量</w:t>
            </w:r>
          </w:p>
        </w:tc>
        <w:tc>
          <w:tcPr>
            <w:tcW w:w="422" w:type="pct"/>
            <w:tcBorders>
              <w:top w:val="nil"/>
              <w:left w:val="nil"/>
              <w:bottom w:val="single" w:color="auto" w:sz="4" w:space="0"/>
              <w:right w:val="single" w:color="auto" w:sz="4" w:space="0"/>
            </w:tcBorders>
            <w:vAlign w:val="center"/>
          </w:tcPr>
          <w:p w14:paraId="6CDD426A">
            <w:pPr>
              <w:pStyle w:val="43"/>
              <w:bidi w:val="0"/>
            </w:pPr>
            <w:r>
              <w:t>t</w:t>
            </w:r>
          </w:p>
        </w:tc>
        <w:tc>
          <w:tcPr>
            <w:tcW w:w="1170" w:type="pct"/>
            <w:tcBorders>
              <w:top w:val="nil"/>
              <w:left w:val="nil"/>
              <w:bottom w:val="single" w:color="auto" w:sz="4" w:space="0"/>
              <w:right w:val="single" w:color="auto" w:sz="4" w:space="0"/>
            </w:tcBorders>
            <w:vAlign w:val="center"/>
          </w:tcPr>
          <w:p w14:paraId="7F49C57B">
            <w:pPr>
              <w:pStyle w:val="43"/>
              <w:bidi w:val="0"/>
              <w:rPr>
                <w:rFonts w:hint="default"/>
                <w:lang w:val="en-US"/>
              </w:rPr>
            </w:pPr>
            <w:r>
              <w:rPr>
                <w:rFonts w:hint="eastAsia"/>
                <w:lang w:val="en-US" w:eastAsia="zh-CN"/>
              </w:rPr>
              <w:t>30</w:t>
            </w:r>
          </w:p>
        </w:tc>
        <w:tc>
          <w:tcPr>
            <w:tcW w:w="859" w:type="pct"/>
            <w:tcBorders>
              <w:top w:val="nil"/>
              <w:left w:val="nil"/>
              <w:bottom w:val="single" w:color="auto" w:sz="4" w:space="0"/>
              <w:right w:val="single" w:color="auto" w:sz="4" w:space="0"/>
            </w:tcBorders>
            <w:vAlign w:val="center"/>
          </w:tcPr>
          <w:p w14:paraId="4C29F77E">
            <w:pPr>
              <w:pStyle w:val="43"/>
              <w:bidi w:val="0"/>
            </w:pPr>
            <w:r>
              <w:t>爬坡能力</w:t>
            </w:r>
          </w:p>
        </w:tc>
        <w:tc>
          <w:tcPr>
            <w:tcW w:w="422" w:type="pct"/>
            <w:tcBorders>
              <w:top w:val="nil"/>
              <w:left w:val="nil"/>
              <w:bottom w:val="single" w:color="auto" w:sz="4" w:space="0"/>
              <w:right w:val="single" w:color="auto" w:sz="4" w:space="0"/>
            </w:tcBorders>
            <w:vAlign w:val="center"/>
          </w:tcPr>
          <w:p w14:paraId="010887B3">
            <w:pPr>
              <w:pStyle w:val="43"/>
              <w:bidi w:val="0"/>
            </w:pPr>
            <w:r>
              <w:t>%</w:t>
            </w:r>
          </w:p>
        </w:tc>
        <w:tc>
          <w:tcPr>
            <w:tcW w:w="1102" w:type="pct"/>
            <w:tcBorders>
              <w:top w:val="nil"/>
              <w:left w:val="nil"/>
              <w:bottom w:val="single" w:color="auto" w:sz="4" w:space="0"/>
              <w:right w:val="single" w:color="auto" w:sz="4" w:space="0"/>
            </w:tcBorders>
            <w:vAlign w:val="center"/>
          </w:tcPr>
          <w:p w14:paraId="3F4A9939">
            <w:pPr>
              <w:pStyle w:val="43"/>
              <w:bidi w:val="0"/>
            </w:pPr>
            <w:r>
              <w:t>40/26</w:t>
            </w:r>
          </w:p>
        </w:tc>
      </w:tr>
      <w:tr w14:paraId="38584B3C">
        <w:tblPrEx>
          <w:tblCellMar>
            <w:top w:w="0" w:type="dxa"/>
            <w:left w:w="108" w:type="dxa"/>
            <w:bottom w:w="0" w:type="dxa"/>
            <w:right w:w="108" w:type="dxa"/>
          </w:tblCellMar>
        </w:tblPrEx>
        <w:trPr>
          <w:trHeight w:val="454" w:hRule="atLeast"/>
          <w:jc w:val="center"/>
        </w:trPr>
        <w:tc>
          <w:tcPr>
            <w:tcW w:w="1024" w:type="pct"/>
            <w:tcBorders>
              <w:top w:val="nil"/>
              <w:left w:val="single" w:color="auto" w:sz="4" w:space="0"/>
              <w:bottom w:val="single" w:color="auto" w:sz="4" w:space="0"/>
              <w:right w:val="single" w:color="auto" w:sz="4" w:space="0"/>
            </w:tcBorders>
            <w:vAlign w:val="center"/>
          </w:tcPr>
          <w:p w14:paraId="0760AE5D">
            <w:pPr>
              <w:pStyle w:val="43"/>
              <w:bidi w:val="0"/>
            </w:pPr>
            <w:r>
              <w:t>额定载重</w:t>
            </w:r>
          </w:p>
        </w:tc>
        <w:tc>
          <w:tcPr>
            <w:tcW w:w="422" w:type="pct"/>
            <w:tcBorders>
              <w:top w:val="nil"/>
              <w:left w:val="nil"/>
              <w:bottom w:val="single" w:color="auto" w:sz="4" w:space="0"/>
              <w:right w:val="single" w:color="auto" w:sz="4" w:space="0"/>
            </w:tcBorders>
            <w:vAlign w:val="center"/>
          </w:tcPr>
          <w:p w14:paraId="230DEC38">
            <w:pPr>
              <w:pStyle w:val="43"/>
              <w:bidi w:val="0"/>
            </w:pPr>
            <w:r>
              <w:t>t</w:t>
            </w:r>
          </w:p>
        </w:tc>
        <w:tc>
          <w:tcPr>
            <w:tcW w:w="1170" w:type="pct"/>
            <w:tcBorders>
              <w:top w:val="nil"/>
              <w:left w:val="nil"/>
              <w:bottom w:val="single" w:color="auto" w:sz="4" w:space="0"/>
              <w:right w:val="single" w:color="auto" w:sz="4" w:space="0"/>
            </w:tcBorders>
            <w:vAlign w:val="center"/>
          </w:tcPr>
          <w:p w14:paraId="682BF04A">
            <w:pPr>
              <w:pStyle w:val="43"/>
              <w:bidi w:val="0"/>
              <w:rPr>
                <w:rFonts w:hint="default" w:eastAsia="宋体"/>
                <w:lang w:val="en-US" w:eastAsia="zh-CN"/>
              </w:rPr>
            </w:pPr>
            <w:r>
              <w:rPr>
                <w:rFonts w:hint="eastAsia"/>
                <w:lang w:val="en-US" w:eastAsia="zh-CN"/>
              </w:rPr>
              <w:t>25</w:t>
            </w:r>
          </w:p>
        </w:tc>
        <w:tc>
          <w:tcPr>
            <w:tcW w:w="859" w:type="pct"/>
            <w:tcBorders>
              <w:top w:val="nil"/>
              <w:left w:val="nil"/>
              <w:bottom w:val="single" w:color="auto" w:sz="4" w:space="0"/>
              <w:right w:val="single" w:color="auto" w:sz="4" w:space="0"/>
            </w:tcBorders>
            <w:vAlign w:val="center"/>
          </w:tcPr>
          <w:p w14:paraId="78AE3FD0">
            <w:pPr>
              <w:pStyle w:val="43"/>
              <w:bidi w:val="0"/>
            </w:pPr>
            <w:r>
              <w:t>发动机</w:t>
            </w:r>
          </w:p>
        </w:tc>
        <w:tc>
          <w:tcPr>
            <w:tcW w:w="422" w:type="pct"/>
            <w:tcBorders>
              <w:top w:val="nil"/>
              <w:left w:val="nil"/>
              <w:bottom w:val="single" w:color="auto" w:sz="4" w:space="0"/>
              <w:right w:val="single" w:color="auto" w:sz="4" w:space="0"/>
            </w:tcBorders>
            <w:vAlign w:val="center"/>
          </w:tcPr>
          <w:p w14:paraId="4FD31535">
            <w:pPr>
              <w:pStyle w:val="43"/>
              <w:bidi w:val="0"/>
            </w:pPr>
          </w:p>
        </w:tc>
        <w:tc>
          <w:tcPr>
            <w:tcW w:w="1102" w:type="pct"/>
            <w:tcBorders>
              <w:top w:val="nil"/>
              <w:left w:val="nil"/>
              <w:bottom w:val="single" w:color="auto" w:sz="4" w:space="0"/>
              <w:right w:val="single" w:color="auto" w:sz="4" w:space="0"/>
            </w:tcBorders>
            <w:vAlign w:val="center"/>
          </w:tcPr>
          <w:p w14:paraId="6FE17BD3">
            <w:pPr>
              <w:pStyle w:val="43"/>
              <w:bidi w:val="0"/>
            </w:pPr>
            <w:r>
              <w:t>潍柴WD12.375</w:t>
            </w:r>
          </w:p>
        </w:tc>
      </w:tr>
      <w:tr w14:paraId="0EFA907E">
        <w:tblPrEx>
          <w:tblCellMar>
            <w:top w:w="0" w:type="dxa"/>
            <w:left w:w="108" w:type="dxa"/>
            <w:bottom w:w="0" w:type="dxa"/>
            <w:right w:w="108" w:type="dxa"/>
          </w:tblCellMar>
        </w:tblPrEx>
        <w:trPr>
          <w:trHeight w:val="454" w:hRule="atLeast"/>
          <w:jc w:val="center"/>
        </w:trPr>
        <w:tc>
          <w:tcPr>
            <w:tcW w:w="1024" w:type="pct"/>
            <w:tcBorders>
              <w:top w:val="nil"/>
              <w:left w:val="single" w:color="auto" w:sz="4" w:space="0"/>
              <w:bottom w:val="single" w:color="auto" w:sz="4" w:space="0"/>
              <w:right w:val="single" w:color="auto" w:sz="4" w:space="0"/>
            </w:tcBorders>
            <w:vAlign w:val="center"/>
          </w:tcPr>
          <w:p w14:paraId="2E4B00C2">
            <w:pPr>
              <w:pStyle w:val="43"/>
              <w:bidi w:val="0"/>
            </w:pPr>
            <w:r>
              <w:t>外形尺寸</w:t>
            </w:r>
          </w:p>
          <w:p w14:paraId="0E68E2A7">
            <w:pPr>
              <w:pStyle w:val="43"/>
              <w:bidi w:val="0"/>
            </w:pPr>
            <w:r>
              <w:t>（长×宽×高）</w:t>
            </w:r>
          </w:p>
        </w:tc>
        <w:tc>
          <w:tcPr>
            <w:tcW w:w="422" w:type="pct"/>
            <w:tcBorders>
              <w:top w:val="nil"/>
              <w:left w:val="nil"/>
              <w:bottom w:val="single" w:color="auto" w:sz="4" w:space="0"/>
              <w:right w:val="single" w:color="auto" w:sz="4" w:space="0"/>
            </w:tcBorders>
            <w:vAlign w:val="center"/>
          </w:tcPr>
          <w:p w14:paraId="68CBE1C7">
            <w:pPr>
              <w:pStyle w:val="43"/>
              <w:bidi w:val="0"/>
            </w:pPr>
            <w:r>
              <w:t>mm</w:t>
            </w:r>
          </w:p>
        </w:tc>
        <w:tc>
          <w:tcPr>
            <w:tcW w:w="1170" w:type="pct"/>
            <w:tcBorders>
              <w:top w:val="nil"/>
              <w:left w:val="nil"/>
              <w:bottom w:val="single" w:color="auto" w:sz="4" w:space="0"/>
              <w:right w:val="single" w:color="auto" w:sz="4" w:space="0"/>
            </w:tcBorders>
            <w:vAlign w:val="center"/>
          </w:tcPr>
          <w:p w14:paraId="70A18993">
            <w:pPr>
              <w:pStyle w:val="43"/>
              <w:bidi w:val="0"/>
            </w:pPr>
            <w:r>
              <w:t>8400×2500×3500</w:t>
            </w:r>
          </w:p>
        </w:tc>
        <w:tc>
          <w:tcPr>
            <w:tcW w:w="859" w:type="pct"/>
            <w:tcBorders>
              <w:top w:val="nil"/>
              <w:left w:val="nil"/>
              <w:bottom w:val="single" w:color="auto" w:sz="4" w:space="0"/>
              <w:right w:val="single" w:color="auto" w:sz="4" w:space="0"/>
            </w:tcBorders>
            <w:vAlign w:val="center"/>
          </w:tcPr>
          <w:p w14:paraId="0027B708">
            <w:pPr>
              <w:pStyle w:val="43"/>
              <w:bidi w:val="0"/>
            </w:pPr>
            <w:r>
              <w:t>发动机功率</w:t>
            </w:r>
          </w:p>
        </w:tc>
        <w:tc>
          <w:tcPr>
            <w:tcW w:w="422" w:type="pct"/>
            <w:tcBorders>
              <w:top w:val="nil"/>
              <w:left w:val="nil"/>
              <w:bottom w:val="single" w:color="auto" w:sz="4" w:space="0"/>
              <w:right w:val="single" w:color="auto" w:sz="4" w:space="0"/>
            </w:tcBorders>
            <w:vAlign w:val="center"/>
          </w:tcPr>
          <w:p w14:paraId="0EA54D4E">
            <w:pPr>
              <w:pStyle w:val="43"/>
              <w:bidi w:val="0"/>
            </w:pPr>
            <w:r>
              <w:rPr>
                <w:rFonts w:hint="eastAsia"/>
                <w:lang w:eastAsia="zh-CN"/>
              </w:rPr>
              <w:t>kW</w:t>
            </w:r>
          </w:p>
        </w:tc>
        <w:tc>
          <w:tcPr>
            <w:tcW w:w="1102" w:type="pct"/>
            <w:tcBorders>
              <w:top w:val="nil"/>
              <w:left w:val="nil"/>
              <w:bottom w:val="single" w:color="auto" w:sz="4" w:space="0"/>
              <w:right w:val="single" w:color="auto" w:sz="4" w:space="0"/>
            </w:tcBorders>
            <w:vAlign w:val="center"/>
          </w:tcPr>
          <w:p w14:paraId="769360EE">
            <w:pPr>
              <w:pStyle w:val="43"/>
              <w:bidi w:val="0"/>
            </w:pPr>
            <w:r>
              <w:t>300</w:t>
            </w:r>
          </w:p>
        </w:tc>
      </w:tr>
      <w:bookmarkEnd w:id="217"/>
    </w:tbl>
    <w:p w14:paraId="2B87DA98">
      <w:pPr>
        <w:pStyle w:val="41"/>
        <w:bidi w:val="0"/>
      </w:pPr>
      <w:r>
        <w:rPr>
          <w:rFonts w:hint="eastAsia"/>
        </w:rPr>
        <w:t>本次</w:t>
      </w:r>
      <w:r>
        <w:rPr>
          <w:rFonts w:hint="eastAsia"/>
          <w:lang w:val="en-US" w:eastAsia="zh-CN"/>
        </w:rPr>
        <w:t>矿山</w:t>
      </w:r>
      <w:r>
        <w:rPr>
          <w:rFonts w:hint="eastAsia"/>
        </w:rPr>
        <w:t>设计</w:t>
      </w:r>
      <w:r>
        <w:rPr>
          <w:rFonts w:hint="eastAsia"/>
          <w:lang w:val="en-US" w:eastAsia="zh-CN"/>
        </w:rPr>
        <w:t>5</w:t>
      </w:r>
      <w:r>
        <w:rPr>
          <w:rFonts w:hint="eastAsia"/>
        </w:rPr>
        <w:t>辆</w:t>
      </w:r>
      <w:r>
        <w:t>载重量</w:t>
      </w:r>
      <w:r>
        <w:rPr>
          <w:rFonts w:hint="eastAsia"/>
          <w:lang w:val="en-US" w:eastAsia="zh-CN"/>
        </w:rPr>
        <w:t>25</w:t>
      </w:r>
      <w:r>
        <w:t>t</w:t>
      </w:r>
      <w:r>
        <w:rPr>
          <w:rFonts w:hint="eastAsia"/>
        </w:rPr>
        <w:t>自卸式汽车进行运输。</w:t>
      </w:r>
    </w:p>
    <w:p w14:paraId="415F25F5">
      <w:pPr>
        <w:pStyle w:val="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采剥工艺</w:t>
      </w:r>
      <w:bookmarkEnd w:id="216"/>
    </w:p>
    <w:p w14:paraId="67915E53">
      <w:pPr>
        <w:pStyle w:val="4"/>
        <w:bidi w:val="0"/>
        <w:rPr>
          <w:rFonts w:hint="default"/>
          <w:lang w:val="en-US" w:eastAsia="zh-CN"/>
        </w:rPr>
      </w:pPr>
      <w:bookmarkStart w:id="218" w:name="_Toc23145"/>
      <w:bookmarkStart w:id="219" w:name="_Toc224443278"/>
      <w:r>
        <w:rPr>
          <w:rFonts w:hint="default"/>
          <w:lang w:val="en-US" w:eastAsia="zh-CN"/>
        </w:rPr>
        <w:t>采剥工艺</w:t>
      </w:r>
      <w:bookmarkEnd w:id="218"/>
      <w:bookmarkEnd w:id="219"/>
    </w:p>
    <w:p w14:paraId="2A089818">
      <w:pPr>
        <w:pStyle w:val="41"/>
        <w:bidi w:val="0"/>
      </w:pPr>
      <w:bookmarkStart w:id="220" w:name="_Hlk165214049"/>
      <w:r>
        <w:t>根据矿区地形地貌特征、矿体赋存特点、选定的开拓运输方式等因素，设计采用沿矿体长轴方向布置工作面。自上而下分层开采，采剥并举，剥离先行，采用缓帮作业。工作线推进方式为自上而下。</w:t>
      </w:r>
    </w:p>
    <w:p w14:paraId="26BF998D">
      <w:pPr>
        <w:pStyle w:val="41"/>
        <w:bidi w:val="0"/>
      </w:pPr>
      <w:r>
        <w:t>新水平准备：</w:t>
      </w:r>
      <w:r>
        <w:rPr>
          <w:rFonts w:hint="eastAsia"/>
        </w:rPr>
        <w:t>运输道路</w:t>
      </w:r>
      <w:r>
        <w:t>布线方式采用</w:t>
      </w:r>
      <w:r>
        <w:rPr>
          <w:rFonts w:hint="eastAsia"/>
        </w:rPr>
        <w:t>折返式</w:t>
      </w:r>
      <w:r>
        <w:t>公路，顺地形推进回采工作面。各开采水平的矿石由挖掘机</w:t>
      </w:r>
      <w:r>
        <w:rPr>
          <w:rFonts w:hint="eastAsia"/>
        </w:rPr>
        <w:t>二次破碎后装车</w:t>
      </w:r>
      <w:r>
        <w:t>运往矿区</w:t>
      </w:r>
      <w:r>
        <w:rPr>
          <w:rFonts w:hint="eastAsia"/>
          <w:lang w:eastAsia="zh-CN"/>
        </w:rPr>
        <w:t>加工区</w:t>
      </w:r>
      <w:r>
        <w:t>，剥离物</w:t>
      </w:r>
      <w:r>
        <w:rPr>
          <w:rFonts w:hint="eastAsia"/>
        </w:rPr>
        <w:t>表土</w:t>
      </w:r>
      <w:r>
        <w:t>运往采场</w:t>
      </w:r>
      <w:r>
        <w:rPr>
          <w:rFonts w:hint="eastAsia"/>
        </w:rPr>
        <w:t>南部</w:t>
      </w:r>
      <w:r>
        <w:t>的</w:t>
      </w:r>
      <w:r>
        <w:rPr>
          <w:rFonts w:hint="eastAsia"/>
        </w:rPr>
        <w:t>临时表土堆场堆放</w:t>
      </w:r>
      <w:r>
        <w:t>。</w:t>
      </w:r>
    </w:p>
    <w:p w14:paraId="1F727EFB">
      <w:pPr>
        <w:pStyle w:val="41"/>
        <w:bidi w:val="0"/>
      </w:pPr>
      <w:r>
        <w:rPr>
          <w:rFonts w:hint="eastAsia"/>
        </w:rPr>
        <w:t>设计1</w:t>
      </w:r>
      <w:r>
        <w:t>个</w:t>
      </w:r>
      <w:r>
        <w:rPr>
          <w:rFonts w:hint="eastAsia"/>
        </w:rPr>
        <w:t>工作面</w:t>
      </w:r>
      <w:r>
        <w:t>开采，自上而下进行剥离和采矿作业，</w:t>
      </w:r>
      <w:r>
        <w:rPr>
          <w:rFonts w:hint="eastAsia"/>
        </w:rPr>
        <w:t>台阶</w:t>
      </w:r>
      <w:r>
        <w:t>高度</w:t>
      </w:r>
      <w:r>
        <w:rPr>
          <w:rFonts w:hint="eastAsia"/>
        </w:rPr>
        <w:t>12</w:t>
      </w:r>
      <w:r>
        <w:t>m。</w:t>
      </w:r>
      <w:r>
        <w:rPr>
          <w:rFonts w:hint="eastAsia"/>
        </w:rPr>
        <w:t>露天境界内最高点位于矿区中部，根据二级矿量要求，设计基建期将顶部1637m平台推平，形成1625m基建平台。本次设计台阶坡面角为60</w:t>
      </w:r>
      <w:r>
        <w:t>°</w:t>
      </w:r>
      <w:r>
        <w:rPr>
          <w:rFonts w:hint="eastAsia"/>
        </w:rPr>
        <w:t>。</w:t>
      </w:r>
      <w:r>
        <w:t>工作面主要推进方向为由</w:t>
      </w:r>
      <w:r>
        <w:rPr>
          <w:rFonts w:hint="eastAsia"/>
        </w:rPr>
        <w:t>南</w:t>
      </w:r>
      <w:r>
        <w:t>向</w:t>
      </w:r>
      <w:r>
        <w:rPr>
          <w:rFonts w:hint="eastAsia"/>
        </w:rPr>
        <w:t>北推进</w:t>
      </w:r>
      <w:r>
        <w:t>。</w:t>
      </w:r>
    </w:p>
    <w:p w14:paraId="067E24F9">
      <w:pPr>
        <w:pStyle w:val="41"/>
        <w:bidi w:val="0"/>
      </w:pPr>
      <w:r>
        <w:t>如</w:t>
      </w:r>
      <w:r>
        <w:rPr>
          <w:rFonts w:hint="eastAsia"/>
        </w:rPr>
        <w:t>果</w:t>
      </w:r>
      <w:r>
        <w:t>同时多平台回采，上下台阶不同地段作业位置相距不得小于50m，必须遵守露天矿相关安全规程。</w:t>
      </w:r>
    </w:p>
    <w:p w14:paraId="3EE02B99">
      <w:pPr>
        <w:pStyle w:val="4"/>
        <w:bidi w:val="0"/>
      </w:pPr>
      <w:bookmarkStart w:id="221" w:name="_Toc118385918"/>
      <w:bookmarkStart w:id="222" w:name="_Toc118385826"/>
      <w:bookmarkStart w:id="223" w:name="_Toc140073189"/>
      <w:bookmarkStart w:id="224" w:name="_Toc48827816"/>
      <w:r>
        <w:t>铲装作业</w:t>
      </w:r>
      <w:bookmarkEnd w:id="221"/>
      <w:bookmarkEnd w:id="222"/>
      <w:bookmarkEnd w:id="223"/>
    </w:p>
    <w:p w14:paraId="73FCA8AF">
      <w:pPr>
        <w:pStyle w:val="41"/>
        <w:bidi w:val="0"/>
        <w:rPr>
          <w:rFonts w:hint="eastAsia"/>
        </w:rPr>
      </w:pPr>
      <w:bookmarkStart w:id="225" w:name="_Hlk187697180"/>
      <w:r>
        <w:t>铲装作业主要选用</w:t>
      </w:r>
      <w:r>
        <w:rPr>
          <w:rFonts w:hint="eastAsia"/>
          <w:lang w:val="en-US" w:eastAsia="zh-CN"/>
        </w:rPr>
        <w:t>液压</w:t>
      </w:r>
      <w:r>
        <w:t>挖掘机作为采场主要铲装设备，配</w:t>
      </w:r>
      <w:r>
        <w:rPr>
          <w:rFonts w:hint="eastAsia"/>
          <w:lang w:val="en-US" w:eastAsia="zh-CN"/>
        </w:rPr>
        <w:t>25</w:t>
      </w:r>
      <w:r>
        <w:t>t自卸汽车。</w:t>
      </w:r>
      <w:bookmarkEnd w:id="225"/>
      <w:r>
        <w:t>本次设计选用</w:t>
      </w:r>
      <w:r>
        <w:rPr>
          <w:rFonts w:hint="eastAsia"/>
          <w:lang w:val="en-US" w:eastAsia="zh-CN"/>
        </w:rPr>
        <w:t>4</w:t>
      </w:r>
      <w:r>
        <w:t>台</w:t>
      </w:r>
      <w:r>
        <w:rPr>
          <w:rFonts w:hint="eastAsia"/>
          <w:lang w:val="en-US" w:eastAsia="zh-CN"/>
        </w:rPr>
        <w:t>液压</w:t>
      </w:r>
      <w:r>
        <w:t>挖掘机作为采场主要铲装设备。</w:t>
      </w:r>
    </w:p>
    <w:p w14:paraId="07928BA2">
      <w:pPr>
        <w:pStyle w:val="4"/>
        <w:bidi w:val="0"/>
      </w:pPr>
      <w:bookmarkStart w:id="226" w:name="_Toc173012523"/>
      <w:r>
        <w:rPr>
          <w:rFonts w:hint="eastAsia"/>
        </w:rPr>
        <w:t>穿孔作业</w:t>
      </w:r>
      <w:bookmarkEnd w:id="226"/>
    </w:p>
    <w:p w14:paraId="1C037D27">
      <w:pPr>
        <w:pStyle w:val="41"/>
        <w:bidi w:val="0"/>
        <w:rPr>
          <w:b/>
          <w:bCs/>
        </w:rPr>
      </w:pPr>
      <w:r>
        <w:rPr>
          <w:rFonts w:hint="eastAsia"/>
          <w:b/>
          <w:bCs/>
          <w:lang w:eastAsia="zh-CN"/>
        </w:rPr>
        <w:t>（</w:t>
      </w:r>
      <w:r>
        <w:rPr>
          <w:rFonts w:hint="eastAsia"/>
          <w:b/>
          <w:bCs/>
          <w:lang w:val="en-US" w:eastAsia="zh-CN"/>
        </w:rPr>
        <w:t>1）</w:t>
      </w:r>
      <w:r>
        <w:rPr>
          <w:rFonts w:hint="eastAsia"/>
          <w:b/>
          <w:bCs/>
        </w:rPr>
        <w:t>穿孔设备</w:t>
      </w:r>
    </w:p>
    <w:p w14:paraId="4CE50218">
      <w:pPr>
        <w:pStyle w:val="41"/>
        <w:bidi w:val="0"/>
        <w:rPr>
          <w:highlight w:val="none"/>
        </w:rPr>
      </w:pPr>
      <w:bookmarkStart w:id="227" w:name="_Hlk140058742"/>
      <w:r>
        <w:rPr>
          <w:highlight w:val="none"/>
        </w:rPr>
        <w:t>根据矿岩物理机械性质、岩石的完整性特点，以及矿山的生产规模，矿山</w:t>
      </w:r>
      <w:bookmarkStart w:id="228" w:name="OLE_LINK2"/>
      <w:r>
        <w:rPr>
          <w:rFonts w:hint="eastAsia"/>
          <w:highlight w:val="none"/>
        </w:rPr>
        <w:t>设计采用1</w:t>
      </w:r>
      <w:r>
        <w:rPr>
          <w:highlight w:val="none"/>
        </w:rPr>
        <w:t>台</w:t>
      </w:r>
      <w:bookmarkEnd w:id="228"/>
      <w:r>
        <w:rPr>
          <w:rFonts w:hint="eastAsia"/>
          <w:highlight w:val="none"/>
        </w:rPr>
        <w:t>高风压潜孔钻机CCM680</w:t>
      </w:r>
      <w:r>
        <w:rPr>
          <w:highlight w:val="none"/>
        </w:rPr>
        <w:t>。设备参数见下表</w:t>
      </w:r>
      <w:r>
        <w:rPr>
          <w:rFonts w:hint="eastAsia"/>
          <w:highlight w:val="none"/>
          <w:lang w:val="en-US" w:eastAsia="zh-CN"/>
        </w:rPr>
        <w:t>4.3-2</w:t>
      </w:r>
      <w:r>
        <w:rPr>
          <w:highlight w:val="none"/>
        </w:rPr>
        <w:t>。</w:t>
      </w:r>
    </w:p>
    <w:p w14:paraId="088E2867">
      <w:pPr>
        <w:pStyle w:val="45"/>
        <w:bidi w:val="0"/>
        <w:rPr>
          <w:highlight w:val="none"/>
        </w:rPr>
      </w:pPr>
      <w:r>
        <w:rPr>
          <w:highlight w:val="none"/>
        </w:rPr>
        <w:t>表</w:t>
      </w:r>
      <w:r>
        <w:rPr>
          <w:rFonts w:hint="eastAsia"/>
          <w:highlight w:val="none"/>
          <w:lang w:val="en-US" w:eastAsia="zh-CN"/>
        </w:rPr>
        <w:t>4.3-2</w:t>
      </w:r>
      <w:r>
        <w:rPr>
          <w:highlight w:val="none"/>
        </w:rPr>
        <w:t>设备参数表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55"/>
        <w:gridCol w:w="1213"/>
        <w:gridCol w:w="1213"/>
        <w:gridCol w:w="1213"/>
        <w:gridCol w:w="1497"/>
        <w:gridCol w:w="1213"/>
        <w:gridCol w:w="612"/>
      </w:tblGrid>
      <w:tr w14:paraId="3AD1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pct"/>
            <w:vAlign w:val="center"/>
          </w:tcPr>
          <w:p w14:paraId="50B0B2C3">
            <w:pPr>
              <w:pStyle w:val="43"/>
              <w:bidi w:val="0"/>
              <w:rPr>
                <w:b/>
                <w:bCs/>
                <w:highlight w:val="none"/>
              </w:rPr>
            </w:pPr>
            <w:bookmarkStart w:id="229" w:name="_Hlk148963466"/>
            <w:r>
              <w:rPr>
                <w:b/>
                <w:bCs/>
                <w:highlight w:val="none"/>
              </w:rPr>
              <w:t>型号</w:t>
            </w:r>
          </w:p>
        </w:tc>
        <w:tc>
          <w:tcPr>
            <w:tcW w:w="729" w:type="pct"/>
            <w:vAlign w:val="center"/>
          </w:tcPr>
          <w:p w14:paraId="25C6B749">
            <w:pPr>
              <w:pStyle w:val="43"/>
              <w:bidi w:val="0"/>
              <w:rPr>
                <w:b/>
                <w:bCs/>
                <w:highlight w:val="none"/>
              </w:rPr>
            </w:pPr>
            <w:r>
              <w:rPr>
                <w:b/>
                <w:bCs/>
                <w:highlight w:val="none"/>
              </w:rPr>
              <w:t>钻孔直径</w:t>
            </w:r>
          </w:p>
          <w:p w14:paraId="53723A32">
            <w:pPr>
              <w:pStyle w:val="43"/>
              <w:bidi w:val="0"/>
              <w:rPr>
                <w:b/>
                <w:bCs/>
                <w:highlight w:val="none"/>
              </w:rPr>
            </w:pPr>
            <w:r>
              <w:rPr>
                <w:b/>
                <w:bCs/>
                <w:highlight w:val="none"/>
              </w:rPr>
              <w:t>（mm</w:t>
            </w:r>
            <w:r>
              <w:rPr>
                <w:rFonts w:hint="eastAsia"/>
                <w:b/>
                <w:bCs/>
                <w:highlight w:val="none"/>
                <w:lang w:eastAsia="zh-CN"/>
              </w:rPr>
              <w:t>)</w:t>
            </w:r>
          </w:p>
        </w:tc>
        <w:tc>
          <w:tcPr>
            <w:tcW w:w="729" w:type="pct"/>
            <w:vAlign w:val="center"/>
          </w:tcPr>
          <w:p w14:paraId="602F5F5D">
            <w:pPr>
              <w:pStyle w:val="43"/>
              <w:bidi w:val="0"/>
              <w:rPr>
                <w:b/>
                <w:bCs/>
                <w:highlight w:val="none"/>
              </w:rPr>
            </w:pPr>
            <w:r>
              <w:rPr>
                <w:b/>
                <w:bCs/>
                <w:highlight w:val="none"/>
              </w:rPr>
              <w:t>钻孔深度</w:t>
            </w:r>
          </w:p>
          <w:p w14:paraId="146A4C67">
            <w:pPr>
              <w:pStyle w:val="43"/>
              <w:bidi w:val="0"/>
              <w:rPr>
                <w:b/>
                <w:bCs/>
                <w:highlight w:val="none"/>
              </w:rPr>
            </w:pPr>
            <w:r>
              <w:rPr>
                <w:b/>
                <w:bCs/>
                <w:highlight w:val="none"/>
              </w:rPr>
              <w:t>（m</w:t>
            </w:r>
            <w:r>
              <w:rPr>
                <w:rFonts w:hint="eastAsia"/>
                <w:b/>
                <w:bCs/>
                <w:highlight w:val="none"/>
                <w:lang w:eastAsia="zh-CN"/>
              </w:rPr>
              <w:t>)</w:t>
            </w:r>
          </w:p>
        </w:tc>
        <w:tc>
          <w:tcPr>
            <w:tcW w:w="729" w:type="pct"/>
            <w:vAlign w:val="center"/>
          </w:tcPr>
          <w:p w14:paraId="4D01C82F">
            <w:pPr>
              <w:pStyle w:val="43"/>
              <w:bidi w:val="0"/>
              <w:rPr>
                <w:b/>
                <w:bCs/>
                <w:highlight w:val="none"/>
              </w:rPr>
            </w:pPr>
            <w:r>
              <w:rPr>
                <w:b/>
                <w:bCs/>
                <w:highlight w:val="none"/>
              </w:rPr>
              <w:t>工作气压</w:t>
            </w:r>
          </w:p>
          <w:p w14:paraId="586998D3">
            <w:pPr>
              <w:pStyle w:val="43"/>
              <w:bidi w:val="0"/>
              <w:rPr>
                <w:b/>
                <w:bCs/>
                <w:highlight w:val="none"/>
              </w:rPr>
            </w:pPr>
            <w:r>
              <w:rPr>
                <w:b/>
                <w:bCs/>
                <w:highlight w:val="none"/>
              </w:rPr>
              <w:t>（MPa</w:t>
            </w:r>
            <w:r>
              <w:rPr>
                <w:rFonts w:hint="eastAsia"/>
                <w:b/>
                <w:bCs/>
                <w:highlight w:val="none"/>
                <w:lang w:eastAsia="zh-CN"/>
              </w:rPr>
              <w:t>)</w:t>
            </w:r>
          </w:p>
        </w:tc>
        <w:tc>
          <w:tcPr>
            <w:tcW w:w="900" w:type="pct"/>
            <w:vAlign w:val="center"/>
          </w:tcPr>
          <w:p w14:paraId="6618CA1D">
            <w:pPr>
              <w:pStyle w:val="43"/>
              <w:bidi w:val="0"/>
              <w:rPr>
                <w:b/>
                <w:bCs/>
                <w:highlight w:val="none"/>
              </w:rPr>
            </w:pPr>
            <w:r>
              <w:rPr>
                <w:b/>
                <w:bCs/>
                <w:highlight w:val="none"/>
              </w:rPr>
              <w:t>耗气量</w:t>
            </w:r>
          </w:p>
          <w:p w14:paraId="600EB737">
            <w:pPr>
              <w:pStyle w:val="43"/>
              <w:bidi w:val="0"/>
              <w:rPr>
                <w:b/>
                <w:bCs/>
                <w:highlight w:val="none"/>
              </w:rPr>
            </w:pPr>
            <w:r>
              <w:rPr>
                <w:b/>
                <w:bCs/>
                <w:highlight w:val="none"/>
              </w:rPr>
              <w:t>（</w:t>
            </w:r>
            <w:r>
              <w:rPr>
                <w:rFonts w:hint="eastAsia"/>
                <w:b/>
                <w:bCs/>
                <w:highlight w:val="none"/>
                <w:lang w:eastAsia="zh-CN"/>
              </w:rPr>
              <w:t>m</w:t>
            </w:r>
            <w:r>
              <w:rPr>
                <w:rFonts w:hint="eastAsia"/>
                <w:b/>
                <w:bCs/>
                <w:highlight w:val="none"/>
                <w:vertAlign w:val="superscript"/>
                <w:lang w:eastAsia="zh-CN"/>
              </w:rPr>
              <w:t>3</w:t>
            </w:r>
            <w:r>
              <w:rPr>
                <w:b/>
                <w:bCs/>
                <w:highlight w:val="none"/>
              </w:rPr>
              <w:t>/min</w:t>
            </w:r>
            <w:r>
              <w:rPr>
                <w:rFonts w:hint="eastAsia"/>
                <w:b/>
                <w:bCs/>
                <w:highlight w:val="none"/>
                <w:lang w:eastAsia="zh-CN"/>
              </w:rPr>
              <w:t>)</w:t>
            </w:r>
          </w:p>
        </w:tc>
        <w:tc>
          <w:tcPr>
            <w:tcW w:w="729" w:type="pct"/>
            <w:vAlign w:val="center"/>
          </w:tcPr>
          <w:p w14:paraId="2F979C69">
            <w:pPr>
              <w:pStyle w:val="43"/>
              <w:bidi w:val="0"/>
              <w:rPr>
                <w:b/>
                <w:bCs/>
                <w:highlight w:val="none"/>
              </w:rPr>
            </w:pPr>
            <w:r>
              <w:rPr>
                <w:b/>
                <w:bCs/>
                <w:highlight w:val="none"/>
              </w:rPr>
              <w:t>台班效率</w:t>
            </w:r>
          </w:p>
          <w:p w14:paraId="66584368">
            <w:pPr>
              <w:pStyle w:val="43"/>
              <w:bidi w:val="0"/>
              <w:rPr>
                <w:b/>
                <w:bCs/>
                <w:highlight w:val="none"/>
              </w:rPr>
            </w:pPr>
            <w:r>
              <w:rPr>
                <w:rFonts w:hint="eastAsia"/>
                <w:b/>
                <w:bCs/>
                <w:highlight w:val="none"/>
              </w:rPr>
              <w:t>（</w:t>
            </w:r>
            <w:r>
              <w:rPr>
                <w:b/>
                <w:bCs/>
                <w:highlight w:val="none"/>
              </w:rPr>
              <w:t>m</w:t>
            </w:r>
            <w:r>
              <w:rPr>
                <w:rFonts w:hint="eastAsia"/>
                <w:b/>
                <w:bCs/>
                <w:highlight w:val="none"/>
                <w:lang w:eastAsia="zh-CN"/>
              </w:rPr>
              <w:t>)</w:t>
            </w:r>
          </w:p>
        </w:tc>
        <w:tc>
          <w:tcPr>
            <w:tcW w:w="368" w:type="pct"/>
            <w:vAlign w:val="center"/>
          </w:tcPr>
          <w:p w14:paraId="631ECFC2">
            <w:pPr>
              <w:pStyle w:val="43"/>
              <w:bidi w:val="0"/>
              <w:rPr>
                <w:b/>
                <w:bCs/>
                <w:highlight w:val="none"/>
              </w:rPr>
            </w:pPr>
            <w:r>
              <w:rPr>
                <w:b/>
                <w:bCs/>
                <w:highlight w:val="none"/>
              </w:rPr>
              <w:t>备注</w:t>
            </w:r>
          </w:p>
          <w:p w14:paraId="301543A8">
            <w:pPr>
              <w:pStyle w:val="43"/>
              <w:bidi w:val="0"/>
              <w:rPr>
                <w:b/>
                <w:bCs/>
                <w:highlight w:val="none"/>
              </w:rPr>
            </w:pPr>
          </w:p>
        </w:tc>
      </w:tr>
      <w:tr w14:paraId="00AC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15" w:type="pct"/>
            <w:vAlign w:val="center"/>
          </w:tcPr>
          <w:p w14:paraId="0C5E8D72">
            <w:pPr>
              <w:pStyle w:val="43"/>
              <w:bidi w:val="0"/>
              <w:rPr>
                <w:highlight w:val="none"/>
              </w:rPr>
            </w:pPr>
            <w:r>
              <w:rPr>
                <w:rFonts w:hint="eastAsia"/>
                <w:highlight w:val="none"/>
              </w:rPr>
              <w:t>高风压潜孔钻机CCM680</w:t>
            </w:r>
          </w:p>
        </w:tc>
        <w:tc>
          <w:tcPr>
            <w:tcW w:w="729" w:type="pct"/>
            <w:vAlign w:val="center"/>
          </w:tcPr>
          <w:p w14:paraId="22651287">
            <w:pPr>
              <w:pStyle w:val="43"/>
              <w:bidi w:val="0"/>
              <w:rPr>
                <w:highlight w:val="none"/>
              </w:rPr>
            </w:pPr>
            <w:r>
              <w:rPr>
                <w:rFonts w:hint="eastAsia"/>
                <w:highlight w:val="none"/>
              </w:rPr>
              <w:t>9</w:t>
            </w:r>
            <w:r>
              <w:rPr>
                <w:highlight w:val="none"/>
              </w:rPr>
              <w:t>0-140</w:t>
            </w:r>
          </w:p>
        </w:tc>
        <w:tc>
          <w:tcPr>
            <w:tcW w:w="729" w:type="pct"/>
            <w:vAlign w:val="center"/>
          </w:tcPr>
          <w:p w14:paraId="1A847CCB">
            <w:pPr>
              <w:pStyle w:val="43"/>
              <w:bidi w:val="0"/>
              <w:rPr>
                <w:highlight w:val="none"/>
              </w:rPr>
            </w:pPr>
            <w:r>
              <w:rPr>
                <w:rFonts w:hint="eastAsia"/>
                <w:highlight w:val="none"/>
              </w:rPr>
              <w:t>3</w:t>
            </w:r>
            <w:r>
              <w:rPr>
                <w:highlight w:val="none"/>
              </w:rPr>
              <w:t>0</w:t>
            </w:r>
          </w:p>
        </w:tc>
        <w:tc>
          <w:tcPr>
            <w:tcW w:w="729" w:type="pct"/>
            <w:vAlign w:val="center"/>
          </w:tcPr>
          <w:p w14:paraId="67B4309D">
            <w:pPr>
              <w:pStyle w:val="43"/>
              <w:bidi w:val="0"/>
              <w:rPr>
                <w:highlight w:val="none"/>
              </w:rPr>
            </w:pPr>
            <w:r>
              <w:rPr>
                <w:rFonts w:hint="eastAsia"/>
                <w:highlight w:val="none"/>
              </w:rPr>
              <w:t>0</w:t>
            </w:r>
            <w:r>
              <w:rPr>
                <w:highlight w:val="none"/>
              </w:rPr>
              <w:t>.8-2</w:t>
            </w:r>
          </w:p>
        </w:tc>
        <w:tc>
          <w:tcPr>
            <w:tcW w:w="900" w:type="pct"/>
            <w:vAlign w:val="center"/>
          </w:tcPr>
          <w:p w14:paraId="06B9F212">
            <w:pPr>
              <w:pStyle w:val="43"/>
              <w:bidi w:val="0"/>
              <w:rPr>
                <w:highlight w:val="none"/>
              </w:rPr>
            </w:pPr>
            <w:r>
              <w:rPr>
                <w:rFonts w:hint="eastAsia"/>
                <w:highlight w:val="none"/>
              </w:rPr>
              <w:t>1</w:t>
            </w:r>
            <w:r>
              <w:rPr>
                <w:highlight w:val="none"/>
              </w:rPr>
              <w:t>0-18</w:t>
            </w:r>
          </w:p>
        </w:tc>
        <w:tc>
          <w:tcPr>
            <w:tcW w:w="729" w:type="pct"/>
            <w:vAlign w:val="center"/>
          </w:tcPr>
          <w:p w14:paraId="268859C2">
            <w:pPr>
              <w:pStyle w:val="43"/>
              <w:bidi w:val="0"/>
              <w:rPr>
                <w:highlight w:val="none"/>
              </w:rPr>
            </w:pPr>
            <w:r>
              <w:rPr>
                <w:rFonts w:hint="eastAsia"/>
                <w:highlight w:val="none"/>
              </w:rPr>
              <w:t>1</w:t>
            </w:r>
            <w:r>
              <w:rPr>
                <w:highlight w:val="none"/>
              </w:rPr>
              <w:t>20-180</w:t>
            </w:r>
          </w:p>
        </w:tc>
        <w:tc>
          <w:tcPr>
            <w:tcW w:w="368" w:type="pct"/>
            <w:vAlign w:val="center"/>
          </w:tcPr>
          <w:p w14:paraId="57E82A50">
            <w:pPr>
              <w:pStyle w:val="43"/>
              <w:bidi w:val="0"/>
              <w:rPr>
                <w:highlight w:val="none"/>
              </w:rPr>
            </w:pPr>
          </w:p>
        </w:tc>
      </w:tr>
      <w:bookmarkEnd w:id="227"/>
      <w:bookmarkEnd w:id="229"/>
    </w:tbl>
    <w:p w14:paraId="6566A609">
      <w:pPr>
        <w:pStyle w:val="41"/>
        <w:bidi w:val="0"/>
        <w:rPr>
          <w:b/>
          <w:bCs/>
          <w:highlight w:val="none"/>
        </w:rPr>
      </w:pPr>
      <w:r>
        <w:rPr>
          <w:rFonts w:hint="eastAsia"/>
          <w:b/>
          <w:bCs/>
          <w:highlight w:val="none"/>
          <w:lang w:eastAsia="zh-CN"/>
        </w:rPr>
        <w:t>（</w:t>
      </w:r>
      <w:r>
        <w:rPr>
          <w:rFonts w:hint="eastAsia"/>
          <w:b/>
          <w:bCs/>
          <w:highlight w:val="none"/>
          <w:lang w:val="en-US" w:eastAsia="zh-CN"/>
        </w:rPr>
        <w:t>2）</w:t>
      </w:r>
      <w:r>
        <w:rPr>
          <w:b/>
          <w:bCs/>
          <w:highlight w:val="none"/>
        </w:rPr>
        <w:t>钻机数量的确定</w:t>
      </w:r>
    </w:p>
    <w:p w14:paraId="2DFC9BEF">
      <w:pPr>
        <w:pStyle w:val="41"/>
        <w:bidi w:val="0"/>
        <w:rPr>
          <w:highlight w:val="none"/>
        </w:rPr>
      </w:pPr>
      <w:bookmarkStart w:id="230" w:name="_Hlk129349087"/>
      <w:r>
        <w:rPr>
          <w:highlight w:val="none"/>
        </w:rPr>
        <w:t>钻机台数：</w:t>
      </w:r>
    </w:p>
    <w:p w14:paraId="4EF6FE02">
      <w:pPr>
        <w:pStyle w:val="41"/>
        <w:bidi w:val="0"/>
        <w:rPr>
          <w:highlight w:val="none"/>
        </w:rPr>
      </w:pPr>
      <m:oMath>
        <w:bookmarkStart w:id="231" w:name="_Hlk87018643"/>
        <m:r>
          <m:rPr>
            <m:sty m:val="p"/>
          </m:rPr>
          <w:rPr>
            <w:rFonts w:ascii="Times New Roman" w:hAnsi="Times New Roman"/>
            <w:highlight w:val="none"/>
          </w:rPr>
          <m:t>N=</m:t>
        </m:r>
        <m:f>
          <m:fPr>
            <m:ctrlPr>
              <w:rPr>
                <w:rFonts w:ascii="Cambria Math" w:hAnsi="Cambria Math"/>
                <w:highlight w:val="none"/>
              </w:rPr>
            </m:ctrlPr>
          </m:fPr>
          <m:num>
            <m:r>
              <m:rPr>
                <m:sty m:val="p"/>
              </m:rPr>
              <w:rPr>
                <w:rFonts w:ascii="Times New Roman" w:hAnsi="Times New Roman"/>
                <w:highlight w:val="none"/>
              </w:rPr>
              <m:t>Q</m:t>
            </m:r>
            <m:ctrlPr>
              <w:rPr>
                <w:rFonts w:ascii="Cambria Math" w:hAnsi="Cambria Math"/>
                <w:highlight w:val="none"/>
              </w:rPr>
            </m:ctrlPr>
          </m:num>
          <m:den>
            <m:r>
              <m:rPr>
                <m:sty m:val="p"/>
              </m:rPr>
              <w:rPr>
                <w:rFonts w:ascii="Times New Roman" w:hAnsi="Times New Roman"/>
                <w:highlight w:val="none"/>
              </w:rPr>
              <m:t>qP（1−e</m:t>
            </m:r>
            <m:r>
              <m:rPr/>
              <w:rPr>
                <w:rFonts w:hint="eastAsia"/>
                <w:highlight w:val="none"/>
                <w:lang w:eastAsia="zh-CN"/>
              </w:rPr>
              <m:t>)</m:t>
            </m:r>
            <m:ctrlPr>
              <w:rPr>
                <w:rFonts w:ascii="Cambria Math" w:hAnsi="Cambria Math"/>
                <w:highlight w:val="none"/>
              </w:rPr>
            </m:ctrlPr>
          </m:den>
        </m:f>
      </m:oMath>
      <w:r>
        <w:rPr>
          <w:rFonts w:hint="eastAsia"/>
          <w:highlight w:val="none"/>
        </w:rPr>
        <w:t xml:space="preserve"> </w:t>
      </w:r>
    </w:p>
    <w:p w14:paraId="747B78ED">
      <w:pPr>
        <w:pStyle w:val="41"/>
        <w:bidi w:val="0"/>
        <w:rPr>
          <w:highlight w:val="none"/>
        </w:rPr>
      </w:pPr>
      <w:r>
        <w:rPr>
          <w:highlight w:val="none"/>
        </w:rPr>
        <w:t>式中</w:t>
      </w:r>
      <w:r>
        <w:rPr>
          <w:rFonts w:hint="eastAsia"/>
          <w:highlight w:val="none"/>
        </w:rPr>
        <w:t>：</w:t>
      </w:r>
    </w:p>
    <w:p w14:paraId="3FDB1302">
      <w:pPr>
        <w:pStyle w:val="41"/>
        <w:bidi w:val="0"/>
        <w:rPr>
          <w:highlight w:val="none"/>
        </w:rPr>
      </w:pPr>
      <w:r>
        <w:rPr>
          <w:highlight w:val="none"/>
        </w:rPr>
        <w:t>N—所需设备数量，台；</w:t>
      </w:r>
    </w:p>
    <w:p w14:paraId="527517C1">
      <w:pPr>
        <w:pStyle w:val="41"/>
        <w:bidi w:val="0"/>
        <w:rPr>
          <w:highlight w:val="none"/>
        </w:rPr>
      </w:pPr>
      <w:r>
        <w:rPr>
          <w:highlight w:val="none"/>
        </w:rPr>
        <w:t>Q—设计矿山</w:t>
      </w:r>
      <w:r>
        <w:rPr>
          <w:rFonts w:hint="eastAsia"/>
          <w:highlight w:val="none"/>
        </w:rPr>
        <w:t>年采剥总量</w:t>
      </w:r>
      <w:r>
        <w:rPr>
          <w:highlight w:val="none"/>
        </w:rPr>
        <w:t>，t/年，Q=</w:t>
      </w:r>
      <w:r>
        <w:rPr>
          <w:rFonts w:hint="eastAsia"/>
          <w:highlight w:val="none"/>
        </w:rPr>
        <w:t>500000</w:t>
      </w:r>
      <w:r>
        <w:rPr>
          <w:highlight w:val="none"/>
        </w:rPr>
        <w:t>t/年；</w:t>
      </w:r>
    </w:p>
    <w:p w14:paraId="711D33C2">
      <w:pPr>
        <w:pStyle w:val="41"/>
        <w:bidi w:val="0"/>
        <w:rPr>
          <w:highlight w:val="none"/>
        </w:rPr>
      </w:pPr>
      <w:r>
        <w:rPr>
          <w:highlight w:val="none"/>
        </w:rPr>
        <w:t>P—</w:t>
      </w:r>
      <w:bookmarkStart w:id="232" w:name="OLE_LINK4"/>
      <w:r>
        <w:rPr>
          <w:highlight w:val="none"/>
        </w:rPr>
        <w:t>钻机台年穿孔效率</w:t>
      </w:r>
      <w:bookmarkEnd w:id="232"/>
      <w:r>
        <w:rPr>
          <w:highlight w:val="none"/>
        </w:rPr>
        <w:t>，m/年，P=300×1×</w:t>
      </w:r>
      <w:r>
        <w:rPr>
          <w:rFonts w:hint="eastAsia"/>
          <w:highlight w:val="none"/>
        </w:rPr>
        <w:t>1</w:t>
      </w:r>
      <w:r>
        <w:rPr>
          <w:highlight w:val="none"/>
        </w:rPr>
        <w:t>50=</w:t>
      </w:r>
      <w:r>
        <w:rPr>
          <w:rFonts w:hint="eastAsia"/>
          <w:highlight w:val="none"/>
        </w:rPr>
        <w:t>45000</w:t>
      </w:r>
      <w:r>
        <w:rPr>
          <w:highlight w:val="none"/>
        </w:rPr>
        <w:t>m；</w:t>
      </w:r>
    </w:p>
    <w:p w14:paraId="085781DB">
      <w:pPr>
        <w:pStyle w:val="41"/>
        <w:bidi w:val="0"/>
        <w:rPr>
          <w:highlight w:val="none"/>
          <w:lang w:eastAsia="zh-TW"/>
        </w:rPr>
      </w:pPr>
      <w:r>
        <w:rPr>
          <w:highlight w:val="none"/>
          <w:lang w:eastAsia="zh-TW"/>
        </w:rPr>
        <w:t>q—每m炮孔的爆破量，t/m，q=</w:t>
      </w:r>
      <w:r>
        <w:rPr>
          <w:rFonts w:hint="eastAsia"/>
          <w:highlight w:val="none"/>
        </w:rPr>
        <w:t>32.52</w:t>
      </w:r>
      <w:r>
        <w:rPr>
          <w:highlight w:val="none"/>
          <w:lang w:eastAsia="zh-TW"/>
        </w:rPr>
        <w:t>t/m；</w:t>
      </w:r>
    </w:p>
    <w:p w14:paraId="201D6316">
      <w:pPr>
        <w:pStyle w:val="41"/>
        <w:bidi w:val="0"/>
        <w:rPr>
          <w:highlight w:val="none"/>
        </w:rPr>
      </w:pPr>
      <w:r>
        <w:rPr>
          <w:highlight w:val="none"/>
        </w:rPr>
        <w:t>e—废孔率，%，e=5%</w:t>
      </w:r>
      <w:r>
        <w:rPr>
          <w:rFonts w:hint="eastAsia"/>
          <w:highlight w:val="none"/>
        </w:rPr>
        <w:t>。</w:t>
      </w:r>
    </w:p>
    <w:p w14:paraId="226F0322">
      <w:pPr>
        <w:pStyle w:val="41"/>
        <w:bidi w:val="0"/>
        <w:rPr>
          <w:highlight w:val="none"/>
        </w:rPr>
      </w:pPr>
      <m:oMath>
        <m:r>
          <m:rPr>
            <m:sty m:val="p"/>
          </m:rPr>
          <w:rPr>
            <w:rFonts w:ascii="Times New Roman" w:hAnsi="Times New Roman"/>
            <w:highlight w:val="none"/>
          </w:rPr>
          <m:t>N=</m:t>
        </m:r>
        <m:f>
          <m:fPr>
            <m:ctrlPr>
              <w:rPr>
                <w:rFonts w:ascii="Cambria Math" w:hAnsi="Cambria Math"/>
                <w:highlight w:val="none"/>
              </w:rPr>
            </m:ctrlPr>
          </m:fPr>
          <m:num>
            <m:r>
              <m:rPr>
                <m:sty m:val="p"/>
              </m:rPr>
              <w:rPr>
                <w:rFonts w:ascii="Times New Roman" w:hAnsi="Times New Roman"/>
                <w:highlight w:val="none"/>
              </w:rPr>
              <m:t>Q</m:t>
            </m:r>
            <m:ctrlPr>
              <w:rPr>
                <w:rFonts w:ascii="Cambria Math" w:hAnsi="Cambria Math"/>
                <w:highlight w:val="none"/>
              </w:rPr>
            </m:ctrlPr>
          </m:num>
          <m:den>
            <m:r>
              <m:rPr>
                <m:sty m:val="p"/>
              </m:rPr>
              <w:rPr>
                <w:rFonts w:ascii="Times New Roman" w:hAnsi="Times New Roman"/>
                <w:highlight w:val="none"/>
              </w:rPr>
              <m:t>qP</m:t>
            </m:r>
            <m:r>
              <m:rPr>
                <m:sty m:val="p"/>
              </m:rPr>
              <w:rPr>
                <w:rFonts w:hint="eastAsia" w:ascii="Times New Roman" w:hAnsi="Times New Roman"/>
                <w:highlight w:val="none"/>
              </w:rPr>
              <m:t>（</m:t>
            </m:r>
            <m:r>
              <m:rPr>
                <m:sty m:val="p"/>
              </m:rPr>
              <w:rPr>
                <w:rFonts w:ascii="Times New Roman" w:hAnsi="Times New Roman"/>
                <w:highlight w:val="none"/>
              </w:rPr>
              <m:t>1−e）</m:t>
            </m:r>
            <m:ctrlPr>
              <w:rPr>
                <w:rFonts w:ascii="Cambria Math" w:hAnsi="Cambria Math"/>
                <w:highlight w:val="none"/>
              </w:rPr>
            </m:ctrlPr>
          </m:den>
        </m:f>
        <m:r>
          <m:rPr>
            <m:sty m:val="p"/>
          </m:rPr>
          <w:rPr>
            <w:rFonts w:ascii="Times New Roman" w:hAnsi="Times New Roman"/>
            <w:highlight w:val="none"/>
          </w:rPr>
          <m:t>=</m:t>
        </m:r>
        <m:f>
          <m:fPr>
            <m:ctrlPr>
              <w:rPr>
                <w:rFonts w:ascii="Cambria Math" w:hAnsi="Cambria Math"/>
                <w:highlight w:val="none"/>
              </w:rPr>
            </m:ctrlPr>
          </m:fPr>
          <m:num>
            <m:r>
              <m:rPr>
                <m:sty m:val="p"/>
              </m:rPr>
              <w:rPr>
                <w:rFonts w:ascii="Times New Roman" w:hAnsi="Times New Roman"/>
                <w:highlight w:val="none"/>
              </w:rPr>
              <m:t>500000</m:t>
            </m:r>
            <m:ctrlPr>
              <w:rPr>
                <w:rFonts w:ascii="Cambria Math" w:hAnsi="Cambria Math"/>
                <w:highlight w:val="none"/>
              </w:rPr>
            </m:ctrlPr>
          </m:num>
          <m:den>
            <m:r>
              <m:rPr>
                <m:sty m:val="p"/>
              </m:rPr>
              <w:rPr>
                <w:rFonts w:ascii="Times New Roman" w:hAnsi="Times New Roman"/>
                <w:highlight w:val="none"/>
              </w:rPr>
              <m:t>32.52×45000×</m:t>
            </m:r>
            <m:d>
              <m:dPr>
                <m:ctrlPr>
                  <w:rPr>
                    <w:rFonts w:ascii="Cambria Math" w:hAnsi="Cambria Math"/>
                    <w:highlight w:val="none"/>
                  </w:rPr>
                </m:ctrlPr>
              </m:dPr>
              <m:e>
                <m:r>
                  <m:rPr>
                    <m:sty m:val="p"/>
                  </m:rPr>
                  <w:rPr>
                    <w:rFonts w:ascii="Times New Roman" w:hAnsi="Times New Roman"/>
                    <w:highlight w:val="none"/>
                  </w:rPr>
                  <m:t>1−5%</m:t>
                </m:r>
                <m:ctrlPr>
                  <w:rPr>
                    <w:rFonts w:ascii="Cambria Math" w:hAnsi="Cambria Math"/>
                    <w:highlight w:val="none"/>
                  </w:rPr>
                </m:ctrlPr>
              </m:e>
            </m:d>
            <m:ctrlPr>
              <w:rPr>
                <w:rFonts w:ascii="Cambria Math" w:hAnsi="Cambria Math"/>
                <w:highlight w:val="none"/>
              </w:rPr>
            </m:ctrlPr>
          </m:den>
        </m:f>
        <m:r>
          <m:rPr>
            <m:sty m:val="p"/>
          </m:rPr>
          <w:rPr>
            <w:rFonts w:ascii="Times New Roman" w:hAnsi="Times New Roman"/>
            <w:highlight w:val="none"/>
          </w:rPr>
          <m:t>=0.36≈1</m:t>
        </m:r>
        <m:r>
          <m:rPr>
            <m:sty m:val="p"/>
          </m:rPr>
          <w:rPr>
            <w:rFonts w:hint="eastAsia" w:ascii="Times New Roman" w:hAnsi="Times New Roman"/>
            <w:highlight w:val="none"/>
          </w:rPr>
          <m:t>台</m:t>
        </m:r>
      </m:oMath>
      <w:r>
        <w:rPr>
          <w:rFonts w:hint="eastAsia"/>
          <w:highlight w:val="none"/>
        </w:rPr>
        <w:t xml:space="preserve"> </w:t>
      </w:r>
    </w:p>
    <w:bookmarkEnd w:id="230"/>
    <w:bookmarkEnd w:id="231"/>
    <w:p w14:paraId="17D7F56A">
      <w:pPr>
        <w:pStyle w:val="41"/>
        <w:bidi w:val="0"/>
        <w:rPr>
          <w:highlight w:val="none"/>
        </w:rPr>
      </w:pPr>
      <w:r>
        <w:rPr>
          <w:rFonts w:hint="eastAsia"/>
          <w:highlight w:val="none"/>
        </w:rPr>
        <w:t>设计1台高风压潜孔钻机CCM680</w:t>
      </w:r>
      <w:r>
        <w:rPr>
          <w:highlight w:val="none"/>
        </w:rPr>
        <w:t>能满足生产要求</w:t>
      </w:r>
      <w:r>
        <w:rPr>
          <w:rFonts w:hint="eastAsia"/>
          <w:highlight w:val="none"/>
        </w:rPr>
        <w:t>。</w:t>
      </w:r>
    </w:p>
    <w:p w14:paraId="52EE909D">
      <w:pPr>
        <w:pStyle w:val="4"/>
        <w:bidi w:val="0"/>
      </w:pPr>
      <w:bookmarkStart w:id="233" w:name="_Toc173012524"/>
      <w:r>
        <w:t>爆破作业</w:t>
      </w:r>
      <w:bookmarkEnd w:id="233"/>
    </w:p>
    <w:p w14:paraId="252EBE37">
      <w:pPr>
        <w:pStyle w:val="41"/>
        <w:bidi w:val="0"/>
        <w:rPr>
          <w:b/>
          <w:bCs/>
        </w:rPr>
      </w:pPr>
      <w:bookmarkStart w:id="234" w:name="_Hlk155546357"/>
      <w:r>
        <w:rPr>
          <w:rFonts w:hint="eastAsia"/>
          <w:b/>
          <w:bCs/>
          <w:lang w:eastAsia="zh-CN"/>
        </w:rPr>
        <w:t>（</w:t>
      </w:r>
      <w:r>
        <w:rPr>
          <w:rFonts w:hint="eastAsia"/>
          <w:b/>
          <w:bCs/>
          <w:lang w:val="en-US" w:eastAsia="zh-CN"/>
        </w:rPr>
        <w:t>1）</w:t>
      </w:r>
      <w:r>
        <w:rPr>
          <w:rFonts w:hint="eastAsia"/>
          <w:b/>
          <w:bCs/>
        </w:rPr>
        <w:t>正常爆破</w:t>
      </w:r>
      <w:bookmarkEnd w:id="234"/>
    </w:p>
    <w:p w14:paraId="0D43FC08">
      <w:pPr>
        <w:pStyle w:val="41"/>
        <w:bidi w:val="0"/>
      </w:pPr>
      <w:bookmarkStart w:id="235" w:name="_Hlk155546138"/>
      <w:r>
        <w:rPr>
          <w:rFonts w:hint="eastAsia"/>
        </w:rPr>
        <w:t>1）</w:t>
      </w:r>
      <w:r>
        <w:t>孔径d</w:t>
      </w:r>
    </w:p>
    <w:p w14:paraId="04286D4A">
      <w:pPr>
        <w:pStyle w:val="41"/>
        <w:bidi w:val="0"/>
      </w:pPr>
      <w:r>
        <w:t>露天深孔爆破的孔径主要取决于钻机类型，台阶高度和岩石性质，潜孔钻机设备</w:t>
      </w:r>
      <w:r>
        <w:rPr>
          <w:rFonts w:hint="eastAsia"/>
        </w:rPr>
        <w:t>设计采用高风压潜孔钻机CCM680潜孔钻机</w:t>
      </w:r>
      <w:r>
        <w:t>，钻头直径</w:t>
      </w:r>
      <w:r>
        <w:rPr>
          <w:rFonts w:hint="eastAsia"/>
        </w:rPr>
        <w:t>9</w:t>
      </w:r>
      <w:r>
        <w:t>0</w:t>
      </w:r>
      <w:r>
        <w:rPr>
          <w:rFonts w:hint="eastAsia"/>
          <w:lang w:eastAsia="zh-CN"/>
        </w:rPr>
        <w:t>～</w:t>
      </w:r>
      <w:r>
        <w:t>1</w:t>
      </w:r>
      <w:r>
        <w:rPr>
          <w:rFonts w:hint="eastAsia"/>
        </w:rPr>
        <w:t>4</w:t>
      </w:r>
      <w:r>
        <w:t>0mm，</w:t>
      </w:r>
      <w:r>
        <w:rPr>
          <w:rFonts w:hint="eastAsia"/>
        </w:rPr>
        <w:t>本次设计</w:t>
      </w:r>
      <w:r>
        <w:t>钻孔</w:t>
      </w:r>
      <w:r>
        <w:rPr>
          <w:rFonts w:hint="eastAsia"/>
          <w:lang w:eastAsia="zh-CN"/>
        </w:rPr>
        <w:t>直径</w:t>
      </w:r>
      <w:r>
        <w:t>为</w:t>
      </w:r>
      <w:r>
        <w:rPr>
          <w:rFonts w:hint="eastAsia"/>
        </w:rPr>
        <w:t>110</w:t>
      </w:r>
      <w:r>
        <w:t>mm。</w:t>
      </w:r>
    </w:p>
    <w:p w14:paraId="597B88A8">
      <w:pPr>
        <w:pStyle w:val="41"/>
        <w:bidi w:val="0"/>
      </w:pPr>
      <w:r>
        <w:rPr>
          <w:rFonts w:hint="eastAsia"/>
        </w:rPr>
        <w:t>2）</w:t>
      </w:r>
      <w:r>
        <w:t>按</w:t>
      </w:r>
      <w:r>
        <w:rPr>
          <w:rFonts w:hint="eastAsia"/>
        </w:rPr>
        <w:t>钻孔作业安全</w:t>
      </w:r>
      <w:r>
        <w:t>条件</w:t>
      </w:r>
      <w:r>
        <w:rPr>
          <w:rFonts w:hint="eastAsia"/>
        </w:rPr>
        <w:t>计算</w:t>
      </w:r>
      <w:r>
        <w:t>：</w:t>
      </w:r>
    </w:p>
    <w:p w14:paraId="73366979">
      <w:pPr>
        <w:pStyle w:val="41"/>
        <w:bidi w:val="0"/>
      </w:pPr>
      <w:r>
        <w:t>Wd≥Hcotα+B</w:t>
      </w:r>
    </w:p>
    <w:p w14:paraId="09793C00">
      <w:pPr>
        <w:pStyle w:val="41"/>
        <w:bidi w:val="0"/>
      </w:pPr>
      <w:r>
        <w:t>式中：</w:t>
      </w:r>
    </w:p>
    <w:p w14:paraId="0AFF74FD">
      <w:pPr>
        <w:pStyle w:val="41"/>
        <w:bidi w:val="0"/>
      </w:pPr>
      <w:r>
        <w:t>H-台阶高度，1</w:t>
      </w:r>
      <w:r>
        <w:rPr>
          <w:rFonts w:hint="eastAsia"/>
        </w:rPr>
        <w:t>2</w:t>
      </w:r>
      <w:r>
        <w:t>m；</w:t>
      </w:r>
    </w:p>
    <w:p w14:paraId="0537CF1A">
      <w:pPr>
        <w:pStyle w:val="41"/>
        <w:bidi w:val="0"/>
      </w:pPr>
      <w:r>
        <w:t>α-台阶坡面角，75°；</w:t>
      </w:r>
    </w:p>
    <w:p w14:paraId="4910CCF8">
      <w:pPr>
        <w:pStyle w:val="41"/>
        <w:bidi w:val="0"/>
      </w:pPr>
      <w:r>
        <w:t>B-从钻孔</w:t>
      </w:r>
      <w:r>
        <w:rPr>
          <w:rFonts w:hint="eastAsia"/>
        </w:rPr>
        <w:t>轴心线至</w:t>
      </w:r>
      <w:r>
        <w:t>坡顶线的安全距离，</w:t>
      </w:r>
      <w:r>
        <w:rPr>
          <w:rFonts w:hint="eastAsia"/>
        </w:rPr>
        <w:t>对大型钻机，B</w:t>
      </w:r>
      <w:r>
        <w:t>≥2.5</w:t>
      </w:r>
      <w:r>
        <w:rPr>
          <w:rFonts w:hint="eastAsia"/>
          <w:lang w:eastAsia="zh-CN"/>
        </w:rPr>
        <w:t>～</w:t>
      </w:r>
      <w:r>
        <w:t>3m。</w:t>
      </w:r>
      <w:r>
        <w:rPr>
          <w:rFonts w:hint="eastAsia"/>
        </w:rPr>
        <w:t>此处取3m。</w:t>
      </w:r>
    </w:p>
    <w:p w14:paraId="24942C99">
      <w:pPr>
        <w:pStyle w:val="41"/>
        <w:bidi w:val="0"/>
      </w:pPr>
      <w:r>
        <w:t>经验算：W</w:t>
      </w:r>
      <w:r>
        <w:rPr>
          <w:rFonts w:hint="eastAsia"/>
        </w:rPr>
        <w:t>d</w:t>
      </w:r>
      <w:r>
        <w:t>≥</w:t>
      </w:r>
      <w:r>
        <w:rPr>
          <w:rFonts w:hint="eastAsia"/>
        </w:rPr>
        <w:t>6.22</w:t>
      </w:r>
      <w:r>
        <w:t>m</w:t>
      </w:r>
    </w:p>
    <w:p w14:paraId="637FAFA3">
      <w:pPr>
        <w:pStyle w:val="41"/>
        <w:bidi w:val="0"/>
      </w:pPr>
      <w:r>
        <w:t>底盘抵抗线按</w:t>
      </w:r>
      <w:r>
        <w:rPr>
          <w:rFonts w:hint="eastAsia"/>
        </w:rPr>
        <w:t>台阶高度</w:t>
      </w:r>
      <w:r>
        <w:t>计算：</w:t>
      </w:r>
    </w:p>
    <w:p w14:paraId="3481FA0D">
      <w:pPr>
        <w:pStyle w:val="41"/>
        <w:bidi w:val="0"/>
      </w:pPr>
      <w:r>
        <w:t>W</w:t>
      </w:r>
      <w:r>
        <w:rPr>
          <w:rFonts w:hint="eastAsia"/>
        </w:rPr>
        <w:t>d</w:t>
      </w:r>
      <w:r>
        <w:t>=</w:t>
      </w:r>
      <w:r>
        <w:rPr>
          <w:rFonts w:hint="eastAsia"/>
          <w:lang w:eastAsia="zh-CN"/>
        </w:rPr>
        <w:t>(</w:t>
      </w:r>
      <w:r>
        <w:t>0.6</w:t>
      </w:r>
      <w:r>
        <w:rPr>
          <w:rFonts w:hint="eastAsia"/>
        </w:rPr>
        <w:t>~</w:t>
      </w:r>
      <w:r>
        <w:t>0.9</w:t>
      </w:r>
      <w:r>
        <w:rPr>
          <w:rFonts w:hint="eastAsia"/>
          <w:lang w:eastAsia="zh-CN"/>
        </w:rPr>
        <w:t>)</w:t>
      </w:r>
      <w:r>
        <w:t>H</w:t>
      </w:r>
    </w:p>
    <w:p w14:paraId="79628588">
      <w:pPr>
        <w:pStyle w:val="41"/>
        <w:bidi w:val="0"/>
      </w:pPr>
      <w:r>
        <w:t>式中：</w:t>
      </w:r>
    </w:p>
    <w:p w14:paraId="53A9B72E">
      <w:pPr>
        <w:pStyle w:val="41"/>
        <w:bidi w:val="0"/>
      </w:pPr>
      <w:r>
        <w:t>H-为台阶高度，1</w:t>
      </w:r>
      <w:r>
        <w:rPr>
          <w:rFonts w:hint="eastAsia"/>
        </w:rPr>
        <w:t>2</w:t>
      </w:r>
      <w:r>
        <w:t>m。</w:t>
      </w:r>
    </w:p>
    <w:p w14:paraId="30E53475">
      <w:pPr>
        <w:pStyle w:val="41"/>
        <w:bidi w:val="0"/>
      </w:pPr>
      <w:r>
        <w:t>经计算：</w:t>
      </w:r>
    </w:p>
    <w:p w14:paraId="641A30B0">
      <w:pPr>
        <w:pStyle w:val="41"/>
        <w:bidi w:val="0"/>
      </w:pPr>
      <w:r>
        <w:t>W</w:t>
      </w:r>
      <w:r>
        <w:rPr>
          <w:rFonts w:hint="eastAsia"/>
        </w:rPr>
        <w:t>d</w:t>
      </w:r>
      <w:r>
        <w:t>=（0.6</w:t>
      </w:r>
      <w:r>
        <w:rPr>
          <w:rFonts w:hint="eastAsia"/>
        </w:rPr>
        <w:t>~</w:t>
      </w:r>
      <w:r>
        <w:t>0.9）×1</w:t>
      </w:r>
      <w:r>
        <w:rPr>
          <w:rFonts w:hint="eastAsia"/>
        </w:rPr>
        <w:t>2</w:t>
      </w:r>
      <w:r>
        <w:t>=</w:t>
      </w:r>
      <w:r>
        <w:rPr>
          <w:rFonts w:hint="eastAsia"/>
        </w:rPr>
        <w:t>7.2</w:t>
      </w:r>
      <w:r>
        <w:rPr>
          <w:rFonts w:hint="eastAsia"/>
          <w:lang w:eastAsia="zh-CN"/>
        </w:rPr>
        <w:t>～</w:t>
      </w:r>
      <w:r>
        <w:rPr>
          <w:rFonts w:hint="eastAsia"/>
        </w:rPr>
        <w:t>10.8</w:t>
      </w:r>
      <w:r>
        <w:t>m</w:t>
      </w:r>
    </w:p>
    <w:p w14:paraId="5BCAB504">
      <w:pPr>
        <w:pStyle w:val="41"/>
        <w:bidi w:val="0"/>
      </w:pPr>
      <w:r>
        <w:t>本次设计，</w:t>
      </w:r>
      <w:r>
        <w:rPr>
          <w:rFonts w:hint="eastAsia"/>
        </w:rPr>
        <w:t>参考同类型矿山实践经验</w:t>
      </w:r>
      <w:r>
        <w:t>，最终确定底盘抵抗线W</w:t>
      </w:r>
      <w:r>
        <w:rPr>
          <w:rFonts w:hint="eastAsia"/>
        </w:rPr>
        <w:t>d</w:t>
      </w:r>
      <w:r>
        <w:t>=</w:t>
      </w:r>
      <w:r>
        <w:rPr>
          <w:rFonts w:hint="eastAsia"/>
        </w:rPr>
        <w:t>6.8</w:t>
      </w:r>
      <w:r>
        <w:t>m。</w:t>
      </w:r>
    </w:p>
    <w:p w14:paraId="0A8F3592">
      <w:pPr>
        <w:pStyle w:val="41"/>
        <w:bidi w:val="0"/>
      </w:pPr>
      <w:r>
        <w:t>3</w:t>
      </w:r>
      <w:r>
        <w:rPr>
          <w:rFonts w:hint="eastAsia"/>
        </w:rPr>
        <w:t>）</w:t>
      </w:r>
      <w:r>
        <w:t>最小抵抗线</w:t>
      </w:r>
    </w:p>
    <w:p w14:paraId="3306D0B8">
      <w:pPr>
        <w:pStyle w:val="41"/>
        <w:bidi w:val="0"/>
      </w:pPr>
      <w:r>
        <w:rPr>
          <w:rFonts w:hint="eastAsia"/>
        </w:rPr>
        <w:t>一般</w:t>
      </w:r>
      <w:r>
        <w:t>按照孔径的倍数来确定，通常取（25</w:t>
      </w:r>
      <w:r>
        <w:rPr>
          <w:rFonts w:hint="eastAsia"/>
        </w:rPr>
        <w:t>~</w:t>
      </w:r>
      <w:r>
        <w:t>40）d</w:t>
      </w:r>
    </w:p>
    <w:p w14:paraId="278202E7">
      <w:pPr>
        <w:pStyle w:val="41"/>
        <w:bidi w:val="0"/>
      </w:pPr>
      <w:r>
        <w:rPr>
          <w:rFonts w:hint="eastAsia"/>
        </w:rPr>
        <w:t>经计算：</w:t>
      </w:r>
    </w:p>
    <w:p w14:paraId="41B62C83">
      <w:pPr>
        <w:pStyle w:val="41"/>
        <w:bidi w:val="0"/>
      </w:pPr>
      <w:r>
        <w:t>W</w:t>
      </w:r>
      <w:r>
        <w:rPr>
          <w:rFonts w:hint="eastAsia"/>
        </w:rPr>
        <w:t>min</w:t>
      </w:r>
      <w:r>
        <w:t>=（25</w:t>
      </w:r>
      <w:r>
        <w:rPr>
          <w:rFonts w:hint="eastAsia"/>
        </w:rPr>
        <w:t>~</w:t>
      </w:r>
      <w:r>
        <w:t>40）×0.</w:t>
      </w:r>
      <w:r>
        <w:rPr>
          <w:rFonts w:hint="eastAsia"/>
        </w:rPr>
        <w:t>11</w:t>
      </w:r>
      <w:r>
        <w:t>=2.</w:t>
      </w:r>
      <w:r>
        <w:rPr>
          <w:rFonts w:hint="eastAsia"/>
        </w:rPr>
        <w:t>7</w:t>
      </w:r>
      <w:r>
        <w:t>5</w:t>
      </w:r>
      <w:r>
        <w:rPr>
          <w:rFonts w:hint="eastAsia"/>
          <w:lang w:eastAsia="zh-CN"/>
        </w:rPr>
        <w:t>～</w:t>
      </w:r>
      <w:r>
        <w:rPr>
          <w:rFonts w:hint="eastAsia"/>
        </w:rPr>
        <w:t>4.4</w:t>
      </w:r>
      <w:r>
        <w:t>m</w:t>
      </w:r>
    </w:p>
    <w:p w14:paraId="04D67A35">
      <w:pPr>
        <w:pStyle w:val="41"/>
        <w:bidi w:val="0"/>
      </w:pPr>
      <w:r>
        <w:rPr>
          <w:rFonts w:hint="eastAsia"/>
        </w:rPr>
        <w:t>此处参考同类型矿山实践经验，取3.5m。</w:t>
      </w:r>
    </w:p>
    <w:p w14:paraId="331AE3D9">
      <w:pPr>
        <w:pStyle w:val="41"/>
        <w:bidi w:val="0"/>
      </w:pPr>
      <w:r>
        <w:t>4</w:t>
      </w:r>
      <w:r>
        <w:rPr>
          <w:rFonts w:hint="eastAsia"/>
        </w:rPr>
        <w:t>）</w:t>
      </w:r>
      <w:r>
        <w:t>超深h</w:t>
      </w:r>
    </w:p>
    <w:p w14:paraId="29A3D632">
      <w:pPr>
        <w:pStyle w:val="41"/>
        <w:bidi w:val="0"/>
      </w:pPr>
      <w:r>
        <w:t>h=（8</w:t>
      </w:r>
      <w:r>
        <w:rPr>
          <w:rFonts w:hint="eastAsia"/>
        </w:rPr>
        <w:t>~</w:t>
      </w:r>
      <w:r>
        <w:t>12）d=（8</w:t>
      </w:r>
      <w:r>
        <w:rPr>
          <w:rFonts w:hint="eastAsia"/>
        </w:rPr>
        <w:t>~</w:t>
      </w:r>
      <w:r>
        <w:t>12）×0.</w:t>
      </w:r>
      <w:r>
        <w:rPr>
          <w:rFonts w:hint="eastAsia"/>
        </w:rPr>
        <w:t>11</w:t>
      </w:r>
      <w:r>
        <w:t>=0.</w:t>
      </w:r>
      <w:r>
        <w:rPr>
          <w:rFonts w:hint="eastAsia"/>
        </w:rPr>
        <w:t>88</w:t>
      </w:r>
      <w:r>
        <w:rPr>
          <w:rFonts w:hint="eastAsia"/>
          <w:lang w:eastAsia="zh-CN"/>
        </w:rPr>
        <w:t>～</w:t>
      </w:r>
      <w:r>
        <w:rPr>
          <w:rFonts w:hint="eastAsia"/>
        </w:rPr>
        <w:t>1.32</w:t>
      </w:r>
      <w:r>
        <w:t>m</w:t>
      </w:r>
    </w:p>
    <w:p w14:paraId="0D5D1841">
      <w:pPr>
        <w:pStyle w:val="41"/>
        <w:bidi w:val="0"/>
      </w:pPr>
      <w:r>
        <w:t>本次设计确定钻孔超深为1m。</w:t>
      </w:r>
    </w:p>
    <w:p w14:paraId="47783228">
      <w:pPr>
        <w:pStyle w:val="41"/>
        <w:bidi w:val="0"/>
      </w:pPr>
      <w:r>
        <w:t>5</w:t>
      </w:r>
      <w:r>
        <w:rPr>
          <w:rFonts w:hint="eastAsia"/>
        </w:rPr>
        <w:t>）</w:t>
      </w:r>
      <w:r>
        <w:t>排距b</w:t>
      </w:r>
    </w:p>
    <w:p w14:paraId="6928F960">
      <w:pPr>
        <w:pStyle w:val="41"/>
        <w:bidi w:val="0"/>
      </w:pPr>
      <w:r>
        <w:rPr>
          <w:rFonts w:hint="eastAsia"/>
        </w:rPr>
        <w:t>参考同类型矿山实践经验，此处取排距b</w:t>
      </w:r>
      <w:r>
        <w:t>=W</w:t>
      </w:r>
      <w:r>
        <w:rPr>
          <w:rFonts w:hint="eastAsia"/>
        </w:rPr>
        <w:t>min</w:t>
      </w:r>
      <w:r>
        <w:t>=</w:t>
      </w:r>
      <w:r>
        <w:rPr>
          <w:rFonts w:hint="eastAsia"/>
        </w:rPr>
        <w:t>3.5m。</w:t>
      </w:r>
    </w:p>
    <w:p w14:paraId="63F3D7B3">
      <w:pPr>
        <w:pStyle w:val="41"/>
        <w:bidi w:val="0"/>
      </w:pPr>
      <w:r>
        <w:t>6</w:t>
      </w:r>
      <w:r>
        <w:rPr>
          <w:rFonts w:hint="eastAsia"/>
        </w:rPr>
        <w:t>）</w:t>
      </w:r>
      <w:r>
        <w:t>孔距a</w:t>
      </w:r>
    </w:p>
    <w:p w14:paraId="1CA6E996">
      <w:pPr>
        <w:pStyle w:val="41"/>
        <w:bidi w:val="0"/>
      </w:pPr>
      <w:r>
        <w:t>可用最小抵抗线W与炮孔密集系数m的乘积来计算，即</w:t>
      </w:r>
      <w:r>
        <w:rPr>
          <w:rFonts w:hint="eastAsia"/>
        </w:rPr>
        <w:t>：</w:t>
      </w:r>
    </w:p>
    <w:p w14:paraId="4A5BE720">
      <w:pPr>
        <w:pStyle w:val="41"/>
        <w:bidi w:val="0"/>
      </w:pPr>
      <w:r>
        <w:t>a=m×W</w:t>
      </w:r>
      <w:r>
        <w:rPr>
          <w:rFonts w:hint="eastAsia"/>
        </w:rPr>
        <w:t>min</w:t>
      </w:r>
    </w:p>
    <w:p w14:paraId="42BE82FA">
      <w:pPr>
        <w:pStyle w:val="41"/>
        <w:bidi w:val="0"/>
      </w:pPr>
      <w:r>
        <w:t>式中：</w:t>
      </w:r>
    </w:p>
    <w:p w14:paraId="21B38E2F">
      <w:pPr>
        <w:pStyle w:val="41"/>
        <w:bidi w:val="0"/>
      </w:pPr>
      <w:r>
        <w:rPr>
          <w:rFonts w:hint="eastAsia"/>
        </w:rPr>
        <w:t>m</w:t>
      </w:r>
      <w:r>
        <w:t>-为</w:t>
      </w:r>
      <w:r>
        <w:rPr>
          <w:rFonts w:hint="eastAsia"/>
        </w:rPr>
        <w:t>炮孔密集系数</w:t>
      </w:r>
      <w:r>
        <w:t>，</w:t>
      </w:r>
      <w:r>
        <w:rPr>
          <w:rFonts w:hint="eastAsia"/>
        </w:rPr>
        <w:t>一般为0</w:t>
      </w:r>
      <w:r>
        <w:t>.8~1.</w:t>
      </w:r>
      <w:r>
        <w:rPr>
          <w:rFonts w:hint="eastAsia"/>
        </w:rPr>
        <w:t>5。</w:t>
      </w:r>
    </w:p>
    <w:p w14:paraId="006260FE">
      <w:pPr>
        <w:pStyle w:val="41"/>
        <w:bidi w:val="0"/>
      </w:pPr>
      <w:r>
        <w:rPr>
          <w:rFonts w:hint="eastAsia"/>
        </w:rPr>
        <w:t>经计算：</w:t>
      </w:r>
    </w:p>
    <w:p w14:paraId="592FA16D">
      <w:pPr>
        <w:pStyle w:val="41"/>
        <w:bidi w:val="0"/>
      </w:pPr>
      <w:r>
        <w:rPr>
          <w:rFonts w:hint="eastAsia"/>
        </w:rPr>
        <w:t>a</w:t>
      </w:r>
      <w:r>
        <w:t>=（</w:t>
      </w:r>
      <w:r>
        <w:rPr>
          <w:rFonts w:hint="eastAsia"/>
        </w:rPr>
        <w:t>0</w:t>
      </w:r>
      <w:r>
        <w:t>.8</w:t>
      </w:r>
      <w:r>
        <w:rPr>
          <w:rFonts w:hint="eastAsia"/>
        </w:rPr>
        <w:t>~</w:t>
      </w:r>
      <w:r>
        <w:t>1.</w:t>
      </w:r>
      <w:r>
        <w:rPr>
          <w:rFonts w:hint="eastAsia"/>
        </w:rPr>
        <w:t>5</w:t>
      </w:r>
      <w:r>
        <w:t>）×</w:t>
      </w:r>
      <w:r>
        <w:rPr>
          <w:rFonts w:hint="eastAsia"/>
        </w:rPr>
        <w:t>3.5</w:t>
      </w:r>
      <w:r>
        <w:t>=</w:t>
      </w:r>
      <w:r>
        <w:rPr>
          <w:rFonts w:hint="eastAsia"/>
        </w:rPr>
        <w:t>2.8</w:t>
      </w:r>
      <w:r>
        <w:rPr>
          <w:rFonts w:hint="eastAsia"/>
          <w:lang w:eastAsia="zh-CN"/>
        </w:rPr>
        <w:t>～</w:t>
      </w:r>
      <w:r>
        <w:rPr>
          <w:rFonts w:hint="eastAsia"/>
        </w:rPr>
        <w:t>5.25m</w:t>
      </w:r>
    </w:p>
    <w:p w14:paraId="1350B26F">
      <w:pPr>
        <w:pStyle w:val="41"/>
        <w:bidi w:val="0"/>
      </w:pPr>
      <w:r>
        <w:rPr>
          <w:rFonts w:hint="eastAsia"/>
        </w:rPr>
        <w:t>此处参考同类型矿山实践经验，取5m。</w:t>
      </w:r>
    </w:p>
    <w:p w14:paraId="19DA1A67">
      <w:pPr>
        <w:pStyle w:val="41"/>
        <w:bidi w:val="0"/>
      </w:pPr>
      <w:r>
        <w:t>7</w:t>
      </w:r>
      <w:r>
        <w:rPr>
          <w:rFonts w:hint="eastAsia"/>
        </w:rPr>
        <w:t>）</w:t>
      </w:r>
      <w:r>
        <w:t>填塞长度L2</w:t>
      </w:r>
    </w:p>
    <w:p w14:paraId="5F339F3B">
      <w:pPr>
        <w:pStyle w:val="41"/>
        <w:bidi w:val="0"/>
      </w:pPr>
      <w:r>
        <w:t>通常取（20</w:t>
      </w:r>
      <w:r>
        <w:rPr>
          <w:rFonts w:hint="eastAsia"/>
        </w:rPr>
        <w:t>~</w:t>
      </w:r>
      <w:r>
        <w:t>40）d</w:t>
      </w:r>
      <w:r>
        <w:rPr>
          <w:rFonts w:hint="eastAsia"/>
          <w:lang w:eastAsia="zh-CN"/>
        </w:rPr>
        <w:t>作为</w:t>
      </w:r>
      <w:r>
        <w:t>填塞长度，</w:t>
      </w:r>
      <w:r>
        <w:rPr>
          <w:rFonts w:hint="eastAsia"/>
        </w:rPr>
        <w:t>此处参考同类型矿山实践经验，</w:t>
      </w:r>
      <w:r>
        <w:t>取</w:t>
      </w:r>
      <w:r>
        <w:rPr>
          <w:rFonts w:hint="eastAsia"/>
        </w:rPr>
        <w:t>4</w:t>
      </w:r>
      <w:r>
        <w:t>m</w:t>
      </w:r>
      <w:r>
        <w:rPr>
          <w:rFonts w:hint="eastAsia"/>
        </w:rPr>
        <w:t>。</w:t>
      </w:r>
    </w:p>
    <w:p w14:paraId="5A709504">
      <w:pPr>
        <w:pStyle w:val="41"/>
        <w:bidi w:val="0"/>
        <w:rPr>
          <w:lang w:eastAsia="zh-TW"/>
        </w:rPr>
      </w:pPr>
      <w:r>
        <w:t>8</w:t>
      </w:r>
      <w:r>
        <w:rPr>
          <w:rFonts w:hint="eastAsia"/>
        </w:rPr>
        <w:t>）</w:t>
      </w:r>
      <w:r>
        <w:rPr>
          <w:lang w:eastAsia="zh-TW"/>
        </w:rPr>
        <w:t>孔深</w:t>
      </w:r>
    </w:p>
    <w:p w14:paraId="2C119A96">
      <w:pPr>
        <w:pStyle w:val="41"/>
        <w:bidi w:val="0"/>
      </w:pPr>
      <w:r>
        <w:t>L=H/sin（90°）+h/sin（90°）=1</w:t>
      </w:r>
      <w:r>
        <w:rPr>
          <w:rFonts w:hint="eastAsia"/>
        </w:rPr>
        <w:t>2</w:t>
      </w:r>
      <w:r>
        <w:t>m+1m=1</w:t>
      </w:r>
      <w:r>
        <w:rPr>
          <w:rFonts w:hint="eastAsia"/>
        </w:rPr>
        <w:t>3</w:t>
      </w:r>
      <w:r>
        <w:t>m</w:t>
      </w:r>
    </w:p>
    <w:p w14:paraId="3A64480E">
      <w:pPr>
        <w:pStyle w:val="41"/>
        <w:bidi w:val="0"/>
      </w:pPr>
      <w:r>
        <w:t>故孔深取1</w:t>
      </w:r>
      <w:r>
        <w:rPr>
          <w:rFonts w:hint="eastAsia"/>
        </w:rPr>
        <w:t>3</w:t>
      </w:r>
      <w:r>
        <w:t>m。</w:t>
      </w:r>
    </w:p>
    <w:p w14:paraId="342D1994">
      <w:pPr>
        <w:pStyle w:val="41"/>
        <w:bidi w:val="0"/>
      </w:pPr>
      <w:r>
        <w:t>9</w:t>
      </w:r>
      <w:r>
        <w:rPr>
          <w:rFonts w:hint="eastAsia"/>
        </w:rPr>
        <w:t>）</w:t>
      </w:r>
      <w:r>
        <w:t>装药长度L1</w:t>
      </w:r>
    </w:p>
    <w:p w14:paraId="413B0A19">
      <w:pPr>
        <w:pStyle w:val="41"/>
        <w:bidi w:val="0"/>
      </w:pPr>
      <w:bookmarkStart w:id="236" w:name="_Hlk180004625"/>
      <w:r>
        <w:t>L1=L-L2=1</w:t>
      </w:r>
      <w:r>
        <w:rPr>
          <w:rFonts w:hint="eastAsia"/>
        </w:rPr>
        <w:t>3</w:t>
      </w:r>
      <w:r>
        <w:t>-</w:t>
      </w:r>
      <w:r>
        <w:rPr>
          <w:rFonts w:hint="eastAsia"/>
        </w:rPr>
        <w:t>4</w:t>
      </w:r>
      <w:r>
        <w:t>=</w:t>
      </w:r>
      <w:r>
        <w:rPr>
          <w:rFonts w:hint="eastAsia"/>
        </w:rPr>
        <w:t>9m</w:t>
      </w:r>
    </w:p>
    <w:p w14:paraId="10FF37ED">
      <w:pPr>
        <w:pStyle w:val="41"/>
        <w:bidi w:val="0"/>
      </w:pPr>
      <w:r>
        <w:t>装药长度L1取</w:t>
      </w:r>
      <w:r>
        <w:rPr>
          <w:rFonts w:hint="eastAsia"/>
        </w:rPr>
        <w:t>9</w:t>
      </w:r>
      <w:r>
        <w:t>m</w:t>
      </w:r>
      <w:r>
        <w:rPr>
          <w:rFonts w:hint="eastAsia"/>
        </w:rPr>
        <w:t>。</w:t>
      </w:r>
      <w:bookmarkEnd w:id="236"/>
    </w:p>
    <w:p w14:paraId="2A114695">
      <w:pPr>
        <w:pStyle w:val="41"/>
        <w:bidi w:val="0"/>
      </w:pPr>
      <w:bookmarkStart w:id="237" w:name="_Hlk150793275"/>
      <w:r>
        <w:t>10</w:t>
      </w:r>
      <w:r>
        <w:rPr>
          <w:rFonts w:hint="eastAsia"/>
        </w:rPr>
        <w:t>）</w:t>
      </w:r>
      <w:r>
        <w:t>单位炸药消耗量q</w:t>
      </w:r>
    </w:p>
    <w:p w14:paraId="73CD808B">
      <w:pPr>
        <w:pStyle w:val="41"/>
        <w:bidi w:val="0"/>
      </w:pPr>
      <w:r>
        <w:rPr>
          <w:rFonts w:hint="eastAsia"/>
        </w:rPr>
        <w:t>根据炸药单耗的经验公式：</w:t>
      </w:r>
    </w:p>
    <w:p w14:paraId="2DC93A1A">
      <w:pPr>
        <w:pStyle w:val="41"/>
        <w:bidi w:val="0"/>
      </w:pPr>
      <m:oMath>
        <m:r>
          <m:rPr>
            <m:sty m:val="p"/>
          </m:rPr>
          <w:rPr>
            <w:rFonts w:hint="eastAsia" w:ascii="Times New Roman" w:hAnsi="Times New Roman"/>
          </w:rPr>
          <m:t>q</m:t>
        </m:r>
        <m:r>
          <m:rPr>
            <m:sty m:val="p"/>
          </m:rPr>
          <w:rPr>
            <w:rFonts w:ascii="Times New Roman" w:hAnsi="Times New Roman"/>
          </w:rPr>
          <m:t>=0.4</m:t>
        </m:r>
        <m:f>
          <m:fPr>
            <m:ctrlPr>
              <w:rPr>
                <w:rFonts w:ascii="Cambria Math" w:hAnsi="Cambria Math"/>
              </w:rPr>
            </m:ctrlPr>
          </m:fPr>
          <m:num>
            <m:r>
              <m:rPr>
                <m:sty m:val="p"/>
              </m:rPr>
              <w:rPr>
                <w:rFonts w:ascii="Times New Roman" w:hAnsi="Times New Roman"/>
              </w:rPr>
              <m:t>RF</m:t>
            </m:r>
            <m:ctrlPr>
              <w:rPr>
                <w:rFonts w:ascii="Cambria Math" w:hAnsi="Cambria Math"/>
              </w:rPr>
            </m:ctrlPr>
          </m:num>
          <m:den>
            <m:r>
              <m:rPr>
                <m:sty m:val="p"/>
              </m:rPr>
              <w:rPr>
                <w:rFonts w:ascii="Times New Roman" w:hAnsi="Times New Roman"/>
              </w:rPr>
              <m:t>S</m:t>
            </m:r>
            <m:ctrlPr>
              <w:rPr>
                <w:rFonts w:ascii="Cambria Math" w:hAnsi="Cambria Math"/>
              </w:rPr>
            </m:ctrlPr>
          </m:den>
        </m:f>
      </m:oMath>
      <w:r>
        <w:t xml:space="preserve"> </w:t>
      </w:r>
    </w:p>
    <w:p w14:paraId="1BC6B69D">
      <w:pPr>
        <w:pStyle w:val="41"/>
        <w:bidi w:val="0"/>
      </w:pPr>
      <w:r>
        <w:rPr>
          <w:rFonts w:hint="eastAsia"/>
        </w:rPr>
        <w:t>式中：</w:t>
      </w:r>
    </w:p>
    <w:p w14:paraId="31585D3C">
      <w:pPr>
        <w:pStyle w:val="41"/>
        <w:bidi w:val="0"/>
      </w:pPr>
      <w:r>
        <w:rPr>
          <w:rFonts w:hint="eastAsia"/>
        </w:rPr>
        <w:t>R</w:t>
      </w:r>
      <w:r>
        <w:t>—</w:t>
      </w:r>
      <w:r>
        <w:rPr>
          <w:rFonts w:hint="eastAsia"/>
        </w:rPr>
        <w:t>岩石系数，</w:t>
      </w:r>
      <m:oMath>
        <m:r>
          <m:rPr>
            <m:sty m:val="p"/>
          </m:rPr>
          <w:rPr>
            <w:rFonts w:ascii="Times New Roman" w:hAnsi="Times New Roman"/>
          </w:rPr>
          <m:t>R=</m:t>
        </m:r>
        <m:f>
          <m:fPr>
            <m:ctrlPr>
              <w:rPr>
                <w:rFonts w:ascii="Cambria Math" w:hAnsi="Cambria Math"/>
              </w:rPr>
            </m:ctrlPr>
          </m:fPr>
          <m:num>
            <m:sSup>
              <m:sSupPr>
                <m:ctrlPr>
                  <w:rPr>
                    <w:rFonts w:ascii="Cambria Math" w:hAnsi="Cambria Math"/>
                  </w:rPr>
                </m:ctrlPr>
              </m:sSupPr>
              <m:e>
                <m:r>
                  <m:rPr>
                    <m:sty m:val="p"/>
                  </m:rPr>
                  <w:rPr>
                    <w:rFonts w:ascii="Times New Roman" w:hAnsi="Times New Roman"/>
                  </w:rPr>
                  <m:t>f</m:t>
                </m:r>
                <m:ctrlPr>
                  <w:rPr>
                    <w:rFonts w:ascii="Cambria Math" w:hAnsi="Cambria Math"/>
                  </w:rPr>
                </m:ctrlPr>
              </m:e>
              <m:sup>
                <m:r>
                  <m:rPr>
                    <m:sty m:val="p"/>
                  </m:rPr>
                  <w:rPr>
                    <w:rFonts w:ascii="Times New Roman" w:hAnsi="Times New Roman"/>
                  </w:rPr>
                  <m:t>0.8</m:t>
                </m:r>
                <m:ctrlPr>
                  <w:rPr>
                    <w:rFonts w:ascii="Cambria Math" w:hAnsi="Cambria Math"/>
                  </w:rPr>
                </m:ctrlPr>
              </m:sup>
            </m:sSup>
            <m:r>
              <m:rPr>
                <m:sty m:val="p"/>
              </m:rPr>
              <w:rPr>
                <w:rFonts w:ascii="Times New Roman" w:hAnsi="Times New Roman"/>
              </w:rPr>
              <m:t>×</m:t>
            </m:r>
            <m:sSup>
              <m:sSupPr>
                <m:ctrlPr>
                  <w:rPr>
                    <w:rFonts w:ascii="Cambria Math" w:hAnsi="Cambria Math"/>
                  </w:rPr>
                </m:ctrlPr>
              </m:sSupPr>
              <m:e>
                <m:r>
                  <m:rPr>
                    <m:sty m:val="p"/>
                  </m:rPr>
                  <w:rPr>
                    <w:rFonts w:ascii="Times New Roman" w:hAnsi="Times New Roman"/>
                  </w:rPr>
                  <m:t>γ</m:t>
                </m:r>
                <m:ctrlPr>
                  <w:rPr>
                    <w:rFonts w:ascii="Cambria Math" w:hAnsi="Cambria Math"/>
                  </w:rPr>
                </m:ctrlPr>
              </m:e>
              <m:sup>
                <m:r>
                  <m:rPr>
                    <m:sty m:val="p"/>
                  </m:rPr>
                  <w:rPr>
                    <w:rFonts w:ascii="Times New Roman" w:hAnsi="Times New Roman"/>
                  </w:rPr>
                  <m:t>0.7</m:t>
                </m:r>
                <m:ctrlPr>
                  <w:rPr>
                    <w:rFonts w:ascii="Cambria Math" w:hAnsi="Cambria Math"/>
                  </w:rPr>
                </m:ctrlPr>
              </m:sup>
            </m:sSup>
            <m:ctrlPr>
              <w:rPr>
                <w:rFonts w:ascii="Cambria Math" w:hAnsi="Cambria Math"/>
              </w:rPr>
            </m:ctrlPr>
          </m:num>
          <m:den>
            <m:r>
              <m:rPr>
                <m:sty m:val="p"/>
              </m:rPr>
              <w:rPr>
                <w:rFonts w:ascii="Times New Roman" w:hAnsi="Times New Roman"/>
              </w:rPr>
              <m:t>12.5</m:t>
            </m:r>
            <m:ctrlPr>
              <w:rPr>
                <w:rFonts w:ascii="Cambria Math" w:hAnsi="Cambria Math"/>
              </w:rPr>
            </m:ctrlPr>
          </m:den>
        </m:f>
      </m:oMath>
      <w:r>
        <w:rPr>
          <w:rFonts w:hint="eastAsia"/>
        </w:rPr>
        <w:t>；f为岩石普氏系数，此处取7；</w:t>
      </w:r>
      <w:r>
        <w:t>γ</w:t>
      </w:r>
      <w:r>
        <w:rPr>
          <w:rFonts w:hint="eastAsia"/>
        </w:rPr>
        <w:t>为岩石容重。</w:t>
      </w:r>
    </w:p>
    <w:p w14:paraId="25FD831E">
      <w:pPr>
        <w:pStyle w:val="41"/>
        <w:bidi w:val="0"/>
      </w:pPr>
      <w:r>
        <w:rPr>
          <w:rFonts w:hint="eastAsia"/>
        </w:rPr>
        <w:t>S</w:t>
      </w:r>
      <w:r>
        <w:t>—</w:t>
      </w:r>
      <w:r>
        <w:rPr>
          <w:rFonts w:hint="eastAsia"/>
        </w:rPr>
        <w:t>单位炸药计算威力，此处取0</w:t>
      </w:r>
      <w:r>
        <w:t>.7</w:t>
      </w:r>
      <w:r>
        <w:rPr>
          <w:rFonts w:hint="eastAsia"/>
        </w:rPr>
        <w:t>；</w:t>
      </w:r>
    </w:p>
    <w:p w14:paraId="099BD1D8">
      <w:pPr>
        <w:pStyle w:val="41"/>
        <w:bidi w:val="0"/>
      </w:pPr>
      <w:r>
        <w:rPr>
          <w:rFonts w:hint="eastAsia"/>
        </w:rPr>
        <w:t>F</w:t>
      </w:r>
      <w:r>
        <w:t>—</w:t>
      </w:r>
      <w:r>
        <w:rPr>
          <w:rFonts w:hint="eastAsia"/>
        </w:rPr>
        <w:t>炮孔倾斜度，F</w:t>
      </w:r>
      <w:r>
        <w:t>=sin90°=1</w:t>
      </w:r>
    </w:p>
    <w:p w14:paraId="39CE0AEF">
      <w:pPr>
        <w:pStyle w:val="41"/>
        <w:bidi w:val="0"/>
      </w:pPr>
      <w:r>
        <w:rPr>
          <w:rFonts w:hint="eastAsia"/>
        </w:rPr>
        <w:t>通过计算得</w:t>
      </w:r>
      <w:r>
        <w:t>q＝</w:t>
      </w:r>
      <w:r>
        <w:rPr>
          <w:rFonts w:hint="eastAsia"/>
        </w:rPr>
        <w:t>0.44</w:t>
      </w:r>
      <w:r>
        <w:t>kg/</w:t>
      </w:r>
      <w:r>
        <w:rPr>
          <w:rFonts w:hint="eastAsia"/>
          <w:lang w:eastAsia="zh-CN"/>
        </w:rPr>
        <w:t>m</w:t>
      </w:r>
      <w:r>
        <w:rPr>
          <w:rFonts w:hint="eastAsia"/>
          <w:vertAlign w:val="superscript"/>
          <w:lang w:eastAsia="zh-CN"/>
        </w:rPr>
        <w:t>3</w:t>
      </w:r>
      <w:r>
        <w:rPr>
          <w:rFonts w:hint="eastAsia"/>
        </w:rPr>
        <w:t>，本次设计</w:t>
      </w:r>
      <w:r>
        <w:t>炸药单耗</w:t>
      </w:r>
      <w:r>
        <w:rPr>
          <w:rFonts w:hint="eastAsia"/>
        </w:rPr>
        <w:t>暂取</w:t>
      </w:r>
      <w:r>
        <w:t>q＝</w:t>
      </w:r>
      <w:r>
        <w:rPr>
          <w:rFonts w:hint="eastAsia"/>
        </w:rPr>
        <w:t>0.44</w:t>
      </w:r>
      <w:r>
        <w:t>kg/</w:t>
      </w:r>
      <w:r>
        <w:rPr>
          <w:rFonts w:hint="eastAsia"/>
          <w:lang w:eastAsia="zh-CN"/>
        </w:rPr>
        <w:t>m</w:t>
      </w:r>
      <w:r>
        <w:rPr>
          <w:rFonts w:hint="eastAsia"/>
          <w:vertAlign w:val="superscript"/>
          <w:lang w:eastAsia="zh-CN"/>
        </w:rPr>
        <w:t>3</w:t>
      </w:r>
      <w:r>
        <w:rPr>
          <w:rFonts w:hint="eastAsia"/>
        </w:rPr>
        <w:t>，</w:t>
      </w:r>
      <w:r>
        <w:t>具体待试爆后确定。</w:t>
      </w:r>
    </w:p>
    <w:p w14:paraId="308646E5">
      <w:pPr>
        <w:pStyle w:val="41"/>
        <w:bidi w:val="0"/>
      </w:pPr>
      <w:r>
        <w:rPr>
          <w:rFonts w:hint="eastAsia"/>
        </w:rPr>
        <w:t>1</w:t>
      </w:r>
      <w:r>
        <w:t>1）单孔装药量Q</w:t>
      </w:r>
    </w:p>
    <w:p w14:paraId="2A5A9164">
      <w:pPr>
        <w:pStyle w:val="41"/>
        <w:bidi w:val="0"/>
      </w:pPr>
      <w:r>
        <w:t>Q=qaWH</w:t>
      </w:r>
    </w:p>
    <w:p w14:paraId="6F8866C4">
      <w:pPr>
        <w:pStyle w:val="41"/>
        <w:bidi w:val="0"/>
      </w:pPr>
      <w:r>
        <w:t>式中</w:t>
      </w:r>
      <w:r>
        <w:rPr>
          <w:rFonts w:hint="eastAsia"/>
        </w:rPr>
        <w:t>：</w:t>
      </w:r>
    </w:p>
    <w:p w14:paraId="5EDB6B4E">
      <w:pPr>
        <w:pStyle w:val="41"/>
        <w:bidi w:val="0"/>
      </w:pPr>
      <w:r>
        <w:t>Q—单孔装药量，kg；</w:t>
      </w:r>
    </w:p>
    <w:p w14:paraId="22B08427">
      <w:pPr>
        <w:pStyle w:val="41"/>
        <w:bidi w:val="0"/>
      </w:pPr>
      <w:r>
        <w:t>q—炸药单耗，kg/</w:t>
      </w:r>
      <w:r>
        <w:rPr>
          <w:rFonts w:hint="eastAsia"/>
          <w:lang w:eastAsia="zh-CN"/>
        </w:rPr>
        <w:t>m</w:t>
      </w:r>
      <w:r>
        <w:rPr>
          <w:rFonts w:hint="eastAsia"/>
          <w:vertAlign w:val="superscript"/>
          <w:lang w:eastAsia="zh-CN"/>
        </w:rPr>
        <w:t>3</w:t>
      </w:r>
      <w:r>
        <w:t>，0.</w:t>
      </w:r>
      <w:r>
        <w:rPr>
          <w:rFonts w:hint="eastAsia"/>
        </w:rPr>
        <w:t>44</w:t>
      </w:r>
      <w:r>
        <w:t>kg/</w:t>
      </w:r>
      <w:r>
        <w:rPr>
          <w:rFonts w:hint="eastAsia"/>
          <w:lang w:eastAsia="zh-CN"/>
        </w:rPr>
        <w:t>m</w:t>
      </w:r>
      <w:r>
        <w:rPr>
          <w:rFonts w:hint="eastAsia"/>
          <w:vertAlign w:val="superscript"/>
          <w:lang w:eastAsia="zh-CN"/>
        </w:rPr>
        <w:t>3</w:t>
      </w:r>
      <w:r>
        <w:t>；</w:t>
      </w:r>
    </w:p>
    <w:p w14:paraId="68CA8676">
      <w:pPr>
        <w:pStyle w:val="41"/>
        <w:bidi w:val="0"/>
      </w:pPr>
      <w:r>
        <w:t>W—抵抗线长度，m，</w:t>
      </w:r>
      <w:r>
        <w:rPr>
          <w:rFonts w:hint="eastAsia"/>
        </w:rPr>
        <w:t>取</w:t>
      </w:r>
      <w:r>
        <w:t>W=</w:t>
      </w:r>
      <w:r>
        <w:rPr>
          <w:rFonts w:hint="eastAsia"/>
        </w:rPr>
        <w:t>3.5</w:t>
      </w:r>
      <w:r>
        <w:t>m；</w:t>
      </w:r>
    </w:p>
    <w:p w14:paraId="3C9542D8">
      <w:pPr>
        <w:pStyle w:val="41"/>
        <w:bidi w:val="0"/>
      </w:pPr>
      <w:r>
        <w:t>H—台阶高度，m，H=1</w:t>
      </w:r>
      <w:r>
        <w:rPr>
          <w:rFonts w:hint="eastAsia"/>
        </w:rPr>
        <w:t>2</w:t>
      </w:r>
      <w:r>
        <w:t>m。</w:t>
      </w:r>
    </w:p>
    <w:p w14:paraId="45323A7A">
      <w:pPr>
        <w:pStyle w:val="41"/>
        <w:bidi w:val="0"/>
      </w:pPr>
      <w:r>
        <w:rPr>
          <w:rFonts w:hint="eastAsia"/>
        </w:rPr>
        <w:t>经计算：</w:t>
      </w:r>
    </w:p>
    <w:p w14:paraId="32FA2447">
      <w:pPr>
        <w:pStyle w:val="41"/>
        <w:bidi w:val="0"/>
      </w:pPr>
      <w:r>
        <w:t>Q=qaWH=</w:t>
      </w:r>
      <w:r>
        <w:rPr>
          <w:rFonts w:hint="eastAsia"/>
        </w:rPr>
        <w:t>0.44</w:t>
      </w:r>
      <w:r>
        <w:t>×</w:t>
      </w:r>
      <w:r>
        <w:rPr>
          <w:rFonts w:hint="eastAsia"/>
        </w:rPr>
        <w:t>5</w:t>
      </w:r>
      <w:r>
        <w:t>×</w:t>
      </w:r>
      <w:r>
        <w:rPr>
          <w:rFonts w:hint="eastAsia"/>
        </w:rPr>
        <w:t>3.5</w:t>
      </w:r>
      <w:r>
        <w:t>×1</w:t>
      </w:r>
      <w:r>
        <w:rPr>
          <w:rFonts w:hint="eastAsia"/>
        </w:rPr>
        <w:t>2</w:t>
      </w:r>
      <w:r>
        <w:t>=</w:t>
      </w:r>
      <w:r>
        <w:rPr>
          <w:rFonts w:hint="eastAsia"/>
        </w:rPr>
        <w:t>92.4</w:t>
      </w:r>
      <w:r>
        <w:t>kg</w:t>
      </w:r>
    </w:p>
    <w:p w14:paraId="414E75FC">
      <w:pPr>
        <w:pStyle w:val="41"/>
        <w:bidi w:val="0"/>
      </w:pPr>
      <w:r>
        <w:t>本</w:t>
      </w:r>
      <w:r>
        <w:rPr>
          <w:rFonts w:hint="eastAsia"/>
        </w:rPr>
        <w:t>工程</w:t>
      </w:r>
      <w:r>
        <w:t>单孔装药量为</w:t>
      </w:r>
      <w:r>
        <w:rPr>
          <w:rFonts w:hint="eastAsia"/>
        </w:rPr>
        <w:t>92.4</w:t>
      </w:r>
      <w:r>
        <w:t>kg</w:t>
      </w:r>
      <w:r>
        <w:rPr>
          <w:rFonts w:hint="eastAsia"/>
        </w:rPr>
        <w:t>。</w:t>
      </w:r>
    </w:p>
    <w:p w14:paraId="7A11153E">
      <w:pPr>
        <w:pStyle w:val="41"/>
        <w:bidi w:val="0"/>
      </w:pPr>
      <w:r>
        <w:rPr>
          <w:rFonts w:hint="eastAsia"/>
        </w:rPr>
        <w:t>12）装药量验算</w:t>
      </w:r>
    </w:p>
    <w:p w14:paraId="7C68DD69">
      <w:pPr>
        <w:pStyle w:val="41"/>
        <w:bidi w:val="0"/>
      </w:pPr>
      <m:oMath>
        <m:sSubSup>
          <w:bookmarkStart w:id="238" w:name="_Hlk180004643"/>
          <m:sSubSupPr>
            <m:ctrlPr>
              <w:rPr>
                <w:rFonts w:ascii="Cambria Math" w:hAnsi="Cambria Math"/>
              </w:rPr>
            </m:ctrlPr>
          </m:sSubSupPr>
          <m:e>
            <m:r>
              <m:rPr>
                <m:nor/>
                <m:sty m:val="p"/>
              </m:rPr>
              <w:rPr>
                <w:rFonts w:ascii="Times New Roman" w:hAnsi="Times New Roman"/>
                <w:b w:val="0"/>
                <w:i w:val="0"/>
              </w:rPr>
              <m:t>Q</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up>
            <m:r>
              <m:rPr>
                <m:sty m:val="p"/>
              </m:rPr>
              <w:rPr>
                <w:rFonts w:ascii="Times New Roman" w:hAnsi="Times New Roman"/>
              </w:rPr>
              <m:t>'</m:t>
            </m:r>
            <m:ctrlPr>
              <w:rPr>
                <w:rFonts w:ascii="Cambria Math" w:hAnsi="Cambria Math"/>
              </w:rPr>
            </m:ctrlPr>
          </m:sup>
        </m:sSubSup>
        <m:r>
          <m:rPr>
            <m:nor/>
            <m:sty m:val="p"/>
          </m:rPr>
          <w:rPr>
            <w:rFonts w:ascii="Times New Roman" w:hAnsi="Times New Roman"/>
            <w:b w:val="0"/>
            <w:i w:val="0"/>
          </w:rPr>
          <m:t>=</m:t>
        </m:r>
        <m:f>
          <m:fPr>
            <m:ctrlPr>
              <w:rPr>
                <w:rFonts w:ascii="Cambria Math" w:hAnsi="Cambria Math"/>
              </w:rPr>
            </m:ctrlPr>
          </m:fPr>
          <m:num>
            <m:sSub>
              <m:sSubPr>
                <m:ctrlPr>
                  <w:rPr>
                    <w:rFonts w:ascii="Cambria Math" w:hAnsi="Cambria Math"/>
                  </w:rPr>
                </m:ctrlPr>
              </m:sSubPr>
              <m:e>
                <m:r>
                  <m:rPr>
                    <m:nor/>
                    <m:sty m:val="p"/>
                  </m:rPr>
                  <w:rPr>
                    <w:rFonts w:ascii="Times New Roman" w:hAnsi="Times New Roman"/>
                    <w:b w:val="0"/>
                    <w:i w:val="0"/>
                  </w:rPr>
                  <m:t>L</m:t>
                </m:r>
                <m:ctrlPr>
                  <w:rPr>
                    <w:rFonts w:ascii="Cambria Math" w:hAnsi="Cambria Math"/>
                  </w:rPr>
                </m:ctrlPr>
              </m:e>
              <m:sub>
                <m:r>
                  <m:rPr>
                    <m:nor/>
                    <m:sty m:val="p"/>
                  </m:rPr>
                  <w:rPr>
                    <w:rFonts w:ascii="Times New Roman" w:hAnsi="Times New Roman"/>
                    <w:b w:val="0"/>
                    <w:i w:val="0"/>
                  </w:rPr>
                  <m:t>1</m:t>
                </m:r>
                <m:ctrlPr>
                  <w:rPr>
                    <w:rFonts w:ascii="Cambria Math" w:hAnsi="Cambria Math"/>
                  </w:rPr>
                </m:ctrlPr>
              </m:sub>
            </m:sSub>
            <m:r>
              <m:rPr>
                <m:nor/>
                <m:sty m:val="p"/>
              </m:rPr>
              <w:rPr>
                <w:rFonts w:hint="eastAsia" w:ascii="Times New Roman" w:hAnsi="Times New Roman"/>
                <w:b w:val="0"/>
                <w:i w:val="0"/>
              </w:rPr>
              <m:t>π</m:t>
            </m:r>
            <m:sSup>
              <m:sSupPr>
                <m:ctrlPr>
                  <w:rPr>
                    <w:rFonts w:ascii="Cambria Math" w:hAnsi="Cambria Math"/>
                  </w:rPr>
                </m:ctrlPr>
              </m:sSupPr>
              <m:e>
                <m:r>
                  <m:rPr>
                    <m:nor/>
                    <m:sty m:val="p"/>
                  </m:rPr>
                  <w:rPr>
                    <w:rFonts w:ascii="Times New Roman" w:hAnsi="Times New Roman"/>
                    <w:b w:val="0"/>
                    <w:i w:val="0"/>
                  </w:rPr>
                  <m:t>d</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ctrlPr>
              <w:rPr>
                <w:rFonts w:ascii="Cambria Math" w:hAnsi="Cambria Math"/>
              </w:rPr>
            </m:ctrlPr>
          </m:num>
          <m:den>
            <m:r>
              <m:rPr>
                <m:nor/>
                <m:sty m:val="p"/>
              </m:rPr>
              <w:rPr>
                <w:rFonts w:ascii="Times New Roman" w:hAnsi="Times New Roman"/>
                <w:b w:val="0"/>
                <w:i w:val="0"/>
              </w:rPr>
              <m:t>4</m:t>
            </m:r>
            <m:ctrlPr>
              <w:rPr>
                <w:rFonts w:ascii="Cambria Math" w:hAnsi="Cambria Math"/>
              </w:rPr>
            </m:ctrlPr>
          </m:den>
        </m:f>
        <m:r>
          <m:rPr>
            <m:nor/>
            <m:sty m:val="p"/>
          </m:rPr>
          <w:rPr>
            <w:rFonts w:ascii="Times New Roman" w:hAnsi="Times New Roman"/>
            <w:b w:val="0"/>
            <w:i w:val="0"/>
          </w:rPr>
          <m:t>=</m:t>
        </m:r>
        <m:f>
          <m:fPr>
            <m:ctrlPr>
              <w:rPr>
                <w:rFonts w:ascii="Cambria Math" w:hAnsi="Cambria Math"/>
              </w:rPr>
            </m:ctrlPr>
          </m:fPr>
          <m:num>
            <m:r>
              <m:rPr>
                <m:nor/>
                <m:sty m:val="p"/>
              </m:rPr>
              <w:rPr>
                <w:rFonts w:hint="eastAsia" w:ascii="Times New Roman" w:hAnsi="Times New Roman"/>
                <w:b w:val="0"/>
                <w:i w:val="0"/>
              </w:rPr>
              <m:t>9</m:t>
            </m:r>
            <m:r>
              <m:rPr>
                <m:nor/>
                <m:sty m:val="p"/>
              </m:rPr>
              <w:rPr>
                <w:rFonts w:ascii="Times New Roman" w:hAnsi="Times New Roman"/>
                <w:b w:val="0"/>
                <w:i w:val="0"/>
              </w:rPr>
              <m:t>×3.14×</m:t>
            </m:r>
            <m:sSup>
              <m:sSupPr>
                <m:ctrlPr>
                  <w:rPr>
                    <w:rFonts w:ascii="Cambria Math" w:hAnsi="Cambria Math"/>
                  </w:rPr>
                </m:ctrlPr>
              </m:sSupPr>
              <m:e>
                <m:r>
                  <m:rPr>
                    <m:nor/>
                    <m:sty m:val="p"/>
                  </m:rPr>
                  <w:rPr>
                    <w:rFonts w:ascii="Times New Roman" w:hAnsi="Times New Roman"/>
                    <w:b w:val="0"/>
                    <w:i w:val="0"/>
                  </w:rPr>
                  <m:t>0.</m:t>
                </m:r>
                <m:r>
                  <m:rPr>
                    <m:nor/>
                    <m:sty m:val="p"/>
                  </m:rPr>
                  <w:rPr>
                    <w:rFonts w:hint="eastAsia" w:ascii="Times New Roman" w:hAnsi="Times New Roman"/>
                    <w:b w:val="0"/>
                    <w:i w:val="0"/>
                  </w:rPr>
                  <m:t>11</m:t>
                </m:r>
                <m:ctrlPr>
                  <w:rPr>
                    <w:rFonts w:ascii="Cambria Math" w:hAnsi="Cambria Math"/>
                  </w:rPr>
                </m:ctrlPr>
              </m:e>
              <m:sup>
                <m:r>
                  <m:rPr>
                    <m:nor/>
                    <m:sty m:val="p"/>
                  </m:rPr>
                  <w:rPr>
                    <w:rFonts w:ascii="Times New Roman" w:hAnsi="Times New Roman"/>
                    <w:b w:val="0"/>
                    <w:i w:val="0"/>
                  </w:rPr>
                  <m:t>2</m:t>
                </m:r>
                <m:ctrlPr>
                  <w:rPr>
                    <w:rFonts w:ascii="Cambria Math" w:hAnsi="Cambria Math"/>
                  </w:rPr>
                </m:ctrlPr>
              </m:sup>
            </m:sSup>
            <m:r>
              <m:rPr>
                <m:nor/>
                <m:sty m:val="p"/>
              </m:rPr>
              <w:rPr>
                <w:rFonts w:ascii="Times New Roman" w:hAnsi="Times New Roman"/>
                <w:b w:val="0"/>
                <w:i w:val="0"/>
              </w:rPr>
              <m:t>×</m:t>
            </m:r>
            <m:r>
              <m:rPr>
                <m:nor/>
                <m:sty m:val="p"/>
              </m:rPr>
              <w:rPr>
                <w:rFonts w:hint="eastAsia" w:ascii="Times New Roman" w:hAnsi="Times New Roman"/>
                <w:b w:val="0"/>
                <w:i w:val="0"/>
              </w:rPr>
              <m:t>1100</m:t>
            </m:r>
            <m:ctrlPr>
              <w:rPr>
                <w:rFonts w:ascii="Cambria Math" w:hAnsi="Cambria Math"/>
              </w:rPr>
            </m:ctrlPr>
          </m:num>
          <m:den>
            <m:r>
              <m:rPr>
                <m:nor/>
                <m:sty m:val="p"/>
              </m:rPr>
              <w:rPr>
                <w:rFonts w:ascii="Times New Roman" w:hAnsi="Times New Roman"/>
                <w:b w:val="0"/>
                <w:i w:val="0"/>
              </w:rPr>
              <m:t>4</m:t>
            </m:r>
            <m:ctrlPr>
              <w:rPr>
                <w:rFonts w:ascii="Cambria Math" w:hAnsi="Cambria Math"/>
              </w:rPr>
            </m:ctrlPr>
          </m:den>
        </m:f>
        <m:r>
          <m:rPr>
            <m:nor/>
            <m:sty m:val="p"/>
          </m:rPr>
          <w:rPr>
            <w:rFonts w:ascii="Times New Roman" w:hAnsi="Times New Roman"/>
            <w:b w:val="0"/>
            <w:i w:val="0"/>
          </w:rPr>
          <m:t>=</m:t>
        </m:r>
        <m:r>
          <m:rPr>
            <m:nor/>
            <m:sty m:val="p"/>
          </m:rPr>
          <w:rPr>
            <w:rFonts w:hint="eastAsia" w:ascii="Times New Roman" w:hAnsi="Times New Roman"/>
            <w:b w:val="0"/>
            <w:i w:val="0"/>
          </w:rPr>
          <m:t>94.04kg</m:t>
        </m:r>
      </m:oMath>
      <w:r>
        <w:rPr>
          <w:rFonts w:hint="eastAsia"/>
        </w:rPr>
        <w:t xml:space="preserve"> </w:t>
      </w:r>
      <w:bookmarkEnd w:id="238"/>
    </w:p>
    <w:p w14:paraId="5E0308F1">
      <w:pPr>
        <w:pStyle w:val="41"/>
        <w:bidi w:val="0"/>
      </w:pPr>
      <w:r>
        <w:t>式中</w:t>
      </w:r>
      <w:r>
        <w:rPr>
          <w:rFonts w:hint="eastAsia"/>
        </w:rPr>
        <w:t>：</w:t>
      </w:r>
    </w:p>
    <w:p w14:paraId="357AF2DF">
      <w:pPr>
        <w:pStyle w:val="41"/>
        <w:bidi w:val="0"/>
      </w:pPr>
      <w:r>
        <w:t>Q1′—装药量验算值，kg；</w:t>
      </w:r>
    </w:p>
    <w:p w14:paraId="48C42F60">
      <w:pPr>
        <w:pStyle w:val="41"/>
        <w:bidi w:val="0"/>
      </w:pPr>
      <w:r>
        <w:t>Δ—装药密度，kg/</w:t>
      </w:r>
      <w:r>
        <w:rPr>
          <w:rFonts w:hint="eastAsia"/>
          <w:lang w:eastAsia="zh-CN"/>
        </w:rPr>
        <w:t>m</w:t>
      </w:r>
      <w:r>
        <w:rPr>
          <w:rFonts w:hint="eastAsia"/>
          <w:vertAlign w:val="superscript"/>
          <w:lang w:eastAsia="zh-CN"/>
        </w:rPr>
        <w:t>3</w:t>
      </w:r>
      <w:r>
        <w:t>，采用</w:t>
      </w:r>
      <w:r>
        <w:rPr>
          <w:rFonts w:hint="eastAsia"/>
        </w:rPr>
        <w:t>2</w:t>
      </w:r>
      <w:r>
        <w:t>#</w:t>
      </w:r>
      <w:r>
        <w:rPr>
          <w:rFonts w:hint="eastAsia"/>
        </w:rPr>
        <w:t>岩石乳化炸药</w:t>
      </w:r>
      <w:r>
        <w:t>，</w:t>
      </w:r>
      <w:r>
        <w:rPr>
          <w:rFonts w:hint="eastAsia"/>
        </w:rPr>
        <w:t>参考同类型矿山装药经验，取</w:t>
      </w:r>
      <w:r>
        <w:t>Δ=</w:t>
      </w:r>
      <w:r>
        <w:rPr>
          <w:rFonts w:hint="eastAsia"/>
        </w:rPr>
        <w:t>1100</w:t>
      </w:r>
      <w:r>
        <w:t>kg/</w:t>
      </w:r>
      <w:r>
        <w:rPr>
          <w:rFonts w:hint="eastAsia"/>
          <w:lang w:eastAsia="zh-CN"/>
        </w:rPr>
        <w:t>m</w:t>
      </w:r>
      <w:r>
        <w:rPr>
          <w:rFonts w:hint="eastAsia"/>
          <w:vertAlign w:val="superscript"/>
          <w:lang w:eastAsia="zh-CN"/>
        </w:rPr>
        <w:t>3</w:t>
      </w:r>
      <w:r>
        <w:t>；</w:t>
      </w:r>
    </w:p>
    <w:p w14:paraId="295A51F7">
      <w:pPr>
        <w:pStyle w:val="41"/>
        <w:bidi w:val="0"/>
      </w:pPr>
      <w:r>
        <w:rPr>
          <w:rFonts w:hint="eastAsia"/>
        </w:rPr>
        <w:t>L1</w:t>
      </w:r>
      <w:r>
        <w:t>—装药长度，m</w:t>
      </w:r>
      <w:r>
        <w:rPr>
          <w:rFonts w:hint="eastAsia"/>
        </w:rPr>
        <w:t>，L1</w:t>
      </w:r>
      <w:r>
        <w:t>=</w:t>
      </w:r>
      <w:r>
        <w:rPr>
          <w:rFonts w:hint="eastAsia"/>
        </w:rPr>
        <w:t>9</w:t>
      </w:r>
      <w:r>
        <w:t>m。</w:t>
      </w:r>
    </w:p>
    <w:p w14:paraId="09072D47">
      <w:pPr>
        <w:pStyle w:val="41"/>
        <w:bidi w:val="0"/>
      </w:pPr>
      <w:r>
        <w:t>经验算，所设计药量Q小于Q1′，符合设计要求。</w:t>
      </w:r>
    </w:p>
    <w:bookmarkEnd w:id="237"/>
    <w:p w14:paraId="7360A746">
      <w:pPr>
        <w:pStyle w:val="41"/>
        <w:bidi w:val="0"/>
      </w:pPr>
      <w:r>
        <w:t>1</w:t>
      </w:r>
      <w:r>
        <w:rPr>
          <w:rFonts w:hint="eastAsia"/>
        </w:rPr>
        <w:t>3</w:t>
      </w:r>
      <w:r>
        <w:t>）</w:t>
      </w:r>
      <w:r>
        <w:rPr>
          <w:rFonts w:hint="eastAsia"/>
        </w:rPr>
        <w:t>爆区大小</w:t>
      </w:r>
    </w:p>
    <w:p w14:paraId="5DFE2842">
      <w:pPr>
        <w:pStyle w:val="41"/>
        <w:bidi w:val="0"/>
      </w:pPr>
      <w:r>
        <w:t>根据矿山设计年产量，要满足5</w:t>
      </w:r>
      <w:r>
        <w:rPr>
          <w:rFonts w:hint="eastAsia"/>
        </w:rPr>
        <w:t>~</w:t>
      </w:r>
      <w:r>
        <w:t>10昼夜的生产量作为每次爆破量，选用爆破周期为7天，则</w:t>
      </w:r>
      <w:r>
        <w:rPr>
          <w:rFonts w:hint="eastAsia"/>
        </w:rPr>
        <w:t>：</w:t>
      </w:r>
    </w:p>
    <w:p w14:paraId="7A5B4151">
      <w:pPr>
        <w:pStyle w:val="41"/>
        <w:bidi w:val="0"/>
      </w:pPr>
      <w:r>
        <w:t>Q0=</w:t>
      </w:r>
      <w:r>
        <w:rPr>
          <w:rFonts w:hint="eastAsia"/>
        </w:rPr>
        <w:t>50</w:t>
      </w:r>
      <w:r>
        <w:t>0000×（1+0.03）×7/300=</w:t>
      </w:r>
      <w:r>
        <w:rPr>
          <w:rFonts w:hint="eastAsia"/>
        </w:rPr>
        <w:t>12017t</w:t>
      </w:r>
    </w:p>
    <w:p w14:paraId="19E5BC5C">
      <w:pPr>
        <w:pStyle w:val="41"/>
        <w:bidi w:val="0"/>
      </w:pPr>
      <w:r>
        <w:t>单个炮孔承担的爆破量按照下式计算：</w:t>
      </w:r>
    </w:p>
    <w:p w14:paraId="1D77D9AF">
      <w:pPr>
        <w:pStyle w:val="41"/>
        <w:bidi w:val="0"/>
      </w:pPr>
      <w:r>
        <w:t>Q=abHγ</w:t>
      </w:r>
    </w:p>
    <w:p w14:paraId="19E6D443">
      <w:pPr>
        <w:pStyle w:val="41"/>
        <w:bidi w:val="0"/>
      </w:pPr>
      <w:r>
        <w:t>式中：</w:t>
      </w:r>
    </w:p>
    <w:p w14:paraId="4769BEF8">
      <w:pPr>
        <w:pStyle w:val="41"/>
        <w:bidi w:val="0"/>
      </w:pPr>
      <w:r>
        <w:t>Q－单个炮孔爆破</w:t>
      </w:r>
      <w:r>
        <w:rPr>
          <w:rFonts w:hint="eastAsia"/>
        </w:rPr>
        <w:t>吨量</w:t>
      </w:r>
      <w:r>
        <w:t>，</w:t>
      </w:r>
      <w:r>
        <w:rPr>
          <w:rFonts w:hint="eastAsia"/>
        </w:rPr>
        <w:t>t</w:t>
      </w:r>
      <w:r>
        <w:t>；</w:t>
      </w:r>
    </w:p>
    <w:p w14:paraId="3ED00583">
      <w:pPr>
        <w:pStyle w:val="41"/>
        <w:bidi w:val="0"/>
      </w:pPr>
      <w:r>
        <w:t>a－孔距，</w:t>
      </w:r>
      <w:r>
        <w:rPr>
          <w:rFonts w:hint="eastAsia"/>
        </w:rPr>
        <w:t>5</w:t>
      </w:r>
      <w:r>
        <w:t>m；</w:t>
      </w:r>
    </w:p>
    <w:p w14:paraId="4D704F20">
      <w:pPr>
        <w:pStyle w:val="41"/>
        <w:bidi w:val="0"/>
      </w:pPr>
      <w:r>
        <w:t>b－排距，</w:t>
      </w:r>
      <w:r>
        <w:rPr>
          <w:rFonts w:hint="eastAsia"/>
        </w:rPr>
        <w:t>3.5</w:t>
      </w:r>
      <w:r>
        <w:t>m；</w:t>
      </w:r>
    </w:p>
    <w:p w14:paraId="689864FA">
      <w:pPr>
        <w:pStyle w:val="41"/>
        <w:bidi w:val="0"/>
      </w:pPr>
      <w:r>
        <w:t>H－台阶高度，12m；</w:t>
      </w:r>
    </w:p>
    <w:p w14:paraId="3966A94E">
      <w:pPr>
        <w:pStyle w:val="41"/>
        <w:bidi w:val="0"/>
      </w:pPr>
      <w:r>
        <w:t>γ－矿石体重，</w:t>
      </w:r>
      <w:r>
        <w:rPr>
          <w:rFonts w:hint="eastAsia"/>
        </w:rPr>
        <w:t>2.71</w:t>
      </w:r>
      <w:r>
        <w:t>t/</w:t>
      </w:r>
      <w:r>
        <w:rPr>
          <w:rFonts w:hint="eastAsia"/>
          <w:lang w:eastAsia="zh-CN"/>
        </w:rPr>
        <w:t>m</w:t>
      </w:r>
      <w:r>
        <w:rPr>
          <w:rFonts w:hint="eastAsia"/>
          <w:vertAlign w:val="superscript"/>
          <w:lang w:eastAsia="zh-CN"/>
        </w:rPr>
        <w:t>3</w:t>
      </w:r>
      <w:r>
        <w:t>。</w:t>
      </w:r>
    </w:p>
    <w:p w14:paraId="3279F10D">
      <w:pPr>
        <w:pStyle w:val="41"/>
        <w:bidi w:val="0"/>
      </w:pPr>
      <w:r>
        <w:t>计算得Q=</w:t>
      </w:r>
      <w:r>
        <w:rPr>
          <w:rFonts w:hint="eastAsia"/>
        </w:rPr>
        <w:t>569.1</w:t>
      </w:r>
      <w:r>
        <w:t>t</w:t>
      </w:r>
    </w:p>
    <w:p w14:paraId="0B213FCA">
      <w:pPr>
        <w:pStyle w:val="41"/>
        <w:bidi w:val="0"/>
      </w:pPr>
      <w:r>
        <w:t>所以一次爆破炮孔数按下式计算：</w:t>
      </w:r>
    </w:p>
    <w:p w14:paraId="1598E77A">
      <w:pPr>
        <w:pStyle w:val="41"/>
        <w:bidi w:val="0"/>
      </w:pPr>
      <w:r>
        <w:t>N=Q0/Q</w:t>
      </w:r>
    </w:p>
    <w:p w14:paraId="7DDC7E14">
      <w:pPr>
        <w:pStyle w:val="41"/>
        <w:bidi w:val="0"/>
      </w:pPr>
      <w:r>
        <w:t>计算结果为</w:t>
      </w:r>
      <w:r>
        <w:rPr>
          <w:rFonts w:hint="eastAsia"/>
        </w:rPr>
        <w:t>21.12</w:t>
      </w:r>
      <w:r>
        <w:t>，本次设计一次爆破孔数</w:t>
      </w:r>
      <w:r>
        <w:rPr>
          <w:rFonts w:hint="eastAsia"/>
        </w:rPr>
        <w:t>24</w:t>
      </w:r>
      <w:r>
        <w:t>，总爆破量满足要求。设计</w:t>
      </w:r>
      <w:r>
        <w:rPr>
          <w:rFonts w:hint="eastAsia"/>
        </w:rPr>
        <w:t>三</w:t>
      </w:r>
      <w:r>
        <w:t>排孔爆破，爆区宽为</w:t>
      </w:r>
      <w:r>
        <w:rPr>
          <w:rFonts w:hint="eastAsia"/>
        </w:rPr>
        <w:t>10.5</w:t>
      </w:r>
      <w:r>
        <w:t>m，爆区长为</w:t>
      </w:r>
      <w:r>
        <w:rPr>
          <w:rFonts w:hint="eastAsia"/>
        </w:rPr>
        <w:t>40</w:t>
      </w:r>
      <w:r>
        <w:t>m，台阶高1</w:t>
      </w:r>
      <w:r>
        <w:rPr>
          <w:rFonts w:hint="eastAsia"/>
        </w:rPr>
        <w:t>2</w:t>
      </w:r>
      <w:r>
        <w:t>m。爆破量为：</w:t>
      </w:r>
      <w:r>
        <w:rPr>
          <w:rFonts w:hint="eastAsia"/>
        </w:rPr>
        <w:t>13658t</w:t>
      </w:r>
      <w:r>
        <w:t>，可以满足矿山7天生产所需，炮孔布置合理。</w:t>
      </w:r>
    </w:p>
    <w:p w14:paraId="0EDDB570">
      <w:pPr>
        <w:pStyle w:val="41"/>
        <w:bidi w:val="0"/>
      </w:pPr>
      <w:r>
        <w:rPr>
          <w:rFonts w:hint="eastAsia"/>
        </w:rPr>
        <w:t>本次设计矿山正常生产爆破作业采用深孔微差爆破，炸药选用2</w:t>
      </w:r>
      <w:r>
        <w:t>#</w:t>
      </w:r>
      <w:r>
        <w:rPr>
          <w:rFonts w:hint="eastAsia"/>
        </w:rPr>
        <w:t>岩石乳化炸药。设计采用数码电子雷管，逐孔微差起爆。设计爆破参数，见表</w:t>
      </w:r>
      <w:r>
        <w:rPr>
          <w:rFonts w:hint="eastAsia"/>
          <w:lang w:val="en-US" w:eastAsia="zh-CN"/>
        </w:rPr>
        <w:t>4.3-1</w:t>
      </w:r>
      <w:r>
        <w:rPr>
          <w:rFonts w:hint="eastAsia"/>
        </w:rPr>
        <w:t>。</w:t>
      </w:r>
    </w:p>
    <w:p w14:paraId="6A863A04">
      <w:pPr>
        <w:pStyle w:val="45"/>
        <w:bidi w:val="0"/>
      </w:pPr>
      <w:r>
        <w:t>表</w:t>
      </w:r>
      <w:r>
        <w:rPr>
          <w:rFonts w:hint="eastAsia"/>
          <w:lang w:val="en-US" w:eastAsia="zh-CN"/>
        </w:rPr>
        <w:t>4.3-1</w:t>
      </w:r>
      <w:r>
        <w:rPr>
          <w:rFonts w:hint="eastAsia"/>
        </w:rPr>
        <w:t>矿山正常爆破参数表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4099"/>
        <w:gridCol w:w="1706"/>
        <w:gridCol w:w="1706"/>
      </w:tblGrid>
      <w:tr w14:paraId="167D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93" w:type="pct"/>
            <w:vAlign w:val="center"/>
          </w:tcPr>
          <w:p w14:paraId="1ED44EF7">
            <w:pPr>
              <w:pStyle w:val="43"/>
              <w:bidi w:val="0"/>
              <w:rPr>
                <w:b/>
                <w:bCs/>
              </w:rPr>
            </w:pPr>
            <w:bookmarkStart w:id="239" w:name="_Hlk150793585"/>
            <w:r>
              <w:rPr>
                <w:b/>
                <w:bCs/>
              </w:rPr>
              <w:t>序号</w:t>
            </w:r>
          </w:p>
        </w:tc>
        <w:tc>
          <w:tcPr>
            <w:tcW w:w="2405" w:type="pct"/>
            <w:vAlign w:val="center"/>
          </w:tcPr>
          <w:p w14:paraId="51E6106D">
            <w:pPr>
              <w:pStyle w:val="43"/>
              <w:bidi w:val="0"/>
              <w:rPr>
                <w:b/>
                <w:bCs/>
              </w:rPr>
            </w:pPr>
            <w:r>
              <w:rPr>
                <w:b/>
                <w:bCs/>
              </w:rPr>
              <w:t>名称及符号</w:t>
            </w:r>
          </w:p>
        </w:tc>
        <w:tc>
          <w:tcPr>
            <w:tcW w:w="1001" w:type="pct"/>
            <w:vAlign w:val="center"/>
          </w:tcPr>
          <w:p w14:paraId="0211165E">
            <w:pPr>
              <w:pStyle w:val="43"/>
              <w:bidi w:val="0"/>
              <w:rPr>
                <w:b/>
                <w:bCs/>
              </w:rPr>
            </w:pPr>
            <w:r>
              <w:rPr>
                <w:rFonts w:hint="eastAsia"/>
                <w:b/>
                <w:bCs/>
              </w:rPr>
              <w:t>设计参数</w:t>
            </w:r>
          </w:p>
        </w:tc>
        <w:tc>
          <w:tcPr>
            <w:tcW w:w="1001" w:type="pct"/>
            <w:vAlign w:val="center"/>
          </w:tcPr>
          <w:p w14:paraId="6493D5C9">
            <w:pPr>
              <w:pStyle w:val="43"/>
              <w:bidi w:val="0"/>
              <w:rPr>
                <w:b/>
                <w:bCs/>
              </w:rPr>
            </w:pPr>
            <w:r>
              <w:rPr>
                <w:b/>
                <w:bCs/>
              </w:rPr>
              <w:t>备注</w:t>
            </w:r>
          </w:p>
        </w:tc>
      </w:tr>
      <w:tr w14:paraId="17C7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6299ADD6">
            <w:pPr>
              <w:pStyle w:val="43"/>
              <w:bidi w:val="0"/>
            </w:pPr>
            <w:r>
              <w:t>1</w:t>
            </w:r>
          </w:p>
        </w:tc>
        <w:tc>
          <w:tcPr>
            <w:tcW w:w="2405" w:type="pct"/>
            <w:vAlign w:val="center"/>
          </w:tcPr>
          <w:p w14:paraId="3CAED058">
            <w:pPr>
              <w:pStyle w:val="43"/>
              <w:bidi w:val="0"/>
            </w:pPr>
            <w:r>
              <w:t>炮孔直径（d）</w:t>
            </w:r>
          </w:p>
        </w:tc>
        <w:tc>
          <w:tcPr>
            <w:tcW w:w="1001" w:type="pct"/>
            <w:vAlign w:val="center"/>
          </w:tcPr>
          <w:p w14:paraId="197BA580">
            <w:pPr>
              <w:pStyle w:val="43"/>
              <w:bidi w:val="0"/>
            </w:pPr>
            <w:r>
              <w:rPr>
                <w:rFonts w:hint="eastAsia"/>
              </w:rPr>
              <w:t>110mm</w:t>
            </w:r>
          </w:p>
        </w:tc>
        <w:tc>
          <w:tcPr>
            <w:tcW w:w="1001" w:type="pct"/>
            <w:vAlign w:val="center"/>
          </w:tcPr>
          <w:p w14:paraId="3788D7B2">
            <w:pPr>
              <w:pStyle w:val="43"/>
              <w:bidi w:val="0"/>
            </w:pPr>
          </w:p>
        </w:tc>
      </w:tr>
      <w:tr w14:paraId="6198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61DED446">
            <w:pPr>
              <w:pStyle w:val="43"/>
              <w:bidi w:val="0"/>
            </w:pPr>
            <w:r>
              <w:t>2</w:t>
            </w:r>
          </w:p>
        </w:tc>
        <w:tc>
          <w:tcPr>
            <w:tcW w:w="2405" w:type="pct"/>
            <w:vAlign w:val="center"/>
          </w:tcPr>
          <w:p w14:paraId="3C826742">
            <w:pPr>
              <w:pStyle w:val="43"/>
              <w:bidi w:val="0"/>
            </w:pPr>
            <w:r>
              <w:t>台阶高度（H）</w:t>
            </w:r>
          </w:p>
        </w:tc>
        <w:tc>
          <w:tcPr>
            <w:tcW w:w="1001" w:type="pct"/>
            <w:vAlign w:val="center"/>
          </w:tcPr>
          <w:p w14:paraId="71C0230B">
            <w:pPr>
              <w:pStyle w:val="43"/>
              <w:bidi w:val="0"/>
            </w:pPr>
            <w:r>
              <w:rPr>
                <w:rFonts w:hint="eastAsia"/>
              </w:rPr>
              <w:t>12m</w:t>
            </w:r>
          </w:p>
        </w:tc>
        <w:tc>
          <w:tcPr>
            <w:tcW w:w="1001" w:type="pct"/>
            <w:vAlign w:val="center"/>
          </w:tcPr>
          <w:p w14:paraId="730D558E">
            <w:pPr>
              <w:pStyle w:val="43"/>
              <w:bidi w:val="0"/>
            </w:pPr>
          </w:p>
        </w:tc>
      </w:tr>
      <w:tr w14:paraId="181C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21231004">
            <w:pPr>
              <w:pStyle w:val="43"/>
              <w:bidi w:val="0"/>
            </w:pPr>
            <w:r>
              <w:t>3</w:t>
            </w:r>
          </w:p>
        </w:tc>
        <w:tc>
          <w:tcPr>
            <w:tcW w:w="2405" w:type="pct"/>
            <w:vAlign w:val="center"/>
          </w:tcPr>
          <w:p w14:paraId="592A3AAD">
            <w:pPr>
              <w:pStyle w:val="43"/>
              <w:bidi w:val="0"/>
            </w:pPr>
            <w:r>
              <w:t>孔距（a）</w:t>
            </w:r>
          </w:p>
        </w:tc>
        <w:tc>
          <w:tcPr>
            <w:tcW w:w="1001" w:type="pct"/>
            <w:vAlign w:val="center"/>
          </w:tcPr>
          <w:p w14:paraId="4419D4CA">
            <w:pPr>
              <w:pStyle w:val="43"/>
              <w:bidi w:val="0"/>
            </w:pPr>
            <w:r>
              <w:rPr>
                <w:rFonts w:hint="eastAsia"/>
              </w:rPr>
              <w:t>5</w:t>
            </w:r>
            <w:r>
              <w:t>m</w:t>
            </w:r>
          </w:p>
        </w:tc>
        <w:tc>
          <w:tcPr>
            <w:tcW w:w="1001" w:type="pct"/>
            <w:vAlign w:val="center"/>
          </w:tcPr>
          <w:p w14:paraId="2E053056">
            <w:pPr>
              <w:pStyle w:val="43"/>
              <w:bidi w:val="0"/>
            </w:pPr>
          </w:p>
        </w:tc>
      </w:tr>
      <w:tr w14:paraId="32BE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0987AC7F">
            <w:pPr>
              <w:pStyle w:val="43"/>
              <w:bidi w:val="0"/>
            </w:pPr>
            <w:r>
              <w:t>4</w:t>
            </w:r>
          </w:p>
        </w:tc>
        <w:tc>
          <w:tcPr>
            <w:tcW w:w="2405" w:type="pct"/>
            <w:vAlign w:val="center"/>
          </w:tcPr>
          <w:p w14:paraId="34F14733">
            <w:pPr>
              <w:pStyle w:val="43"/>
              <w:bidi w:val="0"/>
            </w:pPr>
            <w:r>
              <w:t>排距（b）</w:t>
            </w:r>
          </w:p>
        </w:tc>
        <w:tc>
          <w:tcPr>
            <w:tcW w:w="1001" w:type="pct"/>
            <w:vAlign w:val="center"/>
          </w:tcPr>
          <w:p w14:paraId="274538CF">
            <w:pPr>
              <w:pStyle w:val="43"/>
              <w:bidi w:val="0"/>
            </w:pPr>
            <w:r>
              <w:rPr>
                <w:rFonts w:hint="eastAsia"/>
              </w:rPr>
              <w:t>3.5</w:t>
            </w:r>
            <w:r>
              <w:t>m</w:t>
            </w:r>
          </w:p>
        </w:tc>
        <w:tc>
          <w:tcPr>
            <w:tcW w:w="1001" w:type="pct"/>
            <w:vAlign w:val="center"/>
          </w:tcPr>
          <w:p w14:paraId="25A12967">
            <w:pPr>
              <w:pStyle w:val="43"/>
              <w:bidi w:val="0"/>
            </w:pPr>
          </w:p>
        </w:tc>
      </w:tr>
      <w:tr w14:paraId="64BB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4371DDA0">
            <w:pPr>
              <w:pStyle w:val="43"/>
              <w:bidi w:val="0"/>
            </w:pPr>
            <w:r>
              <w:t>5</w:t>
            </w:r>
          </w:p>
        </w:tc>
        <w:tc>
          <w:tcPr>
            <w:tcW w:w="2405" w:type="pct"/>
            <w:vAlign w:val="center"/>
          </w:tcPr>
          <w:p w14:paraId="025019E5">
            <w:pPr>
              <w:pStyle w:val="43"/>
              <w:bidi w:val="0"/>
            </w:pPr>
            <w:r>
              <w:t>底盘抵抗线（W</w:t>
            </w:r>
            <w:r>
              <w:rPr>
                <w:rFonts w:hint="eastAsia"/>
              </w:rPr>
              <w:t>d</w:t>
            </w:r>
            <w:r>
              <w:t>）</w:t>
            </w:r>
          </w:p>
        </w:tc>
        <w:tc>
          <w:tcPr>
            <w:tcW w:w="1001" w:type="pct"/>
            <w:vAlign w:val="center"/>
          </w:tcPr>
          <w:p w14:paraId="55FE26B4">
            <w:pPr>
              <w:pStyle w:val="43"/>
              <w:bidi w:val="0"/>
            </w:pPr>
            <w:r>
              <w:rPr>
                <w:rFonts w:hint="eastAsia"/>
              </w:rPr>
              <w:t>6.8</w:t>
            </w:r>
            <w:r>
              <w:t>m</w:t>
            </w:r>
          </w:p>
        </w:tc>
        <w:tc>
          <w:tcPr>
            <w:tcW w:w="1001" w:type="pct"/>
            <w:vAlign w:val="center"/>
          </w:tcPr>
          <w:p w14:paraId="121FB04C">
            <w:pPr>
              <w:pStyle w:val="43"/>
              <w:bidi w:val="0"/>
            </w:pPr>
          </w:p>
        </w:tc>
      </w:tr>
      <w:tr w14:paraId="617D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75734F84">
            <w:pPr>
              <w:pStyle w:val="43"/>
              <w:bidi w:val="0"/>
            </w:pPr>
            <w:r>
              <w:t>6</w:t>
            </w:r>
          </w:p>
        </w:tc>
        <w:tc>
          <w:tcPr>
            <w:tcW w:w="2405" w:type="pct"/>
            <w:vAlign w:val="center"/>
          </w:tcPr>
          <w:p w14:paraId="63BE6EF1">
            <w:pPr>
              <w:pStyle w:val="43"/>
              <w:bidi w:val="0"/>
            </w:pPr>
            <w:r>
              <w:t>钻孔倾角（θ）</w:t>
            </w:r>
          </w:p>
        </w:tc>
        <w:tc>
          <w:tcPr>
            <w:tcW w:w="1001" w:type="pct"/>
            <w:vAlign w:val="center"/>
          </w:tcPr>
          <w:p w14:paraId="1BB2F449">
            <w:pPr>
              <w:pStyle w:val="43"/>
              <w:bidi w:val="0"/>
            </w:pPr>
            <w:r>
              <w:rPr>
                <w:rFonts w:hint="eastAsia"/>
              </w:rPr>
              <w:t>9</w:t>
            </w:r>
            <w:r>
              <w:t>0°</w:t>
            </w:r>
          </w:p>
        </w:tc>
        <w:tc>
          <w:tcPr>
            <w:tcW w:w="1001" w:type="pct"/>
            <w:vAlign w:val="center"/>
          </w:tcPr>
          <w:p w14:paraId="3B525B1A">
            <w:pPr>
              <w:pStyle w:val="43"/>
              <w:bidi w:val="0"/>
            </w:pPr>
          </w:p>
        </w:tc>
      </w:tr>
      <w:tr w14:paraId="0681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32FAD135">
            <w:pPr>
              <w:pStyle w:val="43"/>
              <w:bidi w:val="0"/>
            </w:pPr>
            <w:r>
              <w:t>7</w:t>
            </w:r>
          </w:p>
        </w:tc>
        <w:tc>
          <w:tcPr>
            <w:tcW w:w="2405" w:type="pct"/>
            <w:vAlign w:val="center"/>
          </w:tcPr>
          <w:p w14:paraId="5B38BF49">
            <w:pPr>
              <w:pStyle w:val="43"/>
              <w:bidi w:val="0"/>
            </w:pPr>
            <w:r>
              <w:t>超深（h）</w:t>
            </w:r>
          </w:p>
        </w:tc>
        <w:tc>
          <w:tcPr>
            <w:tcW w:w="1001" w:type="pct"/>
            <w:vAlign w:val="center"/>
          </w:tcPr>
          <w:p w14:paraId="2B0F35FA">
            <w:pPr>
              <w:pStyle w:val="43"/>
              <w:bidi w:val="0"/>
            </w:pPr>
            <w:r>
              <w:rPr>
                <w:rFonts w:hint="eastAsia"/>
              </w:rPr>
              <w:t>1</w:t>
            </w:r>
            <w:r>
              <w:t>m</w:t>
            </w:r>
          </w:p>
        </w:tc>
        <w:tc>
          <w:tcPr>
            <w:tcW w:w="1001" w:type="pct"/>
            <w:vAlign w:val="center"/>
          </w:tcPr>
          <w:p w14:paraId="0196853A">
            <w:pPr>
              <w:pStyle w:val="43"/>
              <w:bidi w:val="0"/>
            </w:pPr>
          </w:p>
        </w:tc>
      </w:tr>
      <w:tr w14:paraId="27BC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370505B8">
            <w:pPr>
              <w:pStyle w:val="43"/>
              <w:bidi w:val="0"/>
            </w:pPr>
            <w:r>
              <w:t>8</w:t>
            </w:r>
          </w:p>
        </w:tc>
        <w:tc>
          <w:tcPr>
            <w:tcW w:w="2405" w:type="pct"/>
            <w:vAlign w:val="center"/>
          </w:tcPr>
          <w:p w14:paraId="56B925BD">
            <w:pPr>
              <w:pStyle w:val="43"/>
              <w:bidi w:val="0"/>
            </w:pPr>
            <w:r>
              <w:t>填塞（L1）</w:t>
            </w:r>
          </w:p>
        </w:tc>
        <w:tc>
          <w:tcPr>
            <w:tcW w:w="1001" w:type="pct"/>
            <w:vAlign w:val="center"/>
          </w:tcPr>
          <w:p w14:paraId="17E99F9A">
            <w:pPr>
              <w:pStyle w:val="43"/>
              <w:bidi w:val="0"/>
            </w:pPr>
            <w:r>
              <w:rPr>
                <w:rFonts w:hint="eastAsia"/>
              </w:rPr>
              <w:t>4</w:t>
            </w:r>
            <w:r>
              <w:t>m</w:t>
            </w:r>
          </w:p>
        </w:tc>
        <w:tc>
          <w:tcPr>
            <w:tcW w:w="1001" w:type="pct"/>
            <w:vAlign w:val="center"/>
          </w:tcPr>
          <w:p w14:paraId="789C858C">
            <w:pPr>
              <w:pStyle w:val="43"/>
              <w:bidi w:val="0"/>
            </w:pPr>
          </w:p>
        </w:tc>
      </w:tr>
      <w:tr w14:paraId="640C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7DA214D9">
            <w:pPr>
              <w:pStyle w:val="43"/>
              <w:bidi w:val="0"/>
            </w:pPr>
            <w:r>
              <w:t>9</w:t>
            </w:r>
          </w:p>
        </w:tc>
        <w:tc>
          <w:tcPr>
            <w:tcW w:w="2405" w:type="pct"/>
            <w:vAlign w:val="center"/>
          </w:tcPr>
          <w:p w14:paraId="4E06D266">
            <w:pPr>
              <w:pStyle w:val="43"/>
              <w:bidi w:val="0"/>
            </w:pPr>
            <w:r>
              <w:t>钻孔长度（L）</w:t>
            </w:r>
          </w:p>
        </w:tc>
        <w:tc>
          <w:tcPr>
            <w:tcW w:w="1001" w:type="pct"/>
            <w:vAlign w:val="center"/>
          </w:tcPr>
          <w:p w14:paraId="76C27FC6">
            <w:pPr>
              <w:pStyle w:val="43"/>
              <w:bidi w:val="0"/>
            </w:pPr>
            <w:r>
              <w:rPr>
                <w:rFonts w:hint="eastAsia"/>
              </w:rPr>
              <w:t>13</w:t>
            </w:r>
            <w:r>
              <w:t>m</w:t>
            </w:r>
          </w:p>
        </w:tc>
        <w:tc>
          <w:tcPr>
            <w:tcW w:w="1001" w:type="pct"/>
            <w:vAlign w:val="center"/>
          </w:tcPr>
          <w:p w14:paraId="1EACBE47">
            <w:pPr>
              <w:pStyle w:val="43"/>
              <w:bidi w:val="0"/>
            </w:pPr>
          </w:p>
        </w:tc>
      </w:tr>
      <w:tr w14:paraId="2B38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48EFF6E9">
            <w:pPr>
              <w:pStyle w:val="43"/>
              <w:bidi w:val="0"/>
            </w:pPr>
            <w:r>
              <w:t>10</w:t>
            </w:r>
          </w:p>
        </w:tc>
        <w:tc>
          <w:tcPr>
            <w:tcW w:w="2405" w:type="pct"/>
            <w:vAlign w:val="center"/>
          </w:tcPr>
          <w:p w14:paraId="38E02D6D">
            <w:pPr>
              <w:pStyle w:val="43"/>
              <w:bidi w:val="0"/>
            </w:pPr>
            <w:r>
              <w:t>装药长度（L2）</w:t>
            </w:r>
          </w:p>
        </w:tc>
        <w:tc>
          <w:tcPr>
            <w:tcW w:w="1001" w:type="pct"/>
            <w:vAlign w:val="center"/>
          </w:tcPr>
          <w:p w14:paraId="0B3B6DD7">
            <w:pPr>
              <w:pStyle w:val="43"/>
              <w:bidi w:val="0"/>
            </w:pPr>
            <w:r>
              <w:rPr>
                <w:rFonts w:hint="eastAsia"/>
              </w:rPr>
              <w:t>9</w:t>
            </w:r>
            <w:r>
              <w:t>m</w:t>
            </w:r>
          </w:p>
        </w:tc>
        <w:tc>
          <w:tcPr>
            <w:tcW w:w="1001" w:type="pct"/>
            <w:vAlign w:val="center"/>
          </w:tcPr>
          <w:p w14:paraId="01F19046">
            <w:pPr>
              <w:pStyle w:val="43"/>
              <w:bidi w:val="0"/>
            </w:pPr>
          </w:p>
        </w:tc>
      </w:tr>
      <w:tr w14:paraId="2AB4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326B2DCF">
            <w:pPr>
              <w:pStyle w:val="43"/>
              <w:bidi w:val="0"/>
            </w:pPr>
            <w:r>
              <w:t>11</w:t>
            </w:r>
          </w:p>
        </w:tc>
        <w:tc>
          <w:tcPr>
            <w:tcW w:w="2405" w:type="pct"/>
            <w:vAlign w:val="center"/>
          </w:tcPr>
          <w:p w14:paraId="54C93125">
            <w:pPr>
              <w:pStyle w:val="43"/>
              <w:bidi w:val="0"/>
            </w:pPr>
            <w:r>
              <w:t>单孔装药量（Q）</w:t>
            </w:r>
          </w:p>
        </w:tc>
        <w:tc>
          <w:tcPr>
            <w:tcW w:w="1001" w:type="pct"/>
            <w:vAlign w:val="center"/>
          </w:tcPr>
          <w:p w14:paraId="456F3534">
            <w:pPr>
              <w:pStyle w:val="43"/>
              <w:bidi w:val="0"/>
            </w:pPr>
            <w:r>
              <w:rPr>
                <w:rFonts w:hint="eastAsia"/>
              </w:rPr>
              <w:t>92.4</w:t>
            </w:r>
            <w:r>
              <w:t>kg</w:t>
            </w:r>
          </w:p>
        </w:tc>
        <w:tc>
          <w:tcPr>
            <w:tcW w:w="1001" w:type="pct"/>
            <w:vAlign w:val="center"/>
          </w:tcPr>
          <w:p w14:paraId="5658E0C9">
            <w:pPr>
              <w:pStyle w:val="43"/>
              <w:bidi w:val="0"/>
            </w:pPr>
          </w:p>
        </w:tc>
      </w:tr>
      <w:tr w14:paraId="77F6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6299AEEA">
            <w:pPr>
              <w:pStyle w:val="43"/>
              <w:bidi w:val="0"/>
            </w:pPr>
            <w:r>
              <w:t>12</w:t>
            </w:r>
          </w:p>
        </w:tc>
        <w:tc>
          <w:tcPr>
            <w:tcW w:w="2405" w:type="pct"/>
            <w:vAlign w:val="center"/>
          </w:tcPr>
          <w:p w14:paraId="3CD822DF">
            <w:pPr>
              <w:pStyle w:val="43"/>
              <w:bidi w:val="0"/>
            </w:pPr>
            <w:r>
              <w:t>最大一段装药量（Qmax）</w:t>
            </w:r>
          </w:p>
        </w:tc>
        <w:tc>
          <w:tcPr>
            <w:tcW w:w="1001" w:type="pct"/>
            <w:vAlign w:val="center"/>
          </w:tcPr>
          <w:p w14:paraId="4ABE9303">
            <w:pPr>
              <w:pStyle w:val="43"/>
              <w:bidi w:val="0"/>
            </w:pPr>
            <w:r>
              <w:rPr>
                <w:rFonts w:hint="eastAsia"/>
              </w:rPr>
              <w:t>92.4</w:t>
            </w:r>
            <w:r>
              <w:t>kg</w:t>
            </w:r>
          </w:p>
        </w:tc>
        <w:tc>
          <w:tcPr>
            <w:tcW w:w="1001" w:type="pct"/>
            <w:vAlign w:val="center"/>
          </w:tcPr>
          <w:p w14:paraId="0C1AB74E">
            <w:pPr>
              <w:pStyle w:val="43"/>
              <w:bidi w:val="0"/>
            </w:pPr>
            <w:r>
              <w:rPr>
                <w:rFonts w:hint="eastAsia"/>
              </w:rPr>
              <w:t>毫秒延时爆破</w:t>
            </w:r>
          </w:p>
        </w:tc>
      </w:tr>
      <w:tr w14:paraId="588A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549525D2">
            <w:pPr>
              <w:pStyle w:val="43"/>
              <w:bidi w:val="0"/>
            </w:pPr>
            <w:r>
              <w:t>13</w:t>
            </w:r>
          </w:p>
        </w:tc>
        <w:tc>
          <w:tcPr>
            <w:tcW w:w="2405" w:type="pct"/>
            <w:vAlign w:val="center"/>
          </w:tcPr>
          <w:p w14:paraId="78D8C885">
            <w:pPr>
              <w:pStyle w:val="43"/>
              <w:bidi w:val="0"/>
            </w:pPr>
            <w:r>
              <w:t>炸药单耗（q）</w:t>
            </w:r>
          </w:p>
        </w:tc>
        <w:tc>
          <w:tcPr>
            <w:tcW w:w="1001" w:type="pct"/>
            <w:vAlign w:val="center"/>
          </w:tcPr>
          <w:p w14:paraId="2F91915A">
            <w:pPr>
              <w:pStyle w:val="43"/>
              <w:bidi w:val="0"/>
              <w:rPr>
                <w:rFonts w:hint="eastAsia" w:eastAsia="宋体"/>
                <w:lang w:eastAsia="zh-CN"/>
              </w:rPr>
            </w:pPr>
            <w:r>
              <w:rPr>
                <w:rFonts w:hint="eastAsia"/>
              </w:rPr>
              <w:t>0.44</w:t>
            </w:r>
            <w:r>
              <w:t>kg/</w:t>
            </w:r>
            <w:r>
              <w:rPr>
                <w:rFonts w:hint="eastAsia"/>
                <w:lang w:eastAsia="zh-CN"/>
              </w:rPr>
              <w:t>m</w:t>
            </w:r>
            <w:r>
              <w:rPr>
                <w:rFonts w:hint="eastAsia"/>
                <w:vertAlign w:val="superscript"/>
                <w:lang w:eastAsia="zh-CN"/>
              </w:rPr>
              <w:t>3</w:t>
            </w:r>
          </w:p>
        </w:tc>
        <w:tc>
          <w:tcPr>
            <w:tcW w:w="1001" w:type="pct"/>
            <w:vAlign w:val="center"/>
          </w:tcPr>
          <w:p w14:paraId="7E81E70F">
            <w:pPr>
              <w:pStyle w:val="43"/>
              <w:bidi w:val="0"/>
            </w:pPr>
          </w:p>
        </w:tc>
      </w:tr>
      <w:tr w14:paraId="0606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3" w:type="pct"/>
            <w:vAlign w:val="center"/>
          </w:tcPr>
          <w:p w14:paraId="46374A23">
            <w:pPr>
              <w:pStyle w:val="43"/>
              <w:bidi w:val="0"/>
            </w:pPr>
            <w:r>
              <w:t>14</w:t>
            </w:r>
          </w:p>
        </w:tc>
        <w:tc>
          <w:tcPr>
            <w:tcW w:w="2405" w:type="pct"/>
            <w:vAlign w:val="center"/>
          </w:tcPr>
          <w:p w14:paraId="522407F7">
            <w:pPr>
              <w:pStyle w:val="43"/>
              <w:bidi w:val="0"/>
            </w:pPr>
            <w:r>
              <w:t>布孔方式</w:t>
            </w:r>
          </w:p>
        </w:tc>
        <w:tc>
          <w:tcPr>
            <w:tcW w:w="1001" w:type="pct"/>
            <w:vAlign w:val="center"/>
          </w:tcPr>
          <w:p w14:paraId="4B52741C">
            <w:pPr>
              <w:pStyle w:val="43"/>
              <w:bidi w:val="0"/>
            </w:pPr>
            <w:r>
              <w:t>三角形</w:t>
            </w:r>
          </w:p>
        </w:tc>
        <w:tc>
          <w:tcPr>
            <w:tcW w:w="1001" w:type="pct"/>
            <w:vAlign w:val="center"/>
          </w:tcPr>
          <w:p w14:paraId="353D26CC">
            <w:pPr>
              <w:pStyle w:val="43"/>
              <w:bidi w:val="0"/>
            </w:pPr>
          </w:p>
        </w:tc>
      </w:tr>
      <w:bookmarkEnd w:id="235"/>
      <w:bookmarkEnd w:id="239"/>
    </w:tbl>
    <w:p w14:paraId="680D224C">
      <w:pPr>
        <w:pStyle w:val="41"/>
        <w:bidi w:val="0"/>
        <w:rPr>
          <w:b/>
          <w:bCs/>
        </w:rPr>
      </w:pPr>
      <w:r>
        <w:rPr>
          <w:rFonts w:hint="eastAsia"/>
          <w:b/>
          <w:bCs/>
          <w:lang w:eastAsia="zh-CN"/>
        </w:rPr>
        <w:t>（</w:t>
      </w:r>
      <w:r>
        <w:rPr>
          <w:rFonts w:hint="eastAsia"/>
          <w:b/>
          <w:bCs/>
          <w:lang w:val="en-US" w:eastAsia="zh-CN"/>
        </w:rPr>
        <w:t>2）</w:t>
      </w:r>
      <w:r>
        <w:rPr>
          <w:b/>
          <w:bCs/>
        </w:rPr>
        <w:t>预裂爆破</w:t>
      </w:r>
    </w:p>
    <w:p w14:paraId="5AE9B38C">
      <w:pPr>
        <w:pStyle w:val="41"/>
        <w:bidi w:val="0"/>
      </w:pPr>
      <w:bookmarkStart w:id="240" w:name="_Hlk155546396"/>
      <w:r>
        <w:rPr>
          <w:rFonts w:hint="eastAsia"/>
        </w:rPr>
        <w:t>1）</w:t>
      </w:r>
      <w:r>
        <w:t>孔径</w:t>
      </w:r>
      <w:r>
        <w:rPr>
          <w:rFonts w:hint="eastAsia"/>
        </w:rPr>
        <w:t>：</w:t>
      </w:r>
      <w:r>
        <w:t>D=90mm</w:t>
      </w:r>
    </w:p>
    <w:p w14:paraId="5299D7F4">
      <w:pPr>
        <w:pStyle w:val="41"/>
        <w:bidi w:val="0"/>
      </w:pPr>
      <w:r>
        <w:rPr>
          <w:rFonts w:hint="eastAsia"/>
        </w:rPr>
        <w:t>2）孔间距a</w:t>
      </w:r>
    </w:p>
    <w:p w14:paraId="72FE7A2A">
      <w:pPr>
        <w:pStyle w:val="41"/>
        <w:bidi w:val="0"/>
      </w:pPr>
      <w:r>
        <w:t>孔距</w:t>
      </w:r>
      <w:r>
        <w:rPr>
          <w:rFonts w:hint="eastAsia"/>
        </w:rPr>
        <w:t>预裂爆破</w:t>
      </w:r>
      <w:r>
        <w:t>的</w:t>
      </w:r>
      <w:r>
        <w:rPr>
          <w:rFonts w:hint="eastAsia"/>
        </w:rPr>
        <w:t>孔间距</w:t>
      </w:r>
      <w:r>
        <w:t>，可</w:t>
      </w:r>
      <w:r>
        <w:rPr>
          <w:rFonts w:hint="eastAsia"/>
        </w:rPr>
        <w:t>按照下述</w:t>
      </w:r>
      <w:r>
        <w:t>经验</w:t>
      </w:r>
      <w:r>
        <w:rPr>
          <w:rFonts w:hint="eastAsia"/>
        </w:rPr>
        <w:t>公式计算</w:t>
      </w:r>
      <w:r>
        <w:t>：</w:t>
      </w:r>
    </w:p>
    <w:p w14:paraId="27A184E3">
      <w:pPr>
        <w:pStyle w:val="41"/>
        <w:bidi w:val="0"/>
      </w:pPr>
      <w:r>
        <w:t>a</w:t>
      </w:r>
      <w:r>
        <w:rPr>
          <w:rFonts w:hint="eastAsia"/>
        </w:rPr>
        <w:t>=</w:t>
      </w:r>
      <w:r>
        <w:rPr>
          <w:rFonts w:hint="eastAsia"/>
          <w:lang w:eastAsia="zh-CN"/>
        </w:rPr>
        <w:t>(</w:t>
      </w:r>
      <w:r>
        <w:t>7</w:t>
      </w:r>
      <w:r>
        <w:rPr>
          <w:rFonts w:hint="eastAsia"/>
        </w:rPr>
        <w:t>~</w:t>
      </w:r>
      <w:r>
        <w:t>12</w:t>
      </w:r>
      <w:r>
        <w:rPr>
          <w:rFonts w:hint="eastAsia"/>
          <w:lang w:eastAsia="zh-CN"/>
        </w:rPr>
        <w:t>)</w:t>
      </w:r>
      <w:r>
        <w:rPr>
          <w:rFonts w:hint="eastAsia"/>
        </w:rPr>
        <w:t>d</w:t>
      </w:r>
    </w:p>
    <w:p w14:paraId="7A73B408">
      <w:pPr>
        <w:pStyle w:val="41"/>
        <w:bidi w:val="0"/>
      </w:pPr>
      <w:r>
        <w:rPr>
          <w:rFonts w:hint="eastAsia"/>
        </w:rPr>
        <w:t>式中：</w:t>
      </w:r>
    </w:p>
    <w:p w14:paraId="43CE8041">
      <w:pPr>
        <w:pStyle w:val="41"/>
        <w:bidi w:val="0"/>
      </w:pPr>
      <w:r>
        <w:t>d</w:t>
      </w:r>
      <w:r>
        <w:rPr>
          <w:rFonts w:hint="eastAsia"/>
        </w:rPr>
        <w:t>—炮孔直径，</w:t>
      </w:r>
      <w:r>
        <w:t>90</w:t>
      </w:r>
      <w:r>
        <w:rPr>
          <w:rFonts w:hint="eastAsia"/>
        </w:rPr>
        <w:t>mm。</w:t>
      </w:r>
    </w:p>
    <w:p w14:paraId="641B2670">
      <w:pPr>
        <w:pStyle w:val="41"/>
        <w:bidi w:val="0"/>
      </w:pPr>
      <w:r>
        <w:rPr>
          <w:rFonts w:hint="eastAsia"/>
        </w:rPr>
        <w:t>计算得：a=</w:t>
      </w:r>
      <w:r>
        <w:t>0.63</w:t>
      </w:r>
      <w:r>
        <w:rPr>
          <w:rFonts w:hint="eastAsia"/>
        </w:rPr>
        <w:t>m</w:t>
      </w:r>
      <w:r>
        <w:rPr>
          <w:rFonts w:hint="eastAsia"/>
          <w:lang w:eastAsia="zh-CN"/>
        </w:rPr>
        <w:t>～</w:t>
      </w:r>
      <w:r>
        <w:rPr>
          <w:rFonts w:hint="eastAsia"/>
        </w:rPr>
        <w:t>1</w:t>
      </w:r>
      <w:r>
        <w:t>.08m</w:t>
      </w:r>
      <w:r>
        <w:rPr>
          <w:rFonts w:hint="eastAsia"/>
        </w:rPr>
        <w:t>。</w:t>
      </w:r>
    </w:p>
    <w:p w14:paraId="009E74F4">
      <w:pPr>
        <w:pStyle w:val="41"/>
        <w:bidi w:val="0"/>
      </w:pPr>
      <w:r>
        <w:rPr>
          <w:rFonts w:hint="eastAsia"/>
        </w:rPr>
        <w:t>上</w:t>
      </w:r>
      <w:r>
        <w:t>式中系数硬岩取</w:t>
      </w:r>
      <w:r>
        <w:rPr>
          <w:rFonts w:hint="eastAsia"/>
        </w:rPr>
        <w:t>大</w:t>
      </w:r>
      <w:r>
        <w:t>值，软岩取</w:t>
      </w:r>
      <w:r>
        <w:rPr>
          <w:rFonts w:hint="eastAsia"/>
        </w:rPr>
        <w:t>小</w:t>
      </w:r>
      <w:r>
        <w:t>值</w:t>
      </w:r>
      <w:r>
        <w:rPr>
          <w:rFonts w:hint="eastAsia"/>
        </w:rPr>
        <w:t>。设计矿山赋存</w:t>
      </w:r>
      <w:r>
        <w:t>矿岩主要为</w:t>
      </w:r>
      <w:r>
        <w:rPr>
          <w:rFonts w:hint="eastAsia"/>
        </w:rPr>
        <w:t>石灰岩</w:t>
      </w:r>
      <w:r>
        <w:t>，</w:t>
      </w:r>
      <w:r>
        <w:rPr>
          <w:rFonts w:hint="eastAsia"/>
        </w:rPr>
        <w:t>普氏系数值3~7</w:t>
      </w:r>
      <w:r>
        <w:t>，</w:t>
      </w:r>
      <w:r>
        <w:rPr>
          <w:rFonts w:hint="eastAsia"/>
        </w:rPr>
        <w:t>属硬岩。本次</w:t>
      </w:r>
      <w:r>
        <w:t>设计</w:t>
      </w:r>
      <w:r>
        <w:rPr>
          <w:rFonts w:hint="eastAsia"/>
        </w:rPr>
        <w:t>系数</w:t>
      </w:r>
      <w:r>
        <w:t>取</w:t>
      </w:r>
      <w:r>
        <w:rPr>
          <w:rFonts w:hint="eastAsia"/>
        </w:rPr>
        <w:t>为</w:t>
      </w:r>
      <w:r>
        <w:t>11</w:t>
      </w:r>
      <w:r>
        <w:rPr>
          <w:rFonts w:hint="eastAsia"/>
        </w:rPr>
        <w:t>，</w:t>
      </w:r>
      <w:r>
        <w:t>计算得孔间距a</w:t>
      </w:r>
      <w:r>
        <w:rPr>
          <w:rFonts w:hint="eastAsia"/>
        </w:rPr>
        <w:t>为1.0</w:t>
      </w:r>
      <w:r>
        <w:t>m</w:t>
      </w:r>
      <w:r>
        <w:rPr>
          <w:rFonts w:hint="eastAsia"/>
        </w:rPr>
        <w:t>。</w:t>
      </w:r>
    </w:p>
    <w:p w14:paraId="59F95515">
      <w:pPr>
        <w:pStyle w:val="41"/>
        <w:bidi w:val="0"/>
      </w:pPr>
      <w:r>
        <w:rPr>
          <w:rFonts w:hint="eastAsia"/>
        </w:rPr>
        <w:t>3）不耦合</w:t>
      </w:r>
      <w:r>
        <w:t>系数</w:t>
      </w:r>
      <w:r>
        <w:rPr>
          <w:rFonts w:hint="eastAsia"/>
        </w:rPr>
        <w:t>m</w:t>
      </w:r>
    </w:p>
    <w:p w14:paraId="4D41F96B">
      <w:pPr>
        <w:pStyle w:val="41"/>
        <w:bidi w:val="0"/>
      </w:pPr>
      <w:r>
        <w:rPr>
          <w:rFonts w:hint="eastAsia"/>
        </w:rPr>
        <w:t>根据国内矿山爆破实践不耦合系数m的取值范围一般为2~5。</w:t>
      </w:r>
      <w:r>
        <w:t>本项目预裂孔装药</w:t>
      </w:r>
      <w:r>
        <w:rPr>
          <w:rFonts w:hint="eastAsia"/>
        </w:rPr>
        <w:t>采用φ3</w:t>
      </w:r>
      <w:r>
        <w:t>2</w:t>
      </w:r>
      <w:r>
        <w:rPr>
          <w:rFonts w:hint="eastAsia"/>
        </w:rPr>
        <w:t>卷状2</w:t>
      </w:r>
      <w:r>
        <w:t>#岩石乳化炸药，</w:t>
      </w:r>
      <w:r>
        <w:rPr>
          <w:rFonts w:hint="eastAsia"/>
        </w:rPr>
        <w:t>预裂炮孔</w:t>
      </w:r>
      <w:r>
        <w:t>直径为90mm</w:t>
      </w:r>
      <w:r>
        <w:rPr>
          <w:rFonts w:hint="eastAsia"/>
        </w:rPr>
        <w:t>，</w:t>
      </w:r>
      <w:r>
        <w:t>故不耦合系数为2.81</w:t>
      </w:r>
      <w:r>
        <w:rPr>
          <w:rFonts w:hint="eastAsia"/>
        </w:rPr>
        <w:t>，符合要求。</w:t>
      </w:r>
    </w:p>
    <w:p w14:paraId="770A6DA9">
      <w:pPr>
        <w:pStyle w:val="41"/>
        <w:bidi w:val="0"/>
      </w:pPr>
      <w:r>
        <w:rPr>
          <w:rFonts w:hint="eastAsia"/>
        </w:rPr>
        <w:t>4）</w:t>
      </w:r>
      <w:r>
        <w:t>线装药密度</w:t>
      </w:r>
    </w:p>
    <w:p w14:paraId="661DECE5">
      <w:pPr>
        <w:pStyle w:val="41"/>
        <w:bidi w:val="0"/>
      </w:pPr>
      <w:r>
        <w:rPr>
          <w:rFonts w:hint="eastAsia"/>
        </w:rPr>
        <w:t>参照</w:t>
      </w:r>
      <w:r>
        <w:t>类似工程施工经验</w:t>
      </w:r>
      <w:r>
        <w:rPr>
          <w:rFonts w:hint="eastAsia"/>
        </w:rPr>
        <w:t>，本次设计确定线装药密度为0.</w:t>
      </w:r>
      <w:r>
        <w:t>6</w:t>
      </w:r>
      <w:r>
        <w:rPr>
          <w:rFonts w:hint="eastAsia"/>
        </w:rPr>
        <w:t>kg/m。</w:t>
      </w:r>
    </w:p>
    <w:p w14:paraId="2515FAD0">
      <w:pPr>
        <w:pStyle w:val="41"/>
        <w:bidi w:val="0"/>
      </w:pPr>
      <w:r>
        <w:rPr>
          <w:rFonts w:hint="eastAsia"/>
        </w:rPr>
        <w:t>预裂爆破主要爆破参数，见表</w:t>
      </w:r>
      <w:r>
        <w:rPr>
          <w:rFonts w:hint="eastAsia"/>
          <w:lang w:val="en-US" w:eastAsia="zh-CN"/>
        </w:rPr>
        <w:t>4.3-2</w:t>
      </w:r>
      <w:r>
        <w:rPr>
          <w:rFonts w:hint="eastAsia"/>
        </w:rPr>
        <w:t>。</w:t>
      </w:r>
    </w:p>
    <w:p w14:paraId="5743CD6F">
      <w:pPr>
        <w:pStyle w:val="45"/>
        <w:bidi w:val="0"/>
      </w:pPr>
      <w:r>
        <w:t>表</w:t>
      </w:r>
      <w:r>
        <w:rPr>
          <w:rFonts w:hint="eastAsia"/>
          <w:lang w:val="en-US" w:eastAsia="zh-CN"/>
        </w:rPr>
        <w:t>4.3-2</w:t>
      </w:r>
      <w:r>
        <w:rPr>
          <w:rFonts w:hint="eastAsia"/>
        </w:rPr>
        <w:t>矿山预裂爆破参数表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2932"/>
        <w:gridCol w:w="1468"/>
        <w:gridCol w:w="1468"/>
        <w:gridCol w:w="1572"/>
      </w:tblGrid>
      <w:tr w14:paraId="3D2E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35" w:type="pct"/>
            <w:vAlign w:val="center"/>
          </w:tcPr>
          <w:p w14:paraId="5B2D54BD">
            <w:pPr>
              <w:pStyle w:val="43"/>
              <w:bidi w:val="0"/>
              <w:rPr>
                <w:b/>
                <w:bCs/>
              </w:rPr>
            </w:pPr>
            <w:bookmarkStart w:id="241" w:name="_Hlk180004705"/>
            <w:r>
              <w:rPr>
                <w:b/>
                <w:bCs/>
              </w:rPr>
              <w:t>序号</w:t>
            </w:r>
          </w:p>
        </w:tc>
        <w:tc>
          <w:tcPr>
            <w:tcW w:w="1720" w:type="pct"/>
            <w:vAlign w:val="center"/>
          </w:tcPr>
          <w:p w14:paraId="7518CA46">
            <w:pPr>
              <w:pStyle w:val="43"/>
              <w:bidi w:val="0"/>
              <w:rPr>
                <w:b/>
                <w:bCs/>
              </w:rPr>
            </w:pPr>
            <w:r>
              <w:rPr>
                <w:b/>
                <w:bCs/>
              </w:rPr>
              <w:t>名称及符号</w:t>
            </w:r>
          </w:p>
        </w:tc>
        <w:tc>
          <w:tcPr>
            <w:tcW w:w="861" w:type="pct"/>
            <w:vAlign w:val="center"/>
          </w:tcPr>
          <w:p w14:paraId="5314C3AF">
            <w:pPr>
              <w:pStyle w:val="43"/>
              <w:bidi w:val="0"/>
              <w:rPr>
                <w:b/>
                <w:bCs/>
              </w:rPr>
            </w:pPr>
            <w:r>
              <w:rPr>
                <w:rFonts w:hint="eastAsia"/>
                <w:b/>
                <w:bCs/>
              </w:rPr>
              <w:t>主爆</w:t>
            </w:r>
            <w:r>
              <w:rPr>
                <w:b/>
                <w:bCs/>
              </w:rPr>
              <w:t>孔</w:t>
            </w:r>
          </w:p>
        </w:tc>
        <w:tc>
          <w:tcPr>
            <w:tcW w:w="861" w:type="pct"/>
            <w:vAlign w:val="center"/>
          </w:tcPr>
          <w:p w14:paraId="5EA3EBE9">
            <w:pPr>
              <w:pStyle w:val="43"/>
              <w:bidi w:val="0"/>
              <w:rPr>
                <w:b/>
                <w:bCs/>
              </w:rPr>
            </w:pPr>
            <w:r>
              <w:rPr>
                <w:rFonts w:hint="eastAsia"/>
                <w:b/>
                <w:bCs/>
              </w:rPr>
              <w:t>辅助</w:t>
            </w:r>
            <w:r>
              <w:rPr>
                <w:b/>
                <w:bCs/>
              </w:rPr>
              <w:t>孔</w:t>
            </w:r>
          </w:p>
        </w:tc>
        <w:tc>
          <w:tcPr>
            <w:tcW w:w="922" w:type="pct"/>
            <w:vAlign w:val="center"/>
          </w:tcPr>
          <w:p w14:paraId="519E3398">
            <w:pPr>
              <w:pStyle w:val="43"/>
              <w:bidi w:val="0"/>
              <w:rPr>
                <w:b/>
                <w:bCs/>
              </w:rPr>
            </w:pPr>
            <w:r>
              <w:rPr>
                <w:b/>
                <w:bCs/>
              </w:rPr>
              <w:t>预裂孔</w:t>
            </w:r>
          </w:p>
        </w:tc>
      </w:tr>
      <w:tr w14:paraId="7D06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2DD7E3BA">
            <w:pPr>
              <w:pStyle w:val="43"/>
              <w:bidi w:val="0"/>
            </w:pPr>
            <w:r>
              <w:t>1</w:t>
            </w:r>
          </w:p>
        </w:tc>
        <w:tc>
          <w:tcPr>
            <w:tcW w:w="1720" w:type="pct"/>
            <w:vAlign w:val="center"/>
          </w:tcPr>
          <w:p w14:paraId="4E48289E">
            <w:pPr>
              <w:pStyle w:val="43"/>
              <w:bidi w:val="0"/>
            </w:pPr>
            <w:r>
              <w:t>炮孔直径（d）</w:t>
            </w:r>
          </w:p>
        </w:tc>
        <w:tc>
          <w:tcPr>
            <w:tcW w:w="861" w:type="pct"/>
            <w:vAlign w:val="center"/>
          </w:tcPr>
          <w:p w14:paraId="414B0B44">
            <w:pPr>
              <w:pStyle w:val="43"/>
              <w:bidi w:val="0"/>
            </w:pPr>
            <w:r>
              <w:rPr>
                <w:rFonts w:hint="eastAsia"/>
              </w:rPr>
              <w:t>110</w:t>
            </w:r>
            <w:r>
              <w:t>mm</w:t>
            </w:r>
          </w:p>
        </w:tc>
        <w:tc>
          <w:tcPr>
            <w:tcW w:w="861" w:type="pct"/>
            <w:vAlign w:val="center"/>
          </w:tcPr>
          <w:p w14:paraId="76FC0FAF">
            <w:pPr>
              <w:pStyle w:val="43"/>
              <w:bidi w:val="0"/>
            </w:pPr>
            <w:r>
              <w:rPr>
                <w:rFonts w:hint="eastAsia"/>
              </w:rPr>
              <w:t>110</w:t>
            </w:r>
            <w:r>
              <w:t>mm</w:t>
            </w:r>
          </w:p>
        </w:tc>
        <w:tc>
          <w:tcPr>
            <w:tcW w:w="922" w:type="pct"/>
            <w:vAlign w:val="center"/>
          </w:tcPr>
          <w:p w14:paraId="3EF2A090">
            <w:pPr>
              <w:pStyle w:val="43"/>
              <w:bidi w:val="0"/>
            </w:pPr>
            <w:r>
              <w:t>90mm</w:t>
            </w:r>
          </w:p>
        </w:tc>
      </w:tr>
      <w:tr w14:paraId="5405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0090B3F2">
            <w:pPr>
              <w:pStyle w:val="43"/>
              <w:bidi w:val="0"/>
            </w:pPr>
            <w:r>
              <w:t>2</w:t>
            </w:r>
          </w:p>
        </w:tc>
        <w:tc>
          <w:tcPr>
            <w:tcW w:w="1720" w:type="pct"/>
            <w:vAlign w:val="center"/>
          </w:tcPr>
          <w:p w14:paraId="4A540296">
            <w:pPr>
              <w:pStyle w:val="43"/>
              <w:bidi w:val="0"/>
            </w:pPr>
            <w:r>
              <w:t>孔距（a）</w:t>
            </w:r>
          </w:p>
        </w:tc>
        <w:tc>
          <w:tcPr>
            <w:tcW w:w="861" w:type="pct"/>
            <w:vAlign w:val="center"/>
          </w:tcPr>
          <w:p w14:paraId="13F40CC3">
            <w:pPr>
              <w:pStyle w:val="43"/>
              <w:bidi w:val="0"/>
            </w:pPr>
            <w:r>
              <w:rPr>
                <w:rFonts w:hint="eastAsia"/>
              </w:rPr>
              <w:t>5</w:t>
            </w:r>
            <w:r>
              <w:t>m</w:t>
            </w:r>
          </w:p>
        </w:tc>
        <w:tc>
          <w:tcPr>
            <w:tcW w:w="861" w:type="pct"/>
            <w:vAlign w:val="center"/>
          </w:tcPr>
          <w:p w14:paraId="149A52BC">
            <w:pPr>
              <w:pStyle w:val="43"/>
              <w:bidi w:val="0"/>
            </w:pPr>
            <w:r>
              <w:rPr>
                <w:rFonts w:hint="eastAsia"/>
              </w:rPr>
              <w:t>4</w:t>
            </w:r>
            <w:r>
              <w:t>m</w:t>
            </w:r>
          </w:p>
        </w:tc>
        <w:tc>
          <w:tcPr>
            <w:tcW w:w="922" w:type="pct"/>
            <w:vAlign w:val="center"/>
          </w:tcPr>
          <w:p w14:paraId="7F64AB1E">
            <w:pPr>
              <w:pStyle w:val="43"/>
              <w:bidi w:val="0"/>
            </w:pPr>
            <w:r>
              <w:t>1m</w:t>
            </w:r>
          </w:p>
        </w:tc>
      </w:tr>
      <w:tr w14:paraId="4448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76E2795D">
            <w:pPr>
              <w:pStyle w:val="43"/>
              <w:bidi w:val="0"/>
            </w:pPr>
            <w:r>
              <w:t>3</w:t>
            </w:r>
          </w:p>
        </w:tc>
        <w:tc>
          <w:tcPr>
            <w:tcW w:w="1720" w:type="pct"/>
            <w:vAlign w:val="center"/>
          </w:tcPr>
          <w:p w14:paraId="6956E01D">
            <w:pPr>
              <w:pStyle w:val="43"/>
              <w:bidi w:val="0"/>
            </w:pPr>
            <w:r>
              <w:rPr>
                <w:rFonts w:hint="eastAsia"/>
              </w:rPr>
              <w:t>排距</w:t>
            </w:r>
            <w:r>
              <w:t>（</w:t>
            </w:r>
            <w:r>
              <w:rPr>
                <w:rFonts w:hint="eastAsia"/>
              </w:rPr>
              <w:t>b</w:t>
            </w:r>
            <w:r>
              <w:t>）</w:t>
            </w:r>
          </w:p>
        </w:tc>
        <w:tc>
          <w:tcPr>
            <w:tcW w:w="861" w:type="pct"/>
            <w:vAlign w:val="center"/>
          </w:tcPr>
          <w:p w14:paraId="44E0B823">
            <w:pPr>
              <w:pStyle w:val="43"/>
              <w:bidi w:val="0"/>
            </w:pPr>
            <w:r>
              <w:t>3</w:t>
            </w:r>
            <w:r>
              <w:rPr>
                <w:rFonts w:hint="eastAsia"/>
              </w:rPr>
              <w:t>.5</w:t>
            </w:r>
            <w:r>
              <w:t>m</w:t>
            </w:r>
          </w:p>
        </w:tc>
        <w:tc>
          <w:tcPr>
            <w:tcW w:w="861" w:type="pct"/>
            <w:vAlign w:val="center"/>
          </w:tcPr>
          <w:p w14:paraId="7C04FD5D">
            <w:pPr>
              <w:pStyle w:val="43"/>
              <w:bidi w:val="0"/>
            </w:pPr>
            <w:r>
              <w:rPr>
                <w:rFonts w:hint="eastAsia"/>
              </w:rPr>
              <w:t>6m</w:t>
            </w:r>
          </w:p>
        </w:tc>
        <w:tc>
          <w:tcPr>
            <w:tcW w:w="922" w:type="pct"/>
            <w:vAlign w:val="center"/>
          </w:tcPr>
          <w:p w14:paraId="6678D324">
            <w:pPr>
              <w:pStyle w:val="43"/>
              <w:bidi w:val="0"/>
            </w:pPr>
            <w:r>
              <w:rPr>
                <w:rFonts w:hint="eastAsia"/>
              </w:rPr>
              <w:t>3.5</w:t>
            </w:r>
            <w:r>
              <w:t>m</w:t>
            </w:r>
          </w:p>
        </w:tc>
      </w:tr>
      <w:tr w14:paraId="2C9E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3F3B50EB">
            <w:pPr>
              <w:pStyle w:val="43"/>
              <w:bidi w:val="0"/>
            </w:pPr>
            <w:r>
              <w:t>4</w:t>
            </w:r>
          </w:p>
        </w:tc>
        <w:tc>
          <w:tcPr>
            <w:tcW w:w="1720" w:type="pct"/>
            <w:vAlign w:val="center"/>
          </w:tcPr>
          <w:p w14:paraId="619C1A9D">
            <w:pPr>
              <w:pStyle w:val="43"/>
              <w:bidi w:val="0"/>
            </w:pPr>
            <w:r>
              <w:t>钻孔倾角（θ）</w:t>
            </w:r>
          </w:p>
        </w:tc>
        <w:tc>
          <w:tcPr>
            <w:tcW w:w="861" w:type="pct"/>
            <w:vAlign w:val="center"/>
          </w:tcPr>
          <w:p w14:paraId="3CB5F1AC">
            <w:pPr>
              <w:pStyle w:val="43"/>
              <w:bidi w:val="0"/>
            </w:pPr>
            <w:r>
              <w:rPr>
                <w:rFonts w:hint="eastAsia"/>
              </w:rPr>
              <w:t>90</w:t>
            </w:r>
            <w:r>
              <w:t>°</w:t>
            </w:r>
          </w:p>
        </w:tc>
        <w:tc>
          <w:tcPr>
            <w:tcW w:w="861" w:type="pct"/>
            <w:vAlign w:val="center"/>
          </w:tcPr>
          <w:p w14:paraId="2B0517E5">
            <w:pPr>
              <w:pStyle w:val="43"/>
              <w:bidi w:val="0"/>
            </w:pPr>
            <w:r>
              <w:rPr>
                <w:rFonts w:hint="eastAsia"/>
              </w:rPr>
              <w:t>6</w:t>
            </w:r>
            <w:r>
              <w:t>0°</w:t>
            </w:r>
          </w:p>
        </w:tc>
        <w:tc>
          <w:tcPr>
            <w:tcW w:w="922" w:type="pct"/>
            <w:vAlign w:val="center"/>
          </w:tcPr>
          <w:p w14:paraId="7D727FCF">
            <w:pPr>
              <w:pStyle w:val="43"/>
              <w:bidi w:val="0"/>
            </w:pPr>
            <w:r>
              <w:rPr>
                <w:rFonts w:hint="eastAsia"/>
              </w:rPr>
              <w:t>6</w:t>
            </w:r>
            <w:r>
              <w:t>0°</w:t>
            </w:r>
          </w:p>
        </w:tc>
      </w:tr>
      <w:tr w14:paraId="3A02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48D75C4E">
            <w:pPr>
              <w:pStyle w:val="43"/>
              <w:bidi w:val="0"/>
            </w:pPr>
            <w:r>
              <w:t>5</w:t>
            </w:r>
          </w:p>
        </w:tc>
        <w:tc>
          <w:tcPr>
            <w:tcW w:w="1720" w:type="pct"/>
            <w:vAlign w:val="center"/>
          </w:tcPr>
          <w:p w14:paraId="08FCF8CD">
            <w:pPr>
              <w:pStyle w:val="43"/>
              <w:bidi w:val="0"/>
            </w:pPr>
            <w:r>
              <w:t>钻孔超深（h）</w:t>
            </w:r>
          </w:p>
        </w:tc>
        <w:tc>
          <w:tcPr>
            <w:tcW w:w="861" w:type="pct"/>
            <w:vAlign w:val="center"/>
          </w:tcPr>
          <w:p w14:paraId="6BE1897E">
            <w:pPr>
              <w:pStyle w:val="43"/>
              <w:bidi w:val="0"/>
            </w:pPr>
            <w:r>
              <w:t>1m</w:t>
            </w:r>
          </w:p>
        </w:tc>
        <w:tc>
          <w:tcPr>
            <w:tcW w:w="861" w:type="pct"/>
            <w:vAlign w:val="center"/>
          </w:tcPr>
          <w:p w14:paraId="46648961">
            <w:pPr>
              <w:pStyle w:val="43"/>
              <w:bidi w:val="0"/>
            </w:pPr>
            <w:r>
              <w:rPr>
                <w:rFonts w:hint="eastAsia"/>
              </w:rPr>
              <w:t>/</w:t>
            </w:r>
          </w:p>
        </w:tc>
        <w:tc>
          <w:tcPr>
            <w:tcW w:w="922" w:type="pct"/>
            <w:vAlign w:val="center"/>
          </w:tcPr>
          <w:p w14:paraId="19F72994">
            <w:pPr>
              <w:pStyle w:val="43"/>
              <w:bidi w:val="0"/>
            </w:pPr>
            <w:r>
              <w:t>0.5m</w:t>
            </w:r>
          </w:p>
        </w:tc>
      </w:tr>
      <w:tr w14:paraId="5BCE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19E60E65">
            <w:pPr>
              <w:pStyle w:val="43"/>
              <w:bidi w:val="0"/>
            </w:pPr>
            <w:r>
              <w:t>6</w:t>
            </w:r>
          </w:p>
        </w:tc>
        <w:tc>
          <w:tcPr>
            <w:tcW w:w="1720" w:type="pct"/>
            <w:vAlign w:val="center"/>
          </w:tcPr>
          <w:p w14:paraId="29C2E80C">
            <w:pPr>
              <w:pStyle w:val="43"/>
              <w:bidi w:val="0"/>
            </w:pPr>
            <w:r>
              <w:t>钻孔长度（L）</w:t>
            </w:r>
          </w:p>
        </w:tc>
        <w:tc>
          <w:tcPr>
            <w:tcW w:w="861" w:type="pct"/>
            <w:vAlign w:val="center"/>
          </w:tcPr>
          <w:p w14:paraId="354CE668">
            <w:pPr>
              <w:pStyle w:val="43"/>
              <w:bidi w:val="0"/>
            </w:pPr>
            <w:r>
              <w:rPr>
                <w:rFonts w:hint="eastAsia"/>
              </w:rPr>
              <w:t>13</w:t>
            </w:r>
            <w:r>
              <w:t>m</w:t>
            </w:r>
          </w:p>
        </w:tc>
        <w:tc>
          <w:tcPr>
            <w:tcW w:w="861" w:type="pct"/>
            <w:vAlign w:val="center"/>
          </w:tcPr>
          <w:p w14:paraId="622FF9A6">
            <w:pPr>
              <w:pStyle w:val="43"/>
              <w:bidi w:val="0"/>
            </w:pPr>
            <w:r>
              <w:rPr>
                <w:rFonts w:hint="eastAsia"/>
              </w:rPr>
              <w:t>8</w:t>
            </w:r>
            <w:r>
              <w:t>m</w:t>
            </w:r>
          </w:p>
        </w:tc>
        <w:tc>
          <w:tcPr>
            <w:tcW w:w="922" w:type="pct"/>
            <w:vAlign w:val="center"/>
          </w:tcPr>
          <w:p w14:paraId="65893549">
            <w:pPr>
              <w:pStyle w:val="43"/>
              <w:bidi w:val="0"/>
            </w:pPr>
            <w:r>
              <w:rPr>
                <w:rFonts w:hint="eastAsia"/>
              </w:rPr>
              <w:t>14.43</w:t>
            </w:r>
            <w:r>
              <w:t>m</w:t>
            </w:r>
          </w:p>
        </w:tc>
      </w:tr>
      <w:tr w14:paraId="0E42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0E81CCF6">
            <w:pPr>
              <w:pStyle w:val="43"/>
              <w:bidi w:val="0"/>
            </w:pPr>
            <w:r>
              <w:t>7</w:t>
            </w:r>
          </w:p>
        </w:tc>
        <w:tc>
          <w:tcPr>
            <w:tcW w:w="1720" w:type="pct"/>
            <w:vAlign w:val="center"/>
          </w:tcPr>
          <w:p w14:paraId="24A0BFF4">
            <w:pPr>
              <w:pStyle w:val="43"/>
              <w:bidi w:val="0"/>
            </w:pPr>
            <w:r>
              <w:t>填塞（L1）</w:t>
            </w:r>
          </w:p>
        </w:tc>
        <w:tc>
          <w:tcPr>
            <w:tcW w:w="861" w:type="pct"/>
            <w:vAlign w:val="center"/>
          </w:tcPr>
          <w:p w14:paraId="45F0AB2A">
            <w:pPr>
              <w:pStyle w:val="43"/>
              <w:bidi w:val="0"/>
            </w:pPr>
            <w:r>
              <w:rPr>
                <w:rFonts w:hint="eastAsia"/>
              </w:rPr>
              <w:t>4</w:t>
            </w:r>
            <w:r>
              <w:t>m</w:t>
            </w:r>
          </w:p>
        </w:tc>
        <w:tc>
          <w:tcPr>
            <w:tcW w:w="861" w:type="pct"/>
            <w:vAlign w:val="center"/>
          </w:tcPr>
          <w:p w14:paraId="3CE33496">
            <w:pPr>
              <w:pStyle w:val="43"/>
              <w:bidi w:val="0"/>
            </w:pPr>
            <w:r>
              <w:rPr>
                <w:rFonts w:hint="eastAsia"/>
              </w:rPr>
              <w:t>2.5</w:t>
            </w:r>
            <w:r>
              <w:t>m</w:t>
            </w:r>
          </w:p>
        </w:tc>
        <w:tc>
          <w:tcPr>
            <w:tcW w:w="922" w:type="pct"/>
            <w:vAlign w:val="center"/>
          </w:tcPr>
          <w:p w14:paraId="73653F86">
            <w:pPr>
              <w:pStyle w:val="43"/>
              <w:bidi w:val="0"/>
            </w:pPr>
            <w:r>
              <w:t>2m</w:t>
            </w:r>
          </w:p>
        </w:tc>
      </w:tr>
      <w:tr w14:paraId="0BCD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35B73E44">
            <w:pPr>
              <w:pStyle w:val="43"/>
              <w:bidi w:val="0"/>
            </w:pPr>
            <w:r>
              <w:t>8</w:t>
            </w:r>
          </w:p>
        </w:tc>
        <w:tc>
          <w:tcPr>
            <w:tcW w:w="1720" w:type="pct"/>
            <w:vAlign w:val="center"/>
          </w:tcPr>
          <w:p w14:paraId="51DC9077">
            <w:pPr>
              <w:pStyle w:val="43"/>
              <w:bidi w:val="0"/>
            </w:pPr>
            <w:r>
              <w:t>装药长度（L2）</w:t>
            </w:r>
          </w:p>
        </w:tc>
        <w:tc>
          <w:tcPr>
            <w:tcW w:w="861" w:type="pct"/>
            <w:vAlign w:val="center"/>
          </w:tcPr>
          <w:p w14:paraId="159F164D">
            <w:pPr>
              <w:pStyle w:val="43"/>
              <w:bidi w:val="0"/>
            </w:pPr>
            <w:r>
              <w:rPr>
                <w:rFonts w:hint="eastAsia"/>
              </w:rPr>
              <w:t>9</w:t>
            </w:r>
            <w:r>
              <w:t>m</w:t>
            </w:r>
          </w:p>
        </w:tc>
        <w:tc>
          <w:tcPr>
            <w:tcW w:w="861" w:type="pct"/>
            <w:vAlign w:val="center"/>
          </w:tcPr>
          <w:p w14:paraId="13273F1F">
            <w:pPr>
              <w:pStyle w:val="43"/>
              <w:bidi w:val="0"/>
            </w:pPr>
            <w:r>
              <w:rPr>
                <w:rFonts w:hint="eastAsia"/>
              </w:rPr>
              <w:t>5.5</w:t>
            </w:r>
            <w:r>
              <w:t>m</w:t>
            </w:r>
          </w:p>
        </w:tc>
        <w:tc>
          <w:tcPr>
            <w:tcW w:w="922" w:type="pct"/>
            <w:vAlign w:val="center"/>
          </w:tcPr>
          <w:p w14:paraId="63AD561C">
            <w:pPr>
              <w:pStyle w:val="43"/>
              <w:bidi w:val="0"/>
            </w:pPr>
            <w:r>
              <w:rPr>
                <w:rFonts w:hint="eastAsia"/>
              </w:rPr>
              <w:t>12.43</w:t>
            </w:r>
            <w:r>
              <w:t>m</w:t>
            </w:r>
          </w:p>
        </w:tc>
      </w:tr>
      <w:tr w14:paraId="55A3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61C796C8">
            <w:pPr>
              <w:pStyle w:val="43"/>
              <w:bidi w:val="0"/>
            </w:pPr>
            <w:r>
              <w:t>9</w:t>
            </w:r>
          </w:p>
        </w:tc>
        <w:tc>
          <w:tcPr>
            <w:tcW w:w="1720" w:type="pct"/>
            <w:vAlign w:val="center"/>
          </w:tcPr>
          <w:p w14:paraId="40F055AA">
            <w:pPr>
              <w:pStyle w:val="43"/>
              <w:bidi w:val="0"/>
            </w:pPr>
            <w:r>
              <w:t>药卷直径（φ）</w:t>
            </w:r>
          </w:p>
        </w:tc>
        <w:tc>
          <w:tcPr>
            <w:tcW w:w="861" w:type="pct"/>
            <w:vAlign w:val="center"/>
          </w:tcPr>
          <w:p w14:paraId="5F1340E2">
            <w:pPr>
              <w:pStyle w:val="43"/>
              <w:bidi w:val="0"/>
            </w:pPr>
            <w:r>
              <w:rPr>
                <w:rFonts w:hint="eastAsia"/>
              </w:rPr>
              <w:t>/</w:t>
            </w:r>
          </w:p>
        </w:tc>
        <w:tc>
          <w:tcPr>
            <w:tcW w:w="861" w:type="pct"/>
            <w:vAlign w:val="center"/>
          </w:tcPr>
          <w:p w14:paraId="00AD0E0C">
            <w:pPr>
              <w:pStyle w:val="43"/>
              <w:bidi w:val="0"/>
            </w:pPr>
            <w:r>
              <w:rPr>
                <w:rFonts w:hint="eastAsia"/>
              </w:rPr>
              <w:t>/</w:t>
            </w:r>
          </w:p>
        </w:tc>
        <w:tc>
          <w:tcPr>
            <w:tcW w:w="922" w:type="pct"/>
            <w:vAlign w:val="center"/>
          </w:tcPr>
          <w:p w14:paraId="0A00A413">
            <w:pPr>
              <w:pStyle w:val="43"/>
              <w:bidi w:val="0"/>
            </w:pPr>
            <w:r>
              <w:t>32mm</w:t>
            </w:r>
          </w:p>
        </w:tc>
      </w:tr>
      <w:tr w14:paraId="225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6FD5D29F">
            <w:pPr>
              <w:pStyle w:val="43"/>
              <w:bidi w:val="0"/>
            </w:pPr>
            <w:r>
              <w:t>10</w:t>
            </w:r>
          </w:p>
        </w:tc>
        <w:tc>
          <w:tcPr>
            <w:tcW w:w="1720" w:type="pct"/>
            <w:vAlign w:val="center"/>
          </w:tcPr>
          <w:p w14:paraId="78FE1B7D">
            <w:pPr>
              <w:pStyle w:val="43"/>
              <w:bidi w:val="0"/>
            </w:pPr>
            <w:r>
              <w:t>不耦合系数</w:t>
            </w:r>
          </w:p>
        </w:tc>
        <w:tc>
          <w:tcPr>
            <w:tcW w:w="861" w:type="pct"/>
            <w:vAlign w:val="center"/>
          </w:tcPr>
          <w:p w14:paraId="477182D2">
            <w:pPr>
              <w:pStyle w:val="43"/>
              <w:bidi w:val="0"/>
            </w:pPr>
            <w:r>
              <w:t>/</w:t>
            </w:r>
          </w:p>
        </w:tc>
        <w:tc>
          <w:tcPr>
            <w:tcW w:w="861" w:type="pct"/>
            <w:vAlign w:val="center"/>
          </w:tcPr>
          <w:p w14:paraId="68B4883B">
            <w:pPr>
              <w:pStyle w:val="43"/>
              <w:bidi w:val="0"/>
            </w:pPr>
            <w:r>
              <w:rPr>
                <w:rFonts w:hint="eastAsia"/>
              </w:rPr>
              <w:t>/</w:t>
            </w:r>
          </w:p>
        </w:tc>
        <w:tc>
          <w:tcPr>
            <w:tcW w:w="922" w:type="pct"/>
            <w:vAlign w:val="center"/>
          </w:tcPr>
          <w:p w14:paraId="70DB2662">
            <w:pPr>
              <w:pStyle w:val="43"/>
              <w:bidi w:val="0"/>
            </w:pPr>
            <w:r>
              <w:t>2.81</w:t>
            </w:r>
          </w:p>
        </w:tc>
      </w:tr>
      <w:tr w14:paraId="29D3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4EE075C6">
            <w:pPr>
              <w:pStyle w:val="43"/>
              <w:bidi w:val="0"/>
            </w:pPr>
            <w:r>
              <w:t>11</w:t>
            </w:r>
          </w:p>
        </w:tc>
        <w:tc>
          <w:tcPr>
            <w:tcW w:w="1720" w:type="pct"/>
            <w:vAlign w:val="center"/>
          </w:tcPr>
          <w:p w14:paraId="14131D53">
            <w:pPr>
              <w:pStyle w:val="43"/>
              <w:bidi w:val="0"/>
            </w:pPr>
            <w:r>
              <w:t>线装药密度</w:t>
            </w:r>
          </w:p>
        </w:tc>
        <w:tc>
          <w:tcPr>
            <w:tcW w:w="861" w:type="pct"/>
            <w:vAlign w:val="center"/>
          </w:tcPr>
          <w:p w14:paraId="3C58BE50">
            <w:pPr>
              <w:pStyle w:val="43"/>
              <w:bidi w:val="0"/>
            </w:pPr>
            <w:r>
              <w:t>/</w:t>
            </w:r>
          </w:p>
        </w:tc>
        <w:tc>
          <w:tcPr>
            <w:tcW w:w="861" w:type="pct"/>
            <w:vAlign w:val="center"/>
          </w:tcPr>
          <w:p w14:paraId="3389CFA4">
            <w:pPr>
              <w:pStyle w:val="43"/>
              <w:bidi w:val="0"/>
            </w:pPr>
            <w:r>
              <w:rPr>
                <w:rFonts w:hint="eastAsia"/>
              </w:rPr>
              <w:t>/</w:t>
            </w:r>
          </w:p>
        </w:tc>
        <w:tc>
          <w:tcPr>
            <w:tcW w:w="922" w:type="pct"/>
            <w:vAlign w:val="center"/>
          </w:tcPr>
          <w:p w14:paraId="48EF927B">
            <w:pPr>
              <w:pStyle w:val="43"/>
              <w:bidi w:val="0"/>
            </w:pPr>
            <w:r>
              <w:t>0.6kg/m</w:t>
            </w:r>
          </w:p>
        </w:tc>
      </w:tr>
      <w:tr w14:paraId="1735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5" w:type="pct"/>
            <w:vAlign w:val="center"/>
          </w:tcPr>
          <w:p w14:paraId="2B149039">
            <w:pPr>
              <w:pStyle w:val="43"/>
              <w:bidi w:val="0"/>
            </w:pPr>
            <w:r>
              <w:t>12</w:t>
            </w:r>
          </w:p>
        </w:tc>
        <w:tc>
          <w:tcPr>
            <w:tcW w:w="1720" w:type="pct"/>
            <w:vAlign w:val="center"/>
          </w:tcPr>
          <w:p w14:paraId="4EEDAFFA">
            <w:pPr>
              <w:pStyle w:val="43"/>
              <w:bidi w:val="0"/>
            </w:pPr>
            <w:r>
              <w:t>单孔装药量</w:t>
            </w:r>
          </w:p>
        </w:tc>
        <w:tc>
          <w:tcPr>
            <w:tcW w:w="861" w:type="pct"/>
            <w:vAlign w:val="center"/>
          </w:tcPr>
          <w:p w14:paraId="0F84D86C">
            <w:pPr>
              <w:pStyle w:val="43"/>
              <w:bidi w:val="0"/>
            </w:pPr>
            <w:r>
              <w:rPr>
                <w:rFonts w:hint="eastAsia"/>
              </w:rPr>
              <w:t>92.4kg</w:t>
            </w:r>
          </w:p>
        </w:tc>
        <w:tc>
          <w:tcPr>
            <w:tcW w:w="861" w:type="pct"/>
            <w:vAlign w:val="center"/>
          </w:tcPr>
          <w:p w14:paraId="766F6F76">
            <w:pPr>
              <w:pStyle w:val="43"/>
              <w:bidi w:val="0"/>
            </w:pPr>
            <w:r>
              <w:rPr>
                <w:rFonts w:hint="eastAsia"/>
              </w:rPr>
              <w:t>56.46kg</w:t>
            </w:r>
          </w:p>
        </w:tc>
        <w:tc>
          <w:tcPr>
            <w:tcW w:w="922" w:type="pct"/>
            <w:vAlign w:val="center"/>
          </w:tcPr>
          <w:p w14:paraId="2C1405F8">
            <w:pPr>
              <w:pStyle w:val="43"/>
              <w:bidi w:val="0"/>
            </w:pPr>
            <w:r>
              <w:rPr>
                <w:rFonts w:hint="eastAsia"/>
              </w:rPr>
              <w:t>7.46</w:t>
            </w:r>
            <w:r>
              <w:t>kg</w:t>
            </w:r>
          </w:p>
        </w:tc>
      </w:tr>
      <w:bookmarkEnd w:id="240"/>
      <w:bookmarkEnd w:id="241"/>
    </w:tbl>
    <w:p w14:paraId="3344D4D8">
      <w:pPr>
        <w:pStyle w:val="41"/>
        <w:bidi w:val="0"/>
      </w:pPr>
      <w:r>
        <w:t>爆破作业需采取以下防护措施，保证安全生产：</w:t>
      </w:r>
    </w:p>
    <w:p w14:paraId="72A63BEE">
      <w:pPr>
        <w:pStyle w:val="41"/>
        <w:bidi w:val="0"/>
      </w:pPr>
      <w:r>
        <w:t>1）开采顺序采用由</w:t>
      </w:r>
      <w:r>
        <w:rPr>
          <w:rFonts w:hint="eastAsia"/>
        </w:rPr>
        <w:t>南</w:t>
      </w:r>
      <w:r>
        <w:t>向</w:t>
      </w:r>
      <w:r>
        <w:rPr>
          <w:rFonts w:hint="eastAsia"/>
        </w:rPr>
        <w:t>北</w:t>
      </w:r>
      <w:r>
        <w:t>的推进方式。</w:t>
      </w:r>
    </w:p>
    <w:p w14:paraId="6E561504">
      <w:pPr>
        <w:pStyle w:val="41"/>
        <w:bidi w:val="0"/>
      </w:pPr>
      <w:r>
        <w:t>2）爆破采用固定时段爆破，让职工、村民及外来车辆有规律地避炮，加强职工、附近村民安全教育，让职工、村民事先知道警戒范围、警戒标志、声响信号的意义。</w:t>
      </w:r>
    </w:p>
    <w:p w14:paraId="77712885">
      <w:pPr>
        <w:pStyle w:val="41"/>
        <w:bidi w:val="0"/>
      </w:pPr>
      <w:r>
        <w:t>3）在爆破警戒线范围显要位置外设置明显标志，爆破前同时发出音响和视觉信号，使危险区内的人员能清楚地听到和看到；爆破时派专人负责警戒，严禁任何人员、车辆进入爆破警戒线范围以内，待炮响15分钟后并确认安全方可进入采场。</w:t>
      </w:r>
    </w:p>
    <w:p w14:paraId="4B2C7013">
      <w:pPr>
        <w:pStyle w:val="41"/>
        <w:bidi w:val="0"/>
      </w:pPr>
      <w:r>
        <w:t>4）采用微差爆破，以减小爆破地震波对临近建、构筑物及边坡的影响。</w:t>
      </w:r>
    </w:p>
    <w:p w14:paraId="02D46930">
      <w:pPr>
        <w:pStyle w:val="41"/>
        <w:bidi w:val="0"/>
      </w:pPr>
      <w:r>
        <w:rPr>
          <w:rFonts w:hint="eastAsia"/>
        </w:rPr>
        <w:t>5）矿区南部有矿山加工区，西侧有自有电石厂，在爆破安全距离范围以内，应有专业的爆破设计，避免主爆破方向面对厂区。</w:t>
      </w:r>
    </w:p>
    <w:p w14:paraId="29D41993">
      <w:pPr>
        <w:pStyle w:val="41"/>
        <w:bidi w:val="0"/>
      </w:pPr>
      <w:r>
        <w:rPr>
          <w:rFonts w:hint="eastAsia"/>
        </w:rPr>
        <w:t>6</w:t>
      </w:r>
      <w:r>
        <w:t>）必须严格按照《爆破安全规程》规定及以上措施实施爆破作业，保证露天矿爆破安全。</w:t>
      </w:r>
    </w:p>
    <w:p w14:paraId="2DDF5BB0">
      <w:pPr>
        <w:pStyle w:val="41"/>
        <w:bidi w:val="0"/>
      </w:pPr>
      <w:r>
        <w:rPr>
          <w:rFonts w:hint="eastAsia"/>
        </w:rPr>
        <w:t>7）矿山加工区已经建成并使用多年，加工区位于爆破警戒范围以内，受用地指标限制，矿山加工区无法进行搬迁，设计非爆破区域后，加工区位于爆破振动影响范围之外，位于爆破飞石影响范围之内，矿山在爆破时所有人员需撤离至300m爆破警戒范围之外。</w:t>
      </w:r>
    </w:p>
    <w:bookmarkEnd w:id="220"/>
    <w:bookmarkEnd w:id="224"/>
    <w:p w14:paraId="7C53A183">
      <w:pPr>
        <w:pStyle w:val="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242" w:name="_Toc10663"/>
      <w:r>
        <w:rPr>
          <w:rFonts w:hint="default" w:ascii="Times New Roman" w:hAnsi="Times New Roman" w:cs="Times New Roman"/>
          <w:color w:val="000000" w:themeColor="text1"/>
          <w:highlight w:val="none"/>
          <w14:textFill>
            <w14:solidFill>
              <w14:schemeClr w14:val="tx1"/>
            </w14:solidFill>
          </w14:textFill>
        </w:rPr>
        <w:t>影响因素分析</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开采加工</w:t>
      </w:r>
      <w:r>
        <w:rPr>
          <w:rFonts w:hint="default" w:ascii="Times New Roman" w:hAnsi="Times New Roman" w:cs="Times New Roman"/>
          <w:color w:val="000000" w:themeColor="text1"/>
          <w:highlight w:val="none"/>
          <w14:textFill>
            <w14:solidFill>
              <w14:schemeClr w14:val="tx1"/>
            </w14:solidFill>
          </w14:textFill>
        </w:rPr>
        <w:t>工艺流程</w:t>
      </w:r>
      <w:r>
        <w:rPr>
          <w:rFonts w:hint="default" w:ascii="Times New Roman" w:hAnsi="Times New Roman" w:cs="Times New Roman"/>
          <w:color w:val="000000" w:themeColor="text1"/>
          <w:highlight w:val="none"/>
          <w:lang w:val="en-US" w:eastAsia="zh-CN"/>
          <w14:textFill>
            <w14:solidFill>
              <w14:schemeClr w14:val="tx1"/>
            </w14:solidFill>
          </w14:textFill>
        </w:rPr>
        <w:t>及产污节点</w:t>
      </w:r>
      <w:bookmarkEnd w:id="242"/>
    </w:p>
    <w:p w14:paraId="1A0D7BA6">
      <w:pPr>
        <w:pStyle w:val="4"/>
        <w:bidi w:val="0"/>
        <w:rPr>
          <w:rFonts w:hint="default"/>
          <w:lang w:val="en-US" w:eastAsia="zh-CN"/>
        </w:rPr>
      </w:pPr>
      <w:bookmarkStart w:id="243" w:name="_Toc7101"/>
      <w:r>
        <w:rPr>
          <w:rFonts w:hint="default"/>
          <w:lang w:val="en-US" w:eastAsia="zh-CN"/>
        </w:rPr>
        <w:t>建设期</w:t>
      </w:r>
      <w:bookmarkEnd w:id="243"/>
    </w:p>
    <w:p w14:paraId="10401F52">
      <w:pPr>
        <w:pStyle w:val="41"/>
        <w:bidi w:val="0"/>
        <w:rPr>
          <w:rFonts w:hint="default"/>
          <w:lang w:val="en-US" w:eastAsia="zh-CN"/>
        </w:rPr>
      </w:pPr>
      <w:r>
        <w:rPr>
          <w:rFonts w:hint="eastAsia"/>
          <w:lang w:val="en-US" w:eastAsia="zh-CN"/>
        </w:rPr>
        <w:t>项目属于扩建项目，办公区、进场道路、加工区都已建成，本次扩建主要建设内容为部分设备更换，环保设施完善</w:t>
      </w:r>
      <w:r>
        <w:rPr>
          <w:rFonts w:hint="default"/>
          <w:lang w:val="en-US" w:eastAsia="zh-CN"/>
        </w:rPr>
        <w:t>。</w:t>
      </w:r>
    </w:p>
    <w:p w14:paraId="252A9578">
      <w:pPr>
        <w:pStyle w:val="41"/>
        <w:bidi w:val="0"/>
        <w:rPr>
          <w:rFonts w:hint="default"/>
          <w:lang w:val="en-US" w:eastAsia="zh-CN"/>
        </w:rPr>
      </w:pPr>
      <w:r>
        <w:rPr>
          <w:rFonts w:hint="default"/>
          <w:lang w:val="en-US" w:eastAsia="zh-CN"/>
        </w:rPr>
        <w:t>施工期间的产污环节主要为</w:t>
      </w:r>
      <w:r>
        <w:rPr>
          <w:rFonts w:hint="eastAsia"/>
          <w:lang w:val="en-US" w:eastAsia="zh-CN"/>
        </w:rPr>
        <w:t>旧设备拆除产生的废气、噪声、固废，设备安装过程产生的废气、噪声、建筑垃圾。</w:t>
      </w:r>
      <w:r>
        <w:rPr>
          <w:rFonts w:hint="default"/>
          <w:lang w:val="en-US" w:eastAsia="zh-CN"/>
        </w:rPr>
        <w:t>项目施工期工艺流程及产污节点图详见图</w:t>
      </w:r>
      <w:r>
        <w:rPr>
          <w:rFonts w:hint="eastAsia"/>
          <w:lang w:val="en-US" w:eastAsia="zh-CN"/>
        </w:rPr>
        <w:t>4.4</w:t>
      </w:r>
      <w:r>
        <w:rPr>
          <w:rFonts w:hint="default"/>
          <w:lang w:val="en-US" w:eastAsia="zh-CN"/>
        </w:rPr>
        <w:t>-1。</w:t>
      </w:r>
    </w:p>
    <w:p w14:paraId="7C9640AB">
      <w:pPr>
        <w:bidi w:val="0"/>
        <w:ind w:left="0" w:leftChars="0" w:firstLine="0" w:firstLineChars="0"/>
        <w:jc w:val="center"/>
        <w:rPr>
          <w:rStyle w:val="71"/>
          <w:rFonts w:hint="default"/>
          <w:lang w:val="en-US" w:eastAsia="zh-CN"/>
        </w:rPr>
      </w:pPr>
      <w:r>
        <w:rPr>
          <w:rStyle w:val="71"/>
          <w:rFonts w:hint="default"/>
          <w:lang w:val="en-US" w:eastAsia="zh-CN"/>
        </w:rPr>
        <w:drawing>
          <wp:inline distT="0" distB="0" distL="114300" distR="114300">
            <wp:extent cx="3025140" cy="1836420"/>
            <wp:effectExtent l="9525" t="9525" r="13335" b="13335"/>
            <wp:docPr id="100" name="图片 100" descr="施工期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施工期工艺流程"/>
                    <pic:cNvPicPr>
                      <a:picLocks noChangeAspect="1"/>
                    </pic:cNvPicPr>
                  </pic:nvPicPr>
                  <pic:blipFill>
                    <a:blip r:embed="rId23"/>
                    <a:stretch>
                      <a:fillRect/>
                    </a:stretch>
                  </pic:blipFill>
                  <pic:spPr>
                    <a:xfrm>
                      <a:off x="0" y="0"/>
                      <a:ext cx="3025140" cy="1836420"/>
                    </a:xfrm>
                    <a:prstGeom prst="rect">
                      <a:avLst/>
                    </a:prstGeom>
                    <a:ln>
                      <a:solidFill>
                        <a:schemeClr val="tx1">
                          <a:lumMod val="65000"/>
                          <a:lumOff val="35000"/>
                        </a:schemeClr>
                      </a:solidFill>
                    </a:ln>
                  </pic:spPr>
                </pic:pic>
              </a:graphicData>
            </a:graphic>
          </wp:inline>
        </w:drawing>
      </w:r>
    </w:p>
    <w:p w14:paraId="0C840EB3">
      <w:pPr>
        <w:bidi w:val="0"/>
        <w:ind w:left="0" w:leftChars="0" w:firstLine="0" w:firstLineChars="0"/>
        <w:jc w:val="center"/>
        <w:rPr>
          <w:rStyle w:val="71"/>
          <w:rFonts w:hint="default"/>
          <w:lang w:val="en-US" w:eastAsia="zh-CN"/>
        </w:rPr>
      </w:pPr>
      <w:r>
        <w:rPr>
          <w:rStyle w:val="71"/>
          <w:rFonts w:hint="default"/>
          <w:lang w:val="en-US" w:eastAsia="zh-CN"/>
        </w:rPr>
        <w:t>图</w:t>
      </w:r>
      <w:r>
        <w:rPr>
          <w:rStyle w:val="71"/>
          <w:rFonts w:hint="eastAsia"/>
          <w:lang w:val="en-US" w:eastAsia="zh-CN"/>
        </w:rPr>
        <w:t>4.4</w:t>
      </w:r>
      <w:r>
        <w:rPr>
          <w:rStyle w:val="71"/>
          <w:rFonts w:hint="default"/>
          <w:lang w:val="en-US" w:eastAsia="zh-CN"/>
        </w:rPr>
        <w:t>-1  施工期工艺流程及产污节点图</w:t>
      </w:r>
    </w:p>
    <w:p w14:paraId="28C0DA34">
      <w:pPr>
        <w:pStyle w:val="4"/>
        <w:bidi w:val="0"/>
        <w:rPr>
          <w:rFonts w:hint="default"/>
          <w:lang w:val="en-US" w:eastAsia="zh-CN"/>
        </w:rPr>
      </w:pPr>
      <w:bookmarkStart w:id="244" w:name="_Toc16118"/>
      <w:r>
        <w:rPr>
          <w:rFonts w:hint="default"/>
          <w:lang w:val="en-US" w:eastAsia="zh-CN"/>
        </w:rPr>
        <w:t>运营期</w:t>
      </w:r>
      <w:bookmarkEnd w:id="244"/>
    </w:p>
    <w:p w14:paraId="32579112">
      <w:pPr>
        <w:pStyle w:val="41"/>
        <w:bidi w:val="0"/>
        <w:rPr>
          <w:rFonts w:hint="default"/>
          <w:lang w:val="en-US" w:eastAsia="zh-CN"/>
        </w:rPr>
      </w:pPr>
      <w:r>
        <w:rPr>
          <w:rFonts w:hint="default"/>
          <w:lang w:val="en-US" w:eastAsia="zh-CN"/>
        </w:rPr>
        <w:t>本项目为灰岩矿的开采和加工，并通过破碎筛分制成建筑用石料外售，项目矿山运营期开采、生产工艺流程为：穿孔-爆破-铲装运输-加工（破碎、筛分和制砂）-成品。项目运营期开采、生产工艺流程及产污环节如下。</w:t>
      </w:r>
    </w:p>
    <w:p w14:paraId="69C26D2B">
      <w:pPr>
        <w:bidi w:val="0"/>
        <w:ind w:left="0" w:leftChars="0" w:firstLine="0" w:firstLineChars="0"/>
        <w:jc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drawing>
          <wp:inline distT="0" distB="0" distL="114300" distR="114300">
            <wp:extent cx="5273040" cy="4511040"/>
            <wp:effectExtent l="0" t="0" r="0" b="0"/>
            <wp:docPr id="106" name="图片 106" descr="运营期工艺流程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运营期工艺流程图_副本"/>
                    <pic:cNvPicPr>
                      <a:picLocks noChangeAspect="1"/>
                    </pic:cNvPicPr>
                  </pic:nvPicPr>
                  <pic:blipFill>
                    <a:blip r:embed="rId24"/>
                    <a:stretch>
                      <a:fillRect/>
                    </a:stretch>
                  </pic:blipFill>
                  <pic:spPr>
                    <a:xfrm>
                      <a:off x="0" y="0"/>
                      <a:ext cx="5273040" cy="4511040"/>
                    </a:xfrm>
                    <a:prstGeom prst="rect">
                      <a:avLst/>
                    </a:prstGeom>
                  </pic:spPr>
                </pic:pic>
              </a:graphicData>
            </a:graphic>
          </wp:inline>
        </w:drawing>
      </w:r>
    </w:p>
    <w:p w14:paraId="62AD4972">
      <w:pPr>
        <w:bidi w:val="0"/>
        <w:ind w:left="0" w:leftChars="0" w:firstLine="0" w:firstLineChars="0"/>
        <w:jc w:val="center"/>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图</w:t>
      </w:r>
      <w:r>
        <w:rPr>
          <w:rFonts w:hint="eastAsia" w:cs="Times New Roman"/>
          <w:b/>
          <w:bCs/>
          <w:color w:val="000000" w:themeColor="text1"/>
          <w:highlight w:val="none"/>
          <w:lang w:val="en-US" w:eastAsia="zh-CN"/>
          <w14:textFill>
            <w14:solidFill>
              <w14:schemeClr w14:val="tx1"/>
            </w14:solidFill>
          </w14:textFill>
        </w:rPr>
        <w:t>3.4</w:t>
      </w:r>
      <w:r>
        <w:rPr>
          <w:rFonts w:hint="default" w:ascii="Times New Roman" w:hAnsi="Times New Roman" w:cs="Times New Roman"/>
          <w:b/>
          <w:bCs/>
          <w:color w:val="000000" w:themeColor="text1"/>
          <w:highlight w:val="none"/>
          <w:lang w:val="en-US" w:eastAsia="zh-CN"/>
          <w14:textFill>
            <w14:solidFill>
              <w14:schemeClr w14:val="tx1"/>
            </w14:solidFill>
          </w14:textFill>
        </w:rPr>
        <w:t>-2  项目运营期开采及加工工艺流程及产污环节示意图</w:t>
      </w:r>
    </w:p>
    <w:p w14:paraId="6DF13DCC">
      <w:pPr>
        <w:pStyle w:val="41"/>
        <w:bidi w:val="0"/>
        <w:rPr>
          <w:rFonts w:hint="default"/>
          <w:lang w:val="en-US" w:eastAsia="zh-CN"/>
        </w:rPr>
      </w:pPr>
      <w:r>
        <w:rPr>
          <w:rFonts w:hint="default"/>
          <w:lang w:val="en-US" w:eastAsia="zh-CN"/>
        </w:rPr>
        <w:t>生产工艺流程简述：</w:t>
      </w:r>
    </w:p>
    <w:p w14:paraId="2127E6CD">
      <w:pPr>
        <w:pStyle w:val="41"/>
        <w:bidi w:val="0"/>
        <w:rPr>
          <w:rFonts w:hint="default"/>
          <w:lang w:val="en-US" w:eastAsia="zh-CN"/>
        </w:rPr>
      </w:pPr>
      <w:r>
        <w:rPr>
          <w:rFonts w:hint="default"/>
          <w:lang w:val="en-US" w:eastAsia="zh-CN"/>
        </w:rPr>
        <w:t>（1）穿孔</w:t>
      </w:r>
    </w:p>
    <w:p w14:paraId="49341BB2">
      <w:pPr>
        <w:pStyle w:val="41"/>
        <w:bidi w:val="0"/>
        <w:rPr>
          <w:rFonts w:hint="default"/>
          <w:lang w:val="en-US" w:eastAsia="zh-CN"/>
        </w:rPr>
      </w:pPr>
      <w:r>
        <w:rPr>
          <w:rFonts w:hint="default"/>
          <w:lang w:val="en-US" w:eastAsia="zh-CN"/>
        </w:rPr>
        <w:t>拟采用1台潜孔钻机进行穿孔工作，穿孔过程会</w:t>
      </w:r>
      <w:r>
        <w:rPr>
          <w:rFonts w:hint="eastAsia"/>
          <w:lang w:val="en-US" w:eastAsia="zh-CN"/>
        </w:rPr>
        <w:t>产生</w:t>
      </w:r>
      <w:r>
        <w:rPr>
          <w:rFonts w:hint="default"/>
          <w:lang w:val="en-US" w:eastAsia="zh-CN"/>
        </w:rPr>
        <w:t>穿孔粉尘及设备噪声。</w:t>
      </w:r>
    </w:p>
    <w:p w14:paraId="25A1D80B">
      <w:pPr>
        <w:pStyle w:val="41"/>
        <w:bidi w:val="0"/>
        <w:rPr>
          <w:rFonts w:hint="default"/>
          <w:lang w:val="en-US" w:eastAsia="zh-CN"/>
        </w:rPr>
      </w:pPr>
      <w:r>
        <w:rPr>
          <w:rFonts w:hint="default"/>
          <w:lang w:val="en-US" w:eastAsia="zh-CN"/>
        </w:rPr>
        <w:t>（2）松动爆破</w:t>
      </w:r>
    </w:p>
    <w:p w14:paraId="55B1D185">
      <w:pPr>
        <w:pStyle w:val="41"/>
        <w:bidi w:val="0"/>
        <w:rPr>
          <w:rFonts w:hint="default"/>
          <w:lang w:val="en-US" w:eastAsia="zh-CN"/>
        </w:rPr>
      </w:pPr>
      <w:r>
        <w:rPr>
          <w:rFonts w:hint="default"/>
          <w:lang w:val="en-US" w:eastAsia="zh-CN"/>
        </w:rPr>
        <w:t>根据</w:t>
      </w:r>
      <w:r>
        <w:rPr>
          <w:rFonts w:hint="eastAsia"/>
          <w:lang w:val="en-US" w:eastAsia="zh-CN"/>
        </w:rPr>
        <w:t>4.3.4</w:t>
      </w:r>
      <w:r>
        <w:rPr>
          <w:rFonts w:hint="default"/>
          <w:lang w:val="en-US" w:eastAsia="zh-CN"/>
        </w:rPr>
        <w:t>章节穿孔爆破参数进行炸药装填爆破。爆破过程会产生爆破粉尘及噪声。</w:t>
      </w:r>
    </w:p>
    <w:p w14:paraId="4015FE9E">
      <w:pPr>
        <w:pStyle w:val="41"/>
        <w:bidi w:val="0"/>
        <w:rPr>
          <w:rFonts w:hint="default"/>
          <w:lang w:val="en-US" w:eastAsia="zh-CN"/>
        </w:rPr>
      </w:pPr>
      <w:r>
        <w:rPr>
          <w:rFonts w:hint="default"/>
          <w:lang w:val="en-US" w:eastAsia="zh-CN"/>
        </w:rPr>
        <w:t>（3）铲装运输</w:t>
      </w:r>
    </w:p>
    <w:p w14:paraId="7020ED79">
      <w:pPr>
        <w:pStyle w:val="41"/>
        <w:bidi w:val="0"/>
        <w:rPr>
          <w:rFonts w:hint="default"/>
          <w:lang w:val="en-US" w:eastAsia="zh-CN"/>
        </w:rPr>
      </w:pPr>
      <w:r>
        <w:rPr>
          <w:rFonts w:hint="default"/>
          <w:lang w:val="en-US" w:eastAsia="zh-CN"/>
        </w:rPr>
        <w:t>选用</w:t>
      </w:r>
      <w:r>
        <w:rPr>
          <w:rFonts w:hint="eastAsia"/>
          <w:lang w:val="en-US" w:eastAsia="zh-CN"/>
        </w:rPr>
        <w:t>4台</w:t>
      </w:r>
      <w:r>
        <w:rPr>
          <w:rFonts w:hint="default"/>
          <w:lang w:val="en-US" w:eastAsia="zh-CN"/>
        </w:rPr>
        <w:t>挖掘机</w:t>
      </w:r>
      <w:r>
        <w:rPr>
          <w:rFonts w:hint="eastAsia"/>
          <w:lang w:val="en-US" w:eastAsia="zh-CN"/>
        </w:rPr>
        <w:t>。3台装载机</w:t>
      </w:r>
      <w:r>
        <w:rPr>
          <w:rFonts w:hint="default"/>
          <w:lang w:val="en-US" w:eastAsia="zh-CN"/>
        </w:rPr>
        <w:t>作为铲装设备，配</w:t>
      </w:r>
      <w:r>
        <w:rPr>
          <w:rFonts w:hint="eastAsia"/>
          <w:lang w:val="en-US" w:eastAsia="zh-CN"/>
        </w:rPr>
        <w:t>5</w:t>
      </w:r>
      <w:r>
        <w:rPr>
          <w:rFonts w:hint="default"/>
          <w:lang w:val="en-US" w:eastAsia="zh-CN"/>
        </w:rPr>
        <w:t>辆非公路宽体自卸车（</w:t>
      </w:r>
      <w:r>
        <w:rPr>
          <w:rFonts w:hint="eastAsia"/>
          <w:lang w:val="en-US" w:eastAsia="zh-CN"/>
        </w:rPr>
        <w:t>25</w:t>
      </w:r>
      <w:r>
        <w:rPr>
          <w:rFonts w:hint="default"/>
          <w:lang w:val="en-US" w:eastAsia="zh-CN"/>
        </w:rPr>
        <w:t>t）进行原矿及废土运输，矿石运至原矿堆料场，弃土、矿渣等运至弃渣场。铲装及运输主要产生设备噪声、扬尘、机械燃油尾气。</w:t>
      </w:r>
    </w:p>
    <w:p w14:paraId="4CF116D1">
      <w:pPr>
        <w:pStyle w:val="41"/>
        <w:bidi w:val="0"/>
        <w:rPr>
          <w:rFonts w:hint="default"/>
          <w:lang w:val="en-US" w:eastAsia="zh-CN"/>
        </w:rPr>
      </w:pPr>
      <w:r>
        <w:rPr>
          <w:rFonts w:hint="default"/>
          <w:lang w:val="en-US" w:eastAsia="zh-CN"/>
        </w:rPr>
        <w:t>（4）矿石加工</w:t>
      </w:r>
    </w:p>
    <w:p w14:paraId="5D8CDF2C">
      <w:pPr>
        <w:pStyle w:val="41"/>
        <w:bidi w:val="0"/>
        <w:rPr>
          <w:rFonts w:hint="default"/>
          <w:lang w:val="en-US" w:eastAsia="zh-CN"/>
        </w:rPr>
      </w:pPr>
      <w:r>
        <w:rPr>
          <w:rFonts w:hint="default"/>
          <w:lang w:val="en-US" w:eastAsia="zh-CN"/>
        </w:rPr>
        <w:t>项目矿石加工主要包括破碎、筛分和制砂三道工序：</w:t>
      </w:r>
    </w:p>
    <w:p w14:paraId="7C299439">
      <w:pPr>
        <w:pStyle w:val="41"/>
        <w:bidi w:val="0"/>
        <w:rPr>
          <w:rFonts w:hint="default"/>
          <w:lang w:val="en-US" w:eastAsia="zh-CN"/>
        </w:rPr>
      </w:pPr>
      <w:r>
        <w:rPr>
          <w:rFonts w:hint="default"/>
          <w:lang w:val="en-US" w:eastAsia="zh-CN"/>
        </w:rPr>
        <w:t>经开采的矿石输送到</w:t>
      </w:r>
      <w:r>
        <w:rPr>
          <w:rFonts w:hint="eastAsia"/>
          <w:lang w:val="en-US" w:eastAsia="zh-CN"/>
        </w:rPr>
        <w:t>加工区</w:t>
      </w:r>
      <w:r>
        <w:rPr>
          <w:rFonts w:hint="default"/>
          <w:lang w:val="en-US" w:eastAsia="zh-CN"/>
        </w:rPr>
        <w:t>入料口旁，经铲车投入给料机，给料机投入料仓，将原矿投入</w:t>
      </w:r>
      <w:r>
        <w:rPr>
          <w:rFonts w:hint="eastAsia"/>
          <w:lang w:val="en-US" w:eastAsia="zh-CN"/>
        </w:rPr>
        <w:t>颚式</w:t>
      </w:r>
      <w:r>
        <w:rPr>
          <w:rFonts w:hint="default"/>
          <w:lang w:val="en-US" w:eastAsia="zh-CN"/>
        </w:rPr>
        <w:t>破碎机对石料进行粗破，经</w:t>
      </w:r>
      <w:r>
        <w:rPr>
          <w:rFonts w:hint="eastAsia"/>
          <w:lang w:val="en-US" w:eastAsia="zh-CN"/>
        </w:rPr>
        <w:t>振动筛</w:t>
      </w:r>
      <w:r>
        <w:rPr>
          <w:rFonts w:hint="default"/>
          <w:lang w:val="en-US" w:eastAsia="zh-CN"/>
        </w:rPr>
        <w:t>分后，筛去附着渣土，渣土经输送带至弃土出料口，运输至弃渣场，洁净石料进入二破机。</w:t>
      </w:r>
    </w:p>
    <w:p w14:paraId="37F0362E">
      <w:pPr>
        <w:pStyle w:val="41"/>
        <w:bidi w:val="0"/>
        <w:rPr>
          <w:rFonts w:hint="default"/>
          <w:lang w:val="en-US" w:eastAsia="zh-CN"/>
        </w:rPr>
      </w:pPr>
      <w:r>
        <w:rPr>
          <w:rFonts w:hint="eastAsia"/>
          <w:lang w:val="en-US" w:eastAsia="zh-CN"/>
        </w:rPr>
        <w:t>石料</w:t>
      </w:r>
      <w:r>
        <w:rPr>
          <w:rFonts w:hint="default"/>
          <w:lang w:val="en-US" w:eastAsia="zh-CN"/>
        </w:rPr>
        <w:t>通过密封的输送带进入二次破碎机，采用反击式破碎机对矿石进行二次破碎。破碎后的细石料进入振动筛进行筛分，筛选得到产品</w:t>
      </w:r>
      <w:r>
        <w:rPr>
          <w:rFonts w:hint="eastAsia"/>
          <w:lang w:val="en-US" w:eastAsia="zh-CN"/>
        </w:rPr>
        <w:t>碎石</w:t>
      </w:r>
      <w:r>
        <w:rPr>
          <w:rFonts w:hint="default"/>
          <w:lang w:val="en-US" w:eastAsia="zh-CN"/>
        </w:rPr>
        <w:t>，分别经输送带运至各自出料口。粒径较大超出产品要求的石料经回料输送带再次回到破碎机进行破碎。</w:t>
      </w:r>
    </w:p>
    <w:p w14:paraId="5EF4CD7D">
      <w:pPr>
        <w:pStyle w:val="41"/>
        <w:bidi w:val="0"/>
        <w:rPr>
          <w:rFonts w:hint="default"/>
          <w:lang w:val="en-US" w:eastAsia="zh-CN"/>
        </w:rPr>
      </w:pPr>
      <w:r>
        <w:rPr>
          <w:rFonts w:hint="default"/>
          <w:lang w:val="en-US" w:eastAsia="zh-CN"/>
        </w:rPr>
        <w:t>振动筛筛出部分粒径较细的产品进入</w:t>
      </w:r>
      <w:r>
        <w:rPr>
          <w:rFonts w:hint="eastAsia"/>
          <w:lang w:val="en-US" w:eastAsia="zh-CN"/>
        </w:rPr>
        <w:t>制砂机</w:t>
      </w:r>
      <w:r>
        <w:rPr>
          <w:rFonts w:hint="default"/>
          <w:lang w:val="en-US" w:eastAsia="zh-CN"/>
        </w:rPr>
        <w:t>进行</w:t>
      </w:r>
      <w:r>
        <w:rPr>
          <w:rFonts w:hint="eastAsia"/>
          <w:lang w:val="en-US" w:eastAsia="zh-CN"/>
        </w:rPr>
        <w:t>砂子</w:t>
      </w:r>
      <w:r>
        <w:rPr>
          <w:rFonts w:hint="default"/>
          <w:lang w:val="en-US" w:eastAsia="zh-CN"/>
        </w:rPr>
        <w:t>制造，</w:t>
      </w:r>
      <w:r>
        <w:rPr>
          <w:rFonts w:hint="eastAsia"/>
          <w:lang w:val="en-US" w:eastAsia="zh-CN"/>
        </w:rPr>
        <w:t>制砂机</w:t>
      </w:r>
      <w:r>
        <w:rPr>
          <w:rFonts w:hint="default"/>
          <w:lang w:val="en-US" w:eastAsia="zh-CN"/>
        </w:rPr>
        <w:t>利用机械重力碾磨后再经一道筛分筛出符合要求的粒径作为</w:t>
      </w:r>
      <w:r>
        <w:rPr>
          <w:rFonts w:hint="eastAsia"/>
          <w:lang w:val="en-US" w:eastAsia="zh-CN"/>
        </w:rPr>
        <w:t>砂子</w:t>
      </w:r>
      <w:r>
        <w:rPr>
          <w:rFonts w:hint="default"/>
          <w:lang w:val="en-US" w:eastAsia="zh-CN"/>
        </w:rPr>
        <w:t>产品，通过输送带运至</w:t>
      </w:r>
      <w:r>
        <w:rPr>
          <w:rFonts w:hint="eastAsia"/>
          <w:lang w:val="en-US" w:eastAsia="zh-CN"/>
        </w:rPr>
        <w:t>砂子</w:t>
      </w:r>
      <w:r>
        <w:rPr>
          <w:rFonts w:hint="default"/>
          <w:lang w:val="en-US" w:eastAsia="zh-CN"/>
        </w:rPr>
        <w:t>出料口。不符合要求的砂粒通过回料输送带再次进入</w:t>
      </w:r>
      <w:r>
        <w:rPr>
          <w:rFonts w:hint="eastAsia"/>
          <w:lang w:val="en-US" w:eastAsia="zh-CN"/>
        </w:rPr>
        <w:t>制砂机</w:t>
      </w:r>
      <w:r>
        <w:rPr>
          <w:rFonts w:hint="default"/>
          <w:lang w:val="en-US" w:eastAsia="zh-CN"/>
        </w:rPr>
        <w:t>再次制砂。</w:t>
      </w:r>
    </w:p>
    <w:p w14:paraId="2904ECF8">
      <w:pPr>
        <w:pStyle w:val="41"/>
        <w:bidi w:val="0"/>
        <w:rPr>
          <w:rFonts w:hint="default"/>
          <w:lang w:val="en-US" w:eastAsia="zh-CN"/>
        </w:rPr>
      </w:pPr>
      <w:r>
        <w:rPr>
          <w:rFonts w:hint="default"/>
          <w:lang w:val="en-US" w:eastAsia="zh-CN"/>
        </w:rPr>
        <w:t>矿石加工工段会产生各类破碎筛分制砂粉尘，设备噪声，机修固废。矿石加工设备均布置在封闭的钢棚内，仅在各产品出料区域留设装运车辆出入口，钢棚顶部本次提出安装喷淋系统进行洒水降尘，各输送带进行封闭防尘设置，并在破碎、筛分、</w:t>
      </w:r>
      <w:r>
        <w:rPr>
          <w:rFonts w:hint="eastAsia"/>
          <w:lang w:val="en-US" w:eastAsia="zh-CN"/>
        </w:rPr>
        <w:t>制砂</w:t>
      </w:r>
      <w:r>
        <w:rPr>
          <w:rFonts w:hint="default"/>
          <w:lang w:val="en-US" w:eastAsia="zh-CN"/>
        </w:rPr>
        <w:t>工段上方加设集气罩，产生的粉尘统一收集至一套布袋除尘系统处理达标后经1根15m高的DA001排气筒排放。并对各设备安装减震垫，减少噪声影响。布袋除尘器收集的粉尘并入产品一并外售，机修危废经危废间暂存，定期委托有资质的单位清运处置。</w:t>
      </w:r>
    </w:p>
    <w:p w14:paraId="3FD3245E">
      <w:pPr>
        <w:pStyle w:val="41"/>
        <w:bidi w:val="0"/>
        <w:rPr>
          <w:rFonts w:hint="default"/>
          <w:lang w:val="en-US" w:eastAsia="zh-CN"/>
        </w:rPr>
      </w:pPr>
      <w:r>
        <w:rPr>
          <w:rFonts w:hint="default"/>
          <w:lang w:val="en-US" w:eastAsia="zh-CN"/>
        </w:rPr>
        <w:t>（5）产品堆存与外售</w:t>
      </w:r>
    </w:p>
    <w:p w14:paraId="14F7E460">
      <w:pPr>
        <w:pStyle w:val="41"/>
        <w:bidi w:val="0"/>
        <w:rPr>
          <w:rFonts w:hint="default"/>
        </w:rPr>
      </w:pPr>
      <w:r>
        <w:rPr>
          <w:rFonts w:hint="default"/>
          <w:lang w:val="en-US" w:eastAsia="zh-CN"/>
        </w:rPr>
        <w:t>经以上工序可得到不同粒级的产品，分类堆存在各自成品堆区内，</w:t>
      </w:r>
      <w:r>
        <w:rPr>
          <w:rFonts w:hint="eastAsia"/>
          <w:lang w:val="en-US" w:eastAsia="zh-CN"/>
        </w:rPr>
        <w:t>石子运至电石厂，其他砂石料</w:t>
      </w:r>
      <w:r>
        <w:rPr>
          <w:rFonts w:hint="default"/>
          <w:lang w:val="en-US" w:eastAsia="zh-CN"/>
        </w:rPr>
        <w:t>装车外运销售，产品堆存及装车过程中会产生粉尘、运输车辆尾气和噪声。产品堆存及装车环节均在封闭钢棚内，经过喷淋系统降尘。通过采取对运输车辆进行篷布遮盖、成品堆场以及运输道路洒水降尘的措施以减少运输过程无组织粉尘的产生；采取减速慢行，减少运输噪声的产生</w:t>
      </w:r>
      <w:r>
        <w:rPr>
          <w:rFonts w:hint="default"/>
          <w:lang w:eastAsia="zh-CN"/>
        </w:rPr>
        <w:t>。</w:t>
      </w:r>
    </w:p>
    <w:p w14:paraId="436313F3">
      <w:pPr>
        <w:pStyle w:val="3"/>
        <w:bidi w:val="0"/>
        <w:rPr>
          <w:rFonts w:hint="default" w:ascii="Times New Roman" w:hAnsi="Times New Roman" w:cs="Times New Roman"/>
          <w:color w:val="000000" w:themeColor="text1"/>
          <w:highlight w:val="none"/>
          <w14:textFill>
            <w14:solidFill>
              <w14:schemeClr w14:val="tx1"/>
            </w14:solidFill>
          </w14:textFill>
        </w:rPr>
      </w:pPr>
      <w:bookmarkStart w:id="245" w:name="_Toc18185"/>
      <w:r>
        <w:rPr>
          <w:rFonts w:hint="default" w:ascii="Times New Roman" w:hAnsi="Times New Roman" w:cs="Times New Roman"/>
          <w:color w:val="000000" w:themeColor="text1"/>
          <w:highlight w:val="none"/>
          <w14:textFill>
            <w14:solidFill>
              <w14:schemeClr w14:val="tx1"/>
            </w14:solidFill>
          </w14:textFill>
        </w:rPr>
        <w:t>污染源源强核算</w:t>
      </w:r>
      <w:bookmarkEnd w:id="245"/>
    </w:p>
    <w:p w14:paraId="7DBF3276">
      <w:pPr>
        <w:pStyle w:val="4"/>
        <w:bidi w:val="0"/>
        <w:rPr>
          <w:rFonts w:hint="default"/>
          <w:lang w:val="en-US" w:eastAsia="zh-CN"/>
        </w:rPr>
      </w:pPr>
      <w:bookmarkStart w:id="246" w:name="_Toc22544"/>
      <w:r>
        <w:rPr>
          <w:rFonts w:hint="eastAsia"/>
          <w:lang w:val="en-US" w:eastAsia="zh-CN"/>
        </w:rPr>
        <w:t>施工期</w:t>
      </w:r>
      <w:r>
        <w:rPr>
          <w:rFonts w:hint="default"/>
          <w:lang w:val="en-US" w:eastAsia="zh-CN"/>
        </w:rPr>
        <w:t>污染源强分析</w:t>
      </w:r>
      <w:bookmarkEnd w:id="246"/>
    </w:p>
    <w:p w14:paraId="23DCA6E3">
      <w:pPr>
        <w:pStyle w:val="41"/>
        <w:ind w:firstLine="482"/>
        <w:rPr>
          <w:b/>
          <w:bCs/>
          <w:color w:val="auto"/>
          <w:highlight w:val="none"/>
        </w:rPr>
      </w:pPr>
      <w:bookmarkStart w:id="247" w:name="_Toc9427"/>
      <w:r>
        <w:rPr>
          <w:rFonts w:hint="eastAsia"/>
          <w:b/>
          <w:bCs/>
          <w:color w:val="auto"/>
          <w:highlight w:val="none"/>
        </w:rPr>
        <w:t>（1）</w:t>
      </w:r>
      <w:r>
        <w:rPr>
          <w:b/>
          <w:bCs/>
          <w:color w:val="auto"/>
          <w:highlight w:val="none"/>
        </w:rPr>
        <w:t>施工期废气</w:t>
      </w:r>
    </w:p>
    <w:p w14:paraId="59774C1D">
      <w:pPr>
        <w:pStyle w:val="41"/>
        <w:ind w:firstLine="480"/>
        <w:rPr>
          <w:color w:val="auto"/>
          <w:highlight w:val="none"/>
        </w:rPr>
      </w:pPr>
      <w:r>
        <w:rPr>
          <w:color w:val="auto"/>
          <w:highlight w:val="none"/>
        </w:rPr>
        <w:t>施工期主要污染物为</w:t>
      </w:r>
      <w:r>
        <w:rPr>
          <w:rFonts w:hint="eastAsia"/>
          <w:color w:val="auto"/>
          <w:highlight w:val="none"/>
          <w:lang w:val="en-US" w:eastAsia="zh-CN"/>
        </w:rPr>
        <w:t>部分旧设备拆移</w:t>
      </w:r>
      <w:r>
        <w:rPr>
          <w:rFonts w:hint="eastAsia"/>
          <w:color w:val="auto"/>
          <w:highlight w:val="none"/>
        </w:rPr>
        <w:t>、</w:t>
      </w:r>
      <w:r>
        <w:rPr>
          <w:rFonts w:hint="eastAsia"/>
          <w:color w:val="auto"/>
          <w:highlight w:val="none"/>
          <w:lang w:val="en-US" w:eastAsia="zh-CN"/>
        </w:rPr>
        <w:t>新设备</w:t>
      </w:r>
      <w:r>
        <w:rPr>
          <w:color w:val="auto"/>
          <w:highlight w:val="none"/>
        </w:rPr>
        <w:t>安装</w:t>
      </w:r>
      <w:r>
        <w:rPr>
          <w:rFonts w:hint="eastAsia"/>
          <w:color w:val="auto"/>
          <w:highlight w:val="none"/>
        </w:rPr>
        <w:t>、物料搬运</w:t>
      </w:r>
      <w:r>
        <w:rPr>
          <w:rFonts w:hint="eastAsia"/>
          <w:color w:val="auto"/>
          <w:highlight w:val="none"/>
          <w:lang w:val="en-US" w:eastAsia="zh-CN"/>
        </w:rPr>
        <w:t>、废气收集管道等</w:t>
      </w:r>
      <w:r>
        <w:rPr>
          <w:rFonts w:hint="eastAsia"/>
          <w:color w:val="auto"/>
          <w:highlight w:val="none"/>
        </w:rPr>
        <w:t>施工产生的少量施工扬尘</w:t>
      </w:r>
      <w:r>
        <w:rPr>
          <w:color w:val="auto"/>
          <w:highlight w:val="none"/>
        </w:rPr>
        <w:t>。</w:t>
      </w:r>
    </w:p>
    <w:p w14:paraId="37734D5E">
      <w:pPr>
        <w:pStyle w:val="41"/>
        <w:ind w:firstLine="482"/>
        <w:rPr>
          <w:b/>
          <w:bCs/>
          <w:color w:val="auto"/>
          <w:highlight w:val="none"/>
        </w:rPr>
      </w:pPr>
      <w:r>
        <w:rPr>
          <w:rFonts w:hint="eastAsia"/>
          <w:b/>
          <w:bCs/>
          <w:color w:val="auto"/>
          <w:highlight w:val="none"/>
        </w:rPr>
        <w:t>（2）</w:t>
      </w:r>
      <w:r>
        <w:rPr>
          <w:b/>
          <w:bCs/>
          <w:color w:val="auto"/>
          <w:highlight w:val="none"/>
        </w:rPr>
        <w:t>施工期废水</w:t>
      </w:r>
    </w:p>
    <w:p w14:paraId="672DDF1E">
      <w:pPr>
        <w:pStyle w:val="41"/>
        <w:ind w:firstLine="480"/>
        <w:rPr>
          <w:color w:val="auto"/>
          <w:highlight w:val="none"/>
        </w:rPr>
      </w:pPr>
      <w:r>
        <w:rPr>
          <w:color w:val="auto"/>
          <w:highlight w:val="none"/>
        </w:rPr>
        <w:t>项目施工期间产生的废水主要为生活污水。</w:t>
      </w:r>
    </w:p>
    <w:p w14:paraId="5B4DCE5E">
      <w:pPr>
        <w:pStyle w:val="41"/>
        <w:ind w:firstLine="480"/>
        <w:rPr>
          <w:color w:val="auto"/>
          <w:highlight w:val="none"/>
        </w:rPr>
      </w:pPr>
      <w:r>
        <w:rPr>
          <w:rFonts w:hint="eastAsia"/>
          <w:color w:val="auto"/>
          <w:highlight w:val="none"/>
        </w:rPr>
        <w:t>施工</w:t>
      </w:r>
      <w:r>
        <w:rPr>
          <w:color w:val="auto"/>
          <w:highlight w:val="none"/>
        </w:rPr>
        <w:t>人员</w:t>
      </w:r>
      <w:r>
        <w:rPr>
          <w:rFonts w:hint="eastAsia"/>
          <w:color w:val="auto"/>
          <w:highlight w:val="none"/>
        </w:rPr>
        <w:t>产生的生活污水经</w:t>
      </w:r>
      <w:r>
        <w:rPr>
          <w:rFonts w:hint="eastAsia"/>
          <w:color w:val="auto"/>
          <w:highlight w:val="none"/>
          <w:lang w:val="en-US" w:eastAsia="zh-CN"/>
        </w:rPr>
        <w:t>办公区</w:t>
      </w:r>
      <w:r>
        <w:rPr>
          <w:rFonts w:hint="eastAsia"/>
          <w:color w:val="auto"/>
          <w:highlight w:val="none"/>
        </w:rPr>
        <w:t>内已</w:t>
      </w:r>
      <w:r>
        <w:rPr>
          <w:rFonts w:hint="eastAsia"/>
          <w:color w:val="auto"/>
          <w:highlight w:val="none"/>
          <w:lang w:val="en-US" w:eastAsia="zh-CN"/>
        </w:rPr>
        <w:t>配套</w:t>
      </w:r>
      <w:r>
        <w:rPr>
          <w:rFonts w:hint="eastAsia"/>
          <w:color w:val="auto"/>
          <w:highlight w:val="none"/>
        </w:rPr>
        <w:t>建设的卫生间、</w:t>
      </w:r>
      <w:r>
        <w:rPr>
          <w:rFonts w:hint="eastAsia"/>
          <w:color w:val="auto"/>
          <w:highlight w:val="none"/>
          <w:lang w:eastAsia="zh-CN"/>
        </w:rPr>
        <w:t>粪污收集池</w:t>
      </w:r>
      <w:r>
        <w:rPr>
          <w:rFonts w:hint="eastAsia"/>
          <w:color w:val="auto"/>
          <w:highlight w:val="none"/>
          <w:lang w:val="en-US" w:eastAsia="zh-CN"/>
        </w:rPr>
        <w:t>收集后周边农户定期清掏做农肥，</w:t>
      </w:r>
      <w:r>
        <w:rPr>
          <w:rFonts w:hint="eastAsia"/>
          <w:color w:val="auto"/>
          <w:highlight w:val="none"/>
        </w:rPr>
        <w:t>不直接外排。</w:t>
      </w:r>
    </w:p>
    <w:p w14:paraId="1ABB0453">
      <w:pPr>
        <w:pStyle w:val="41"/>
        <w:ind w:firstLine="482"/>
        <w:rPr>
          <w:b/>
          <w:bCs/>
          <w:color w:val="auto"/>
          <w:highlight w:val="none"/>
        </w:rPr>
      </w:pPr>
      <w:r>
        <w:rPr>
          <w:rFonts w:hint="eastAsia"/>
          <w:b/>
          <w:bCs/>
          <w:color w:val="auto"/>
          <w:highlight w:val="none"/>
        </w:rPr>
        <w:t>（3）</w:t>
      </w:r>
      <w:r>
        <w:rPr>
          <w:b/>
          <w:bCs/>
          <w:color w:val="auto"/>
          <w:highlight w:val="none"/>
        </w:rPr>
        <w:t>施工期固体废物</w:t>
      </w:r>
    </w:p>
    <w:p w14:paraId="6E179898">
      <w:pPr>
        <w:pStyle w:val="41"/>
        <w:ind w:firstLine="480"/>
        <w:rPr>
          <w:color w:val="auto"/>
          <w:highlight w:val="none"/>
        </w:rPr>
      </w:pPr>
      <w:r>
        <w:rPr>
          <w:color w:val="auto"/>
          <w:highlight w:val="none"/>
        </w:rPr>
        <w:t>施工期项目固体废弃物主要是</w:t>
      </w:r>
      <w:r>
        <w:rPr>
          <w:rFonts w:hint="eastAsia"/>
          <w:color w:val="auto"/>
          <w:highlight w:val="none"/>
        </w:rPr>
        <w:t>设备包装</w:t>
      </w:r>
      <w:r>
        <w:rPr>
          <w:color w:val="auto"/>
          <w:highlight w:val="none"/>
        </w:rPr>
        <w:t>，另外还有少量施工人员的生活垃圾。</w:t>
      </w:r>
    </w:p>
    <w:p w14:paraId="0EB2E36E">
      <w:pPr>
        <w:pStyle w:val="41"/>
        <w:ind w:firstLine="482"/>
        <w:rPr>
          <w:b/>
          <w:bCs/>
          <w:color w:val="auto"/>
          <w:highlight w:val="none"/>
        </w:rPr>
      </w:pPr>
      <w:r>
        <w:rPr>
          <w:rFonts w:hint="eastAsia"/>
          <w:b/>
          <w:bCs/>
          <w:color w:val="auto"/>
          <w:highlight w:val="none"/>
        </w:rPr>
        <w:t>1）废包装</w:t>
      </w:r>
    </w:p>
    <w:p w14:paraId="360AF368">
      <w:pPr>
        <w:pStyle w:val="41"/>
        <w:bidi w:val="0"/>
        <w:rPr>
          <w:rFonts w:hint="eastAsia"/>
        </w:rPr>
      </w:pPr>
      <w:r>
        <w:rPr>
          <w:rFonts w:hint="eastAsia"/>
        </w:rPr>
        <w:t>项目施工</w:t>
      </w:r>
      <w:r>
        <w:rPr>
          <w:rFonts w:hint="eastAsia"/>
          <w:lang w:eastAsia="zh-CN"/>
        </w:rPr>
        <w:t>期间</w:t>
      </w:r>
      <w:r>
        <w:rPr>
          <w:rFonts w:hint="eastAsia"/>
        </w:rPr>
        <w:t>主要进行设备安装，施工工</w:t>
      </w:r>
      <w:r>
        <w:rPr>
          <w:rFonts w:hint="eastAsia"/>
          <w:lang w:eastAsia="zh-CN"/>
        </w:rPr>
        <w:t>程中</w:t>
      </w:r>
      <w:r>
        <w:rPr>
          <w:rFonts w:hint="eastAsia"/>
        </w:rPr>
        <w:t>会产生部分废包装箱、废包装袋等，</w:t>
      </w:r>
      <w:r>
        <w:t>集中收集</w:t>
      </w:r>
      <w:r>
        <w:rPr>
          <w:rFonts w:hint="eastAsia"/>
        </w:rPr>
        <w:t>后出售给</w:t>
      </w:r>
      <w:r>
        <w:rPr>
          <w:rFonts w:hint="eastAsia"/>
          <w:lang w:val="en-US" w:eastAsia="zh-CN"/>
        </w:rPr>
        <w:t>废品回收站</w:t>
      </w:r>
      <w:r>
        <w:rPr>
          <w:rFonts w:hint="eastAsia"/>
        </w:rPr>
        <w:t>。</w:t>
      </w:r>
    </w:p>
    <w:p w14:paraId="022F5092">
      <w:pPr>
        <w:pStyle w:val="41"/>
        <w:bidi w:val="0"/>
        <w:rPr>
          <w:rFonts w:hint="eastAsia"/>
          <w:b/>
          <w:bCs/>
          <w:lang w:val="en-US" w:eastAsia="zh-CN"/>
        </w:rPr>
      </w:pPr>
      <w:r>
        <w:rPr>
          <w:rFonts w:hint="eastAsia"/>
          <w:b/>
          <w:bCs/>
          <w:lang w:val="en-US" w:eastAsia="zh-CN"/>
        </w:rPr>
        <w:t>2）废旧设备</w:t>
      </w:r>
    </w:p>
    <w:p w14:paraId="2FAAE8C7">
      <w:pPr>
        <w:pStyle w:val="41"/>
        <w:bidi w:val="0"/>
        <w:rPr>
          <w:rFonts w:hint="default"/>
          <w:lang w:val="en-US" w:eastAsia="zh-CN"/>
        </w:rPr>
      </w:pPr>
      <w:r>
        <w:rPr>
          <w:rFonts w:hint="eastAsia"/>
          <w:lang w:val="en-US" w:eastAsia="zh-CN"/>
        </w:rPr>
        <w:t>项目拆除的旧设备外售处置。</w:t>
      </w:r>
    </w:p>
    <w:p w14:paraId="6AF20D93">
      <w:pPr>
        <w:pStyle w:val="41"/>
        <w:ind w:firstLine="482"/>
        <w:rPr>
          <w:b/>
          <w:bCs/>
          <w:color w:val="auto"/>
          <w:highlight w:val="none"/>
        </w:rPr>
      </w:pPr>
      <w:r>
        <w:rPr>
          <w:rFonts w:hint="eastAsia"/>
          <w:b/>
          <w:bCs/>
          <w:color w:val="auto"/>
          <w:highlight w:val="none"/>
          <w:lang w:val="en-US" w:eastAsia="zh-CN"/>
        </w:rPr>
        <w:t>3</w:t>
      </w:r>
      <w:r>
        <w:rPr>
          <w:b/>
          <w:bCs/>
          <w:color w:val="auto"/>
          <w:highlight w:val="none"/>
        </w:rPr>
        <w:t>）生活垃圾</w:t>
      </w:r>
    </w:p>
    <w:p w14:paraId="76695170">
      <w:pPr>
        <w:pStyle w:val="41"/>
        <w:ind w:firstLine="480"/>
        <w:rPr>
          <w:color w:val="auto"/>
          <w:highlight w:val="none"/>
        </w:rPr>
      </w:pPr>
      <w:r>
        <w:rPr>
          <w:color w:val="auto"/>
          <w:highlight w:val="none"/>
        </w:rPr>
        <w:t>项目施工人员产生的生活垃圾按每人0.2kg/d，平均以</w:t>
      </w:r>
      <w:r>
        <w:rPr>
          <w:rFonts w:hint="eastAsia"/>
          <w:color w:val="auto"/>
          <w:highlight w:val="none"/>
          <w:lang w:val="en-US" w:eastAsia="zh-CN"/>
        </w:rPr>
        <w:t>10</w:t>
      </w:r>
      <w:r>
        <w:rPr>
          <w:color w:val="auto"/>
          <w:highlight w:val="none"/>
        </w:rPr>
        <w:t>人/d计，产生量约为2kg/d。项目设置生活垃圾集中堆放点，委托当地环卫部门进行清运处理。</w:t>
      </w:r>
    </w:p>
    <w:p w14:paraId="62B4BD30">
      <w:pPr>
        <w:pStyle w:val="41"/>
        <w:ind w:firstLine="482"/>
        <w:rPr>
          <w:b/>
          <w:bCs/>
          <w:color w:val="auto"/>
          <w:highlight w:val="none"/>
        </w:rPr>
      </w:pPr>
      <w:r>
        <w:rPr>
          <w:rFonts w:hint="eastAsia"/>
          <w:b/>
          <w:bCs/>
          <w:color w:val="auto"/>
          <w:highlight w:val="none"/>
        </w:rPr>
        <w:t>4）</w:t>
      </w:r>
      <w:r>
        <w:rPr>
          <w:b/>
          <w:bCs/>
          <w:color w:val="auto"/>
          <w:highlight w:val="none"/>
        </w:rPr>
        <w:t>施工期噪声</w:t>
      </w:r>
    </w:p>
    <w:p w14:paraId="403C65A8">
      <w:pPr>
        <w:pStyle w:val="41"/>
        <w:ind w:firstLine="480"/>
        <w:rPr>
          <w:color w:val="auto"/>
          <w:highlight w:val="none"/>
        </w:rPr>
      </w:pPr>
      <w:r>
        <w:rPr>
          <w:color w:val="auto"/>
          <w:highlight w:val="none"/>
        </w:rPr>
        <w:t>在施工</w:t>
      </w:r>
      <w:r>
        <w:rPr>
          <w:rFonts w:hint="eastAsia"/>
          <w:color w:val="auto"/>
          <w:highlight w:val="none"/>
          <w:lang w:eastAsia="zh-CN"/>
        </w:rPr>
        <w:t>期间</w:t>
      </w:r>
      <w:r>
        <w:rPr>
          <w:color w:val="auto"/>
          <w:highlight w:val="none"/>
        </w:rPr>
        <w:t>，项目主要噪声源是施工机械噪声、施工噪声和施工车辆噪声。机械噪声主要由施工机械所产生，项目各施工机械噪声源的噪声值见表</w:t>
      </w:r>
      <w:r>
        <w:rPr>
          <w:rFonts w:hint="eastAsia"/>
          <w:color w:val="auto"/>
          <w:highlight w:val="none"/>
        </w:rPr>
        <w:t>4</w:t>
      </w:r>
      <w:r>
        <w:rPr>
          <w:color w:val="auto"/>
          <w:highlight w:val="none"/>
        </w:rPr>
        <w:t>.</w:t>
      </w:r>
      <w:r>
        <w:rPr>
          <w:rFonts w:hint="eastAsia"/>
          <w:color w:val="auto"/>
          <w:highlight w:val="none"/>
          <w:lang w:val="en-US" w:eastAsia="zh-CN"/>
        </w:rPr>
        <w:t>5</w:t>
      </w:r>
      <w:r>
        <w:rPr>
          <w:color w:val="auto"/>
          <w:highlight w:val="none"/>
        </w:rPr>
        <w:t>-1。</w:t>
      </w:r>
    </w:p>
    <w:p w14:paraId="028902E3">
      <w:pPr>
        <w:pStyle w:val="45"/>
        <w:rPr>
          <w:color w:val="auto"/>
          <w:highlight w:val="none"/>
        </w:rPr>
      </w:pPr>
      <w:r>
        <w:rPr>
          <w:color w:val="auto"/>
          <w:highlight w:val="none"/>
        </w:rPr>
        <w:t>表</w:t>
      </w:r>
      <w:r>
        <w:rPr>
          <w:rFonts w:hint="eastAsia"/>
          <w:color w:val="auto"/>
          <w:highlight w:val="none"/>
        </w:rPr>
        <w:t>4</w:t>
      </w:r>
      <w:r>
        <w:rPr>
          <w:color w:val="auto"/>
          <w:highlight w:val="none"/>
        </w:rPr>
        <w:t>.</w:t>
      </w:r>
      <w:r>
        <w:rPr>
          <w:rFonts w:hint="eastAsia"/>
          <w:color w:val="auto"/>
          <w:highlight w:val="none"/>
          <w:lang w:val="en-US" w:eastAsia="zh-CN"/>
        </w:rPr>
        <w:t>5</w:t>
      </w:r>
      <w:r>
        <w:rPr>
          <w:color w:val="auto"/>
          <w:highlight w:val="none"/>
        </w:rPr>
        <w:t>-1  施工期噪声源强值</w:t>
      </w:r>
    </w:p>
    <w:tbl>
      <w:tblPr>
        <w:tblStyle w:val="34"/>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837"/>
        <w:gridCol w:w="2689"/>
        <w:gridCol w:w="2804"/>
      </w:tblGrid>
      <w:tr w14:paraId="5545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837" w:type="dxa"/>
            <w:vAlign w:val="center"/>
          </w:tcPr>
          <w:p w14:paraId="3958A467">
            <w:pPr>
              <w:pStyle w:val="43"/>
              <w:rPr>
                <w:b/>
                <w:bCs/>
                <w:color w:val="auto"/>
                <w:highlight w:val="none"/>
              </w:rPr>
            </w:pPr>
            <w:r>
              <w:rPr>
                <w:b/>
                <w:bCs/>
                <w:color w:val="auto"/>
                <w:highlight w:val="none"/>
                <w:lang w:val="zh-CN"/>
              </w:rPr>
              <w:t>施工阶段</w:t>
            </w:r>
          </w:p>
        </w:tc>
        <w:tc>
          <w:tcPr>
            <w:tcW w:w="2689" w:type="dxa"/>
            <w:vAlign w:val="center"/>
          </w:tcPr>
          <w:p w14:paraId="6475CA1F">
            <w:pPr>
              <w:pStyle w:val="43"/>
              <w:rPr>
                <w:b/>
                <w:bCs/>
                <w:color w:val="auto"/>
                <w:highlight w:val="none"/>
                <w:lang w:val="zh-CN"/>
              </w:rPr>
            </w:pPr>
            <w:r>
              <w:rPr>
                <w:b/>
                <w:bCs/>
                <w:color w:val="auto"/>
                <w:highlight w:val="none"/>
                <w:lang w:val="zh-CN"/>
              </w:rPr>
              <w:t>声源</w:t>
            </w:r>
          </w:p>
        </w:tc>
        <w:tc>
          <w:tcPr>
            <w:tcW w:w="2804" w:type="dxa"/>
            <w:vAlign w:val="center"/>
          </w:tcPr>
          <w:p w14:paraId="76387C29">
            <w:pPr>
              <w:pStyle w:val="43"/>
              <w:rPr>
                <w:b/>
                <w:bCs/>
                <w:color w:val="auto"/>
                <w:highlight w:val="none"/>
                <w:lang w:val="zh-CN"/>
              </w:rPr>
            </w:pPr>
            <w:r>
              <w:rPr>
                <w:b/>
                <w:bCs/>
                <w:color w:val="auto"/>
                <w:highlight w:val="none"/>
                <w:lang w:val="zh-CN"/>
              </w:rPr>
              <w:t>声级 dB(A)</w:t>
            </w:r>
          </w:p>
        </w:tc>
      </w:tr>
      <w:tr w14:paraId="0590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837" w:type="dxa"/>
            <w:vMerge w:val="restart"/>
            <w:vAlign w:val="center"/>
          </w:tcPr>
          <w:p w14:paraId="413025FB">
            <w:pPr>
              <w:pStyle w:val="43"/>
              <w:rPr>
                <w:color w:val="auto"/>
                <w:highlight w:val="none"/>
                <w:lang w:val="zh-CN"/>
              </w:rPr>
            </w:pPr>
            <w:r>
              <w:rPr>
                <w:color w:val="auto"/>
                <w:highlight w:val="none"/>
                <w:lang w:val="zh-CN"/>
              </w:rPr>
              <w:t>施工期</w:t>
            </w:r>
          </w:p>
        </w:tc>
        <w:tc>
          <w:tcPr>
            <w:tcW w:w="2689" w:type="dxa"/>
            <w:vAlign w:val="center"/>
          </w:tcPr>
          <w:p w14:paraId="070E1DF1">
            <w:pPr>
              <w:pStyle w:val="43"/>
              <w:ind w:firstLine="0" w:firstLineChars="0"/>
              <w:rPr>
                <w:color w:val="auto"/>
                <w:highlight w:val="none"/>
                <w:lang w:val="zh-CN"/>
              </w:rPr>
            </w:pPr>
            <w:r>
              <w:rPr>
                <w:color w:val="auto"/>
                <w:highlight w:val="none"/>
                <w:lang w:val="zh-CN"/>
              </w:rPr>
              <w:t>电锯</w:t>
            </w:r>
          </w:p>
        </w:tc>
        <w:tc>
          <w:tcPr>
            <w:tcW w:w="2804" w:type="dxa"/>
            <w:vAlign w:val="center"/>
          </w:tcPr>
          <w:p w14:paraId="35551D3C">
            <w:pPr>
              <w:pStyle w:val="43"/>
              <w:ind w:firstLine="0" w:firstLineChars="0"/>
              <w:rPr>
                <w:color w:val="auto"/>
                <w:highlight w:val="none"/>
              </w:rPr>
            </w:pPr>
            <w:r>
              <w:rPr>
                <w:color w:val="auto"/>
                <w:highlight w:val="none"/>
              </w:rPr>
              <w:t>75</w:t>
            </w:r>
            <w:r>
              <w:rPr>
                <w:color w:val="auto"/>
                <w:highlight w:val="none"/>
                <w:lang w:val="zh-CN"/>
              </w:rPr>
              <w:t>~</w:t>
            </w:r>
            <w:r>
              <w:rPr>
                <w:color w:val="auto"/>
                <w:highlight w:val="none"/>
              </w:rPr>
              <w:t>85</w:t>
            </w:r>
          </w:p>
        </w:tc>
      </w:tr>
      <w:tr w14:paraId="306D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837" w:type="dxa"/>
            <w:vMerge w:val="continue"/>
            <w:vAlign w:val="center"/>
          </w:tcPr>
          <w:p w14:paraId="49D9D3FD">
            <w:pPr>
              <w:pStyle w:val="43"/>
              <w:rPr>
                <w:color w:val="auto"/>
                <w:highlight w:val="none"/>
                <w:lang w:val="zh-CN"/>
              </w:rPr>
            </w:pPr>
          </w:p>
        </w:tc>
        <w:tc>
          <w:tcPr>
            <w:tcW w:w="2689" w:type="dxa"/>
            <w:vAlign w:val="center"/>
          </w:tcPr>
          <w:p w14:paraId="5AA8EF39">
            <w:pPr>
              <w:pStyle w:val="43"/>
              <w:ind w:firstLine="0" w:firstLineChars="0"/>
              <w:rPr>
                <w:color w:val="auto"/>
                <w:highlight w:val="none"/>
                <w:lang w:val="zh-CN"/>
              </w:rPr>
            </w:pPr>
            <w:r>
              <w:rPr>
                <w:color w:val="auto"/>
                <w:highlight w:val="none"/>
              </w:rPr>
              <w:t>电焊机</w:t>
            </w:r>
          </w:p>
        </w:tc>
        <w:tc>
          <w:tcPr>
            <w:tcW w:w="2804" w:type="dxa"/>
            <w:vAlign w:val="center"/>
          </w:tcPr>
          <w:p w14:paraId="1C2D0DD6">
            <w:pPr>
              <w:pStyle w:val="43"/>
              <w:ind w:firstLine="0" w:firstLineChars="0"/>
              <w:rPr>
                <w:color w:val="auto"/>
                <w:highlight w:val="none"/>
              </w:rPr>
            </w:pPr>
            <w:r>
              <w:rPr>
                <w:color w:val="auto"/>
                <w:highlight w:val="none"/>
              </w:rPr>
              <w:t>75</w:t>
            </w:r>
            <w:r>
              <w:rPr>
                <w:color w:val="auto"/>
                <w:highlight w:val="none"/>
                <w:lang w:val="zh-CN"/>
              </w:rPr>
              <w:t>~</w:t>
            </w:r>
            <w:r>
              <w:rPr>
                <w:color w:val="auto"/>
                <w:highlight w:val="none"/>
              </w:rPr>
              <w:t>85</w:t>
            </w:r>
          </w:p>
        </w:tc>
      </w:tr>
      <w:tr w14:paraId="41B8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2837" w:type="dxa"/>
            <w:vMerge w:val="continue"/>
            <w:vAlign w:val="center"/>
          </w:tcPr>
          <w:p w14:paraId="3E47410C">
            <w:pPr>
              <w:pStyle w:val="43"/>
              <w:rPr>
                <w:color w:val="auto"/>
                <w:highlight w:val="none"/>
                <w:lang w:val="zh-CN"/>
              </w:rPr>
            </w:pPr>
          </w:p>
        </w:tc>
        <w:tc>
          <w:tcPr>
            <w:tcW w:w="2689" w:type="dxa"/>
            <w:vAlign w:val="center"/>
          </w:tcPr>
          <w:p w14:paraId="2BBA17CF">
            <w:pPr>
              <w:pStyle w:val="43"/>
              <w:ind w:firstLine="0" w:firstLineChars="0"/>
              <w:rPr>
                <w:color w:val="auto"/>
                <w:highlight w:val="none"/>
                <w:lang w:val="zh-CN"/>
              </w:rPr>
            </w:pPr>
            <w:r>
              <w:rPr>
                <w:color w:val="auto"/>
                <w:highlight w:val="none"/>
                <w:lang w:val="zh-CN"/>
              </w:rPr>
              <w:t>电钻</w:t>
            </w:r>
          </w:p>
        </w:tc>
        <w:tc>
          <w:tcPr>
            <w:tcW w:w="2804" w:type="dxa"/>
            <w:vAlign w:val="center"/>
          </w:tcPr>
          <w:p w14:paraId="71FDE41F">
            <w:pPr>
              <w:pStyle w:val="43"/>
              <w:ind w:firstLine="0" w:firstLineChars="0"/>
              <w:rPr>
                <w:color w:val="auto"/>
                <w:highlight w:val="none"/>
              </w:rPr>
            </w:pPr>
            <w:r>
              <w:rPr>
                <w:color w:val="auto"/>
                <w:highlight w:val="none"/>
              </w:rPr>
              <w:t>80</w:t>
            </w:r>
            <w:r>
              <w:rPr>
                <w:color w:val="auto"/>
                <w:highlight w:val="none"/>
                <w:lang w:val="zh-CN"/>
              </w:rPr>
              <w:t>~</w:t>
            </w:r>
            <w:r>
              <w:rPr>
                <w:color w:val="auto"/>
                <w:highlight w:val="none"/>
              </w:rPr>
              <w:t>90</w:t>
            </w:r>
          </w:p>
        </w:tc>
      </w:tr>
      <w:tr w14:paraId="35AB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8330" w:type="dxa"/>
            <w:gridSpan w:val="3"/>
            <w:vAlign w:val="center"/>
          </w:tcPr>
          <w:p w14:paraId="4775AFF7">
            <w:pPr>
              <w:pStyle w:val="43"/>
              <w:rPr>
                <w:color w:val="auto"/>
                <w:highlight w:val="none"/>
                <w:lang w:val="zh-CN"/>
              </w:rPr>
            </w:pPr>
            <w:r>
              <w:rPr>
                <w:color w:val="auto"/>
                <w:highlight w:val="none"/>
                <w:lang w:val="zh-CN"/>
              </w:rPr>
              <w:t>注：本表中噪声源强均为距离噪声源1m处源强</w:t>
            </w:r>
            <w:r>
              <w:rPr>
                <w:rFonts w:hint="eastAsia"/>
                <w:color w:val="auto"/>
                <w:highlight w:val="none"/>
                <w:lang w:val="zh-CN"/>
              </w:rPr>
              <w:t>。</w:t>
            </w:r>
          </w:p>
        </w:tc>
      </w:tr>
    </w:tbl>
    <w:p w14:paraId="50A41B52">
      <w:pPr>
        <w:pStyle w:val="4"/>
        <w:bidi w:val="0"/>
        <w:rPr>
          <w:rFonts w:hint="default"/>
          <w:lang w:val="en-US" w:eastAsia="zh-CN"/>
        </w:rPr>
      </w:pPr>
      <w:r>
        <w:rPr>
          <w:rFonts w:hint="default"/>
          <w:lang w:val="en-US" w:eastAsia="zh-CN"/>
        </w:rPr>
        <w:t>运营期污染源强核算</w:t>
      </w:r>
      <w:bookmarkEnd w:id="247"/>
    </w:p>
    <w:p w14:paraId="4B2EB775">
      <w:pPr>
        <w:pStyle w:val="41"/>
        <w:bidi w:val="0"/>
        <w:rPr>
          <w:rFonts w:hint="default"/>
          <w:b/>
          <w:bCs/>
          <w:lang w:val="en-US" w:eastAsia="zh-CN"/>
        </w:rPr>
      </w:pPr>
      <w:r>
        <w:rPr>
          <w:rFonts w:hint="eastAsia"/>
          <w:b/>
          <w:bCs/>
          <w:lang w:val="en-US" w:eastAsia="zh-CN"/>
        </w:rPr>
        <w:t>项目属于扩建项目，生产规模由20万t/a扩大为50万t/a，本次污染源强以扩建后整个项目进行核算。</w:t>
      </w:r>
    </w:p>
    <w:p w14:paraId="3B6E50B5">
      <w:pPr>
        <w:pStyle w:val="5"/>
        <w:keepNext/>
        <w:pageBreakBefore w:val="0"/>
        <w:kinsoku/>
        <w:overflowPunct/>
        <w:topLinePunct w:val="0"/>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废气产排情况</w:t>
      </w:r>
    </w:p>
    <w:p w14:paraId="181EBC9C">
      <w:pPr>
        <w:pStyle w:val="41"/>
        <w:bidi w:val="0"/>
        <w:rPr>
          <w:rFonts w:hint="default"/>
          <w:lang w:val="en-US" w:eastAsia="zh-CN"/>
        </w:rPr>
      </w:pPr>
      <w:r>
        <w:rPr>
          <w:rFonts w:hint="default"/>
          <w:lang w:val="en-US" w:eastAsia="zh-CN"/>
        </w:rPr>
        <w:t>运营期大气污染物主要为采场扬尘及爆破废气，</w:t>
      </w:r>
      <w:r>
        <w:rPr>
          <w:rFonts w:hint="eastAsia"/>
          <w:lang w:val="en-US" w:eastAsia="zh-CN"/>
        </w:rPr>
        <w:t>加工区</w:t>
      </w:r>
      <w:r>
        <w:rPr>
          <w:rFonts w:hint="default"/>
          <w:lang w:val="en-US" w:eastAsia="zh-CN"/>
        </w:rPr>
        <w:t>原矿加工、产品装卸产生的粉尘，道路运输、弃渣场及</w:t>
      </w:r>
      <w:r>
        <w:rPr>
          <w:rFonts w:hint="eastAsia"/>
          <w:lang w:val="en-US" w:eastAsia="zh-CN"/>
        </w:rPr>
        <w:t>表土堆场</w:t>
      </w:r>
      <w:r>
        <w:rPr>
          <w:rFonts w:hint="default"/>
          <w:lang w:val="en-US" w:eastAsia="zh-CN"/>
        </w:rPr>
        <w:t>扬尘，机械燃油废气等。</w:t>
      </w:r>
    </w:p>
    <w:p w14:paraId="7BA8D74A">
      <w:pPr>
        <w:pStyle w:val="41"/>
        <w:bidi w:val="0"/>
        <w:rPr>
          <w:rFonts w:hint="default"/>
          <w:b/>
          <w:bCs/>
          <w:lang w:val="en-US" w:eastAsia="zh-CN"/>
        </w:rPr>
      </w:pPr>
      <w:r>
        <w:rPr>
          <w:rFonts w:hint="default"/>
          <w:b/>
          <w:bCs/>
          <w:lang w:val="en-US" w:eastAsia="zh-CN"/>
        </w:rPr>
        <w:t>（1）颗粒物（含扬尘、粉尘）</w:t>
      </w:r>
    </w:p>
    <w:p w14:paraId="33320A41">
      <w:pPr>
        <w:pStyle w:val="41"/>
        <w:bidi w:val="0"/>
        <w:rPr>
          <w:b/>
          <w:bCs/>
        </w:rPr>
      </w:pPr>
      <w:r>
        <w:rPr>
          <w:b/>
          <w:bCs/>
        </w:rPr>
        <w:t>1）开采废气</w:t>
      </w:r>
    </w:p>
    <w:p w14:paraId="0B02449E">
      <w:pPr>
        <w:pStyle w:val="41"/>
        <w:bidi w:val="0"/>
      </w:pPr>
      <w:r>
        <w:t>本项目开采废气包括露天采场剥离、凿岩钻孔、爆破、机械开采、铲装过</w:t>
      </w:r>
      <w:r>
        <w:rPr>
          <w:rFonts w:hint="eastAsia"/>
          <w:lang w:eastAsia="zh-CN"/>
        </w:rPr>
        <w:t>程中</w:t>
      </w:r>
      <w:r>
        <w:t>产生的废气。</w:t>
      </w:r>
    </w:p>
    <w:p w14:paraId="7BBF1EB1">
      <w:pPr>
        <w:pStyle w:val="41"/>
        <w:bidi w:val="0"/>
      </w:pPr>
      <w:r>
        <w:t>参照《关于发布</w:t>
      </w:r>
      <w:r>
        <w:rPr>
          <w:rFonts w:hint="eastAsia"/>
          <w:lang w:eastAsia="zh-CN"/>
        </w:rPr>
        <w:t>〈</w:t>
      </w:r>
      <w:r>
        <w:t>排放源统计调查产排污核算方法和系数手册</w:t>
      </w:r>
      <w:r>
        <w:rPr>
          <w:rFonts w:hint="eastAsia"/>
          <w:lang w:eastAsia="zh-CN"/>
        </w:rPr>
        <w:t>〉</w:t>
      </w:r>
      <w:r>
        <w:t>的公告》（公告2021第24号）1011石灰石、石膏开采行业系数表，露天开采石灰岩产污系数为1.42×10</w:t>
      </w:r>
      <w:r>
        <w:rPr>
          <w:rFonts w:hint="eastAsia"/>
          <w:lang w:eastAsia="zh-CN"/>
        </w:rPr>
        <w:t>—</w:t>
      </w:r>
      <w:r>
        <w:rPr>
          <w:vertAlign w:val="superscript"/>
        </w:rPr>
        <w:t>2</w:t>
      </w:r>
      <w:r>
        <w:t>kg/t-产品，矿山生产规模为年产建筑石料用灰岩矿</w:t>
      </w:r>
      <w:r>
        <w:rPr>
          <w:rFonts w:hint="eastAsia"/>
          <w:lang w:val="en-US" w:eastAsia="zh-CN"/>
        </w:rPr>
        <w:t>50</w:t>
      </w:r>
      <w:r>
        <w:t>万t/a，则露天开采过程中颗粒物产生量为</w:t>
      </w:r>
      <w:r>
        <w:rPr>
          <w:rFonts w:hint="eastAsia"/>
          <w:lang w:val="en-US" w:eastAsia="zh-CN"/>
        </w:rPr>
        <w:t>7.1</w:t>
      </w:r>
      <w:r>
        <w:t>t/a，按年工作300天，每天工作8小时计算，产生速率为</w:t>
      </w:r>
      <w:r>
        <w:rPr>
          <w:rFonts w:hint="eastAsia"/>
          <w:lang w:val="en-US" w:eastAsia="zh-CN"/>
        </w:rPr>
        <w:t>2.96</w:t>
      </w:r>
      <w:r>
        <w:t>kg/h。</w:t>
      </w:r>
    </w:p>
    <w:p w14:paraId="104CF917">
      <w:pPr>
        <w:pStyle w:val="41"/>
        <w:bidi w:val="0"/>
      </w:pPr>
      <w:r>
        <w:t>根据《固体物料堆存颗粒物产排污核算系数手册》附录4，洒水的抑尘效率为74%，本项目潜孔钻机工作时采用干式凿岩，设备自带有除尘装置；露天爆破采用多孔微差爆破，爆破瞬间进行洒水降尘；大块岩石的破碎由液压挖掘机配备液压破碎锤来完成，采用洒水车提前对作业面进行洒水加湿，增加作业面湿度，爆破后的矿石堆存采用雾炮进行喷雾抑尘，降低矿石铲装过程中粉尘的产生，运输车苫布遮盖，减速慢行。采取上述抑尘</w:t>
      </w:r>
      <w:r>
        <w:rPr>
          <w:rFonts w:hint="eastAsia"/>
          <w:lang w:eastAsia="zh-CN"/>
        </w:rPr>
        <w:t>措施</w:t>
      </w:r>
      <w:r>
        <w:t>综合抑尘效率为80%，故开采过程中采区开采过程颗粒物排放量为</w:t>
      </w:r>
      <w:r>
        <w:rPr>
          <w:rFonts w:hint="eastAsia"/>
          <w:lang w:val="en-US" w:eastAsia="zh-CN"/>
        </w:rPr>
        <w:t>1.42</w:t>
      </w:r>
      <w:r>
        <w:t>t/a（</w:t>
      </w:r>
      <w:r>
        <w:rPr>
          <w:rFonts w:hint="eastAsia"/>
          <w:lang w:val="en-US" w:eastAsia="zh-CN"/>
        </w:rPr>
        <w:t>0.59</w:t>
      </w:r>
      <w:r>
        <w:t>kg/h）。</w:t>
      </w:r>
    </w:p>
    <w:p w14:paraId="797AE8D4">
      <w:pPr>
        <w:pStyle w:val="41"/>
        <w:bidi w:val="0"/>
        <w:rPr>
          <w:rFonts w:hint="default"/>
          <w:b/>
          <w:bCs/>
          <w:lang w:val="en-US" w:eastAsia="zh-CN"/>
        </w:rPr>
      </w:pPr>
      <w:r>
        <w:rPr>
          <w:rFonts w:hint="default"/>
          <w:b/>
          <w:bCs/>
          <w:lang w:val="en-US" w:eastAsia="zh-CN"/>
        </w:rPr>
        <w:t>2）堆场风蚀扬尘</w:t>
      </w:r>
    </w:p>
    <w:p w14:paraId="6A6EBE33">
      <w:pPr>
        <w:pStyle w:val="41"/>
        <w:bidi w:val="0"/>
        <w:rPr>
          <w:rFonts w:hint="default"/>
          <w:lang w:val="en-US" w:eastAsia="zh-CN"/>
        </w:rPr>
      </w:pPr>
      <w:r>
        <w:rPr>
          <w:rFonts w:hint="default"/>
          <w:lang w:val="en-US" w:eastAsia="zh-CN"/>
        </w:rPr>
        <w:t>堆场风蚀扬尘本次主要考虑弃渣场。</w:t>
      </w:r>
    </w:p>
    <w:p w14:paraId="39A42009">
      <w:pPr>
        <w:pStyle w:val="41"/>
        <w:bidi w:val="0"/>
        <w:rPr>
          <w:rFonts w:hint="default"/>
          <w:lang w:val="en-US" w:eastAsia="zh-CN"/>
        </w:rPr>
      </w:pPr>
      <w:r>
        <w:rPr>
          <w:rFonts w:hint="eastAsia"/>
          <w:lang w:val="en-US" w:eastAsia="zh-CN"/>
        </w:rPr>
        <w:t>表土堆场</w:t>
      </w:r>
      <w:r>
        <w:rPr>
          <w:rFonts w:hint="default"/>
          <w:lang w:val="en-US" w:eastAsia="zh-CN"/>
        </w:rPr>
        <w:t>在风力作用下会产生一定量扬尘，起尘量与风速及其它气候因素关系较大，本次只计算非雨天的时间（约</w:t>
      </w:r>
      <w:r>
        <w:rPr>
          <w:rFonts w:hint="eastAsia"/>
          <w:lang w:val="en-US" w:eastAsia="zh-CN"/>
        </w:rPr>
        <w:t>180</w:t>
      </w:r>
      <w:r>
        <w:rPr>
          <w:rFonts w:hint="default"/>
          <w:lang w:val="en-US" w:eastAsia="zh-CN"/>
        </w:rPr>
        <w:t>天/a），扬尘面积按裸露面积计算，评价参考西安冶金建筑学院推荐的干堆计算公式：</w:t>
      </w:r>
    </w:p>
    <w:p w14:paraId="230A08C9">
      <w:pPr>
        <w:pStyle w:val="41"/>
        <w:bidi w:val="0"/>
        <w:rPr>
          <w:rFonts w:hint="default"/>
          <w:lang w:val="en-US" w:eastAsia="zh-CN"/>
        </w:rPr>
      </w:pPr>
      <w:r>
        <w:rPr>
          <w:rFonts w:hint="default"/>
          <w:lang w:val="en-US" w:eastAsia="zh-CN"/>
        </w:rPr>
        <w:t>Q=4.23×10</w:t>
      </w:r>
      <w:r>
        <w:rPr>
          <w:rFonts w:hint="default"/>
          <w:vertAlign w:val="superscript"/>
          <w:lang w:val="en-US" w:eastAsia="zh-CN"/>
        </w:rPr>
        <w:t>-4</w:t>
      </w:r>
      <w:r>
        <w:rPr>
          <w:rFonts w:hint="default"/>
          <w:lang w:val="en-US" w:eastAsia="zh-CN"/>
        </w:rPr>
        <w:t>×V</w:t>
      </w:r>
      <w:r>
        <w:rPr>
          <w:rFonts w:hint="default"/>
          <w:vertAlign w:val="superscript"/>
          <w:lang w:val="en-US" w:eastAsia="zh-CN"/>
        </w:rPr>
        <w:t>4.9</w:t>
      </w:r>
      <w:r>
        <w:rPr>
          <w:rFonts w:hint="default"/>
          <w:lang w:val="en-US" w:eastAsia="zh-CN"/>
        </w:rPr>
        <w:t>×S</w:t>
      </w:r>
    </w:p>
    <w:p w14:paraId="1D438E9B">
      <w:pPr>
        <w:pStyle w:val="41"/>
        <w:bidi w:val="0"/>
        <w:rPr>
          <w:rFonts w:hint="default"/>
          <w:lang w:val="en-US" w:eastAsia="zh-CN"/>
        </w:rPr>
      </w:pPr>
      <w:r>
        <w:rPr>
          <w:rFonts w:hint="default"/>
          <w:lang w:val="en-US" w:eastAsia="zh-CN"/>
        </w:rPr>
        <w:t>式中：Q—堆场扬尘，mg/s；</w:t>
      </w:r>
    </w:p>
    <w:p w14:paraId="1BBCB590">
      <w:pPr>
        <w:pStyle w:val="41"/>
        <w:bidi w:val="0"/>
        <w:rPr>
          <w:rFonts w:hint="default"/>
          <w:lang w:val="en-US" w:eastAsia="zh-CN"/>
        </w:rPr>
      </w:pPr>
      <w:r>
        <w:rPr>
          <w:rFonts w:hint="default"/>
          <w:lang w:val="en-US" w:eastAsia="zh-CN"/>
        </w:rPr>
        <w:t>V—风速，m/s，</w:t>
      </w:r>
      <w:r>
        <w:rPr>
          <w:rFonts w:hint="eastAsia"/>
          <w:lang w:val="en-US" w:eastAsia="zh-CN"/>
        </w:rPr>
        <w:t>2.35</w:t>
      </w:r>
      <w:r>
        <w:rPr>
          <w:rFonts w:hint="default"/>
          <w:lang w:val="en-US" w:eastAsia="zh-CN"/>
        </w:rPr>
        <w:t>m/s；</w:t>
      </w:r>
    </w:p>
    <w:p w14:paraId="654D9FA6">
      <w:pPr>
        <w:pStyle w:val="41"/>
        <w:bidi w:val="0"/>
        <w:rPr>
          <w:rFonts w:hint="default"/>
          <w:lang w:val="en-US" w:eastAsia="zh-CN"/>
        </w:rPr>
      </w:pPr>
      <w:r>
        <w:rPr>
          <w:rFonts w:hint="default"/>
          <w:lang w:val="en-US" w:eastAsia="zh-CN"/>
        </w:rPr>
        <w:t>S—作业平台面积，m</w:t>
      </w:r>
      <w:r>
        <w:rPr>
          <w:rFonts w:hint="default"/>
          <w:vertAlign w:val="superscript"/>
          <w:lang w:val="en-US" w:eastAsia="zh-CN"/>
        </w:rPr>
        <w:t>2</w:t>
      </w:r>
      <w:r>
        <w:rPr>
          <w:rFonts w:hint="default"/>
          <w:lang w:val="en-US" w:eastAsia="zh-CN"/>
        </w:rPr>
        <w:t>。</w:t>
      </w:r>
    </w:p>
    <w:p w14:paraId="169ACA59">
      <w:pPr>
        <w:pStyle w:val="41"/>
        <w:bidi w:val="0"/>
        <w:rPr>
          <w:rFonts w:hint="default"/>
          <w:lang w:val="en-US" w:eastAsia="zh-CN"/>
        </w:rPr>
      </w:pPr>
      <w:r>
        <w:rPr>
          <w:rFonts w:hint="default"/>
          <w:lang w:val="en-US" w:eastAsia="zh-CN"/>
        </w:rPr>
        <w:t>设计表土堆场面积</w:t>
      </w:r>
      <w:r>
        <w:rPr>
          <w:rFonts w:hint="eastAsia"/>
          <w:lang w:val="en-US" w:eastAsia="zh-CN"/>
        </w:rPr>
        <w:t>8251</w:t>
      </w:r>
      <w:r>
        <w:rPr>
          <w:rFonts w:hint="default"/>
          <w:lang w:val="en-US" w:eastAsia="zh-CN"/>
        </w:rPr>
        <w:t>m</w:t>
      </w:r>
      <w:r>
        <w:rPr>
          <w:rFonts w:hint="default"/>
          <w:vertAlign w:val="superscript"/>
          <w:lang w:val="en-US" w:eastAsia="zh-CN"/>
        </w:rPr>
        <w:t>2</w:t>
      </w:r>
      <w:r>
        <w:rPr>
          <w:rFonts w:hint="default"/>
          <w:lang w:val="en-US" w:eastAsia="zh-CN"/>
        </w:rPr>
        <w:t>。根据上述公式，</w:t>
      </w:r>
      <w:r>
        <w:rPr>
          <w:rFonts w:hint="eastAsia"/>
          <w:lang w:val="en-US" w:eastAsia="zh-CN"/>
        </w:rPr>
        <w:t>Q=229.65mg/s，</w:t>
      </w:r>
      <w:r>
        <w:rPr>
          <w:rFonts w:hint="default"/>
          <w:lang w:val="en-US" w:eastAsia="zh-CN"/>
        </w:rPr>
        <w:t>项目表土堆场风蚀扬尘产生量为</w:t>
      </w:r>
      <w:r>
        <w:rPr>
          <w:rFonts w:hint="eastAsia"/>
          <w:lang w:val="en-US" w:eastAsia="zh-CN"/>
        </w:rPr>
        <w:t>0.83</w:t>
      </w:r>
      <w:r>
        <w:rPr>
          <w:rFonts w:hint="default"/>
          <w:lang w:val="en-US" w:eastAsia="zh-CN"/>
        </w:rPr>
        <w:t>kg/h，</w:t>
      </w:r>
      <w:r>
        <w:rPr>
          <w:rFonts w:hint="eastAsia"/>
          <w:lang w:val="en-US" w:eastAsia="zh-CN"/>
        </w:rPr>
        <w:t>3.57</w:t>
      </w:r>
      <w:r>
        <w:rPr>
          <w:rFonts w:hint="default"/>
          <w:lang w:val="en-US" w:eastAsia="zh-CN"/>
        </w:rPr>
        <w:t>t/a。</w:t>
      </w:r>
      <w:r>
        <w:rPr>
          <w:rFonts w:hint="eastAsia"/>
          <w:lang w:val="en-US" w:eastAsia="zh-CN"/>
        </w:rPr>
        <w:t>项目</w:t>
      </w:r>
      <w:r>
        <w:rPr>
          <w:rFonts w:hint="default"/>
          <w:lang w:val="en-US" w:eastAsia="zh-CN"/>
        </w:rPr>
        <w:t>在表土堆场设置雾炮机进行洒水降尘，参照</w:t>
      </w:r>
      <w:r>
        <w:rPr>
          <w:rFonts w:hint="eastAsia"/>
          <w:lang w:val="en-US" w:eastAsia="zh-CN"/>
        </w:rPr>
        <w:t>《</w:t>
      </w:r>
      <w:r>
        <w:rPr>
          <w:rFonts w:hint="default"/>
          <w:lang w:val="en-US" w:eastAsia="zh-CN"/>
        </w:rPr>
        <w:t>扬尘源颗粒物排放物清单编制技术指南（试行）》中表12</w:t>
      </w:r>
      <w:r>
        <w:rPr>
          <w:rFonts w:hint="eastAsia"/>
          <w:lang w:val="en-US" w:eastAsia="zh-CN"/>
        </w:rPr>
        <w:t>“</w:t>
      </w:r>
      <w:r>
        <w:rPr>
          <w:rFonts w:hint="default"/>
          <w:lang w:val="en-US" w:eastAsia="zh-CN"/>
        </w:rPr>
        <w:t>输送点位连续洒水降尘操作</w:t>
      </w:r>
      <w:r>
        <w:rPr>
          <w:rFonts w:hint="eastAsia"/>
          <w:lang w:val="en-US" w:eastAsia="zh-CN"/>
        </w:rPr>
        <w:t>”</w:t>
      </w:r>
      <w:r>
        <w:rPr>
          <w:rFonts w:hint="default"/>
          <w:lang w:val="en-US" w:eastAsia="zh-CN"/>
        </w:rPr>
        <w:t>降尘的效率可知，通过采取以上措施后可降低74%的粉尘排放量，则扬尘排放量为</w:t>
      </w:r>
      <w:r>
        <w:rPr>
          <w:rFonts w:hint="eastAsia"/>
          <w:lang w:val="en-US" w:eastAsia="zh-CN"/>
        </w:rPr>
        <w:t>0.93</w:t>
      </w:r>
      <w:r>
        <w:rPr>
          <w:rFonts w:hint="default"/>
          <w:lang w:val="en-US" w:eastAsia="zh-CN"/>
        </w:rPr>
        <w:t>t/a，0.</w:t>
      </w:r>
      <w:r>
        <w:rPr>
          <w:rFonts w:hint="eastAsia"/>
          <w:lang w:val="en-US" w:eastAsia="zh-CN"/>
        </w:rPr>
        <w:t>21</w:t>
      </w:r>
      <w:r>
        <w:rPr>
          <w:rFonts w:hint="default"/>
          <w:lang w:val="en-US" w:eastAsia="zh-CN"/>
        </w:rPr>
        <w:t>kg/h。</w:t>
      </w:r>
    </w:p>
    <w:p w14:paraId="21AB1EB2">
      <w:pPr>
        <w:pStyle w:val="41"/>
        <w:bidi w:val="0"/>
        <w:rPr>
          <w:rFonts w:hint="default"/>
          <w:b/>
          <w:bCs/>
          <w:lang w:val="en-US" w:eastAsia="zh-CN"/>
        </w:rPr>
      </w:pPr>
      <w:r>
        <w:rPr>
          <w:rFonts w:hint="default"/>
          <w:b/>
          <w:bCs/>
          <w:lang w:val="en-US" w:eastAsia="zh-CN"/>
        </w:rPr>
        <w:t>3）运输扬尘</w:t>
      </w:r>
    </w:p>
    <w:p w14:paraId="254B16EE">
      <w:pPr>
        <w:pStyle w:val="41"/>
        <w:bidi w:val="0"/>
        <w:rPr>
          <w:rFonts w:hint="default"/>
          <w:lang w:val="en-US" w:eastAsia="zh-CN"/>
        </w:rPr>
      </w:pPr>
      <w:r>
        <w:rPr>
          <w:rFonts w:hint="default"/>
          <w:lang w:val="en-US" w:eastAsia="zh-CN"/>
        </w:rPr>
        <w:t>车辆行驶产生扬尘按下式计算：</w:t>
      </w:r>
    </w:p>
    <w:p w14:paraId="7A7BE7C8">
      <w:pPr>
        <w:pStyle w:val="41"/>
        <w:bidi w:val="0"/>
        <w:rPr>
          <w:rFonts w:hint="default"/>
          <w:lang w:val="en-US" w:eastAsia="zh-CN"/>
        </w:rPr>
      </w:pPr>
      <w:r>
        <w:rPr>
          <w:rFonts w:hint="default" w:ascii="Times New Roman" w:hAnsi="Times New Roman" w:cs="Times New Roman"/>
          <w:color w:val="000000" w:themeColor="text1"/>
          <w:highlight w:val="none"/>
          <w:lang w:val="en-US" w:eastAsia="zh-CN"/>
          <w14:textFill>
            <w14:solidFill>
              <w14:schemeClr w14:val="tx1"/>
            </w14:solidFill>
          </w14:textFill>
        </w:rPr>
        <w:object>
          <v:shape id="_x0000_i1027" o:spt="75" type="#_x0000_t75" style="height:50.25pt;width:190.5pt;" o:ole="t" fillcolor="#BEB38F" filled="f" stroked="f" coordsize="21600,21600">
            <v:path/>
            <v:fill on="f" focussize="0,0"/>
            <v:stroke on="f"/>
            <v:imagedata r:id="rId26" o:title=""/>
            <o:lock v:ext="edit" grouping="f" rotation="f" text="f" aspectratio="t"/>
            <w10:wrap type="none"/>
            <w10:anchorlock/>
          </v:shape>
          <o:OLEObject Type="Embed" ProgID="Equation.3" ShapeID="_x0000_i1027" DrawAspect="Content" ObjectID="_1468075727" r:id="rId25">
            <o:LockedField>false</o:LockedField>
          </o:OLEObject>
        </w:object>
      </w:r>
    </w:p>
    <w:p w14:paraId="0DDB41CF">
      <w:pPr>
        <w:pStyle w:val="41"/>
        <w:bidi w:val="0"/>
        <w:rPr>
          <w:rFonts w:hint="default"/>
          <w:lang w:val="en-US" w:eastAsia="zh-CN"/>
        </w:rPr>
      </w:pPr>
      <w:r>
        <w:rPr>
          <w:rFonts w:hint="default"/>
          <w:lang w:val="en-US" w:eastAsia="zh-CN"/>
        </w:rPr>
        <w:t>式中：Q</w:t>
      </w:r>
      <w:r>
        <w:rPr>
          <w:rFonts w:hint="default"/>
          <w:vertAlign w:val="subscript"/>
          <w:lang w:val="en-US" w:eastAsia="zh-CN"/>
        </w:rPr>
        <w:t>P</w:t>
      </w:r>
      <w:r>
        <w:rPr>
          <w:rFonts w:hint="default"/>
          <w:lang w:val="en-US" w:eastAsia="zh-CN"/>
        </w:rPr>
        <w:t>——道路扬尘量（kg/km·辆）；</w:t>
      </w:r>
    </w:p>
    <w:p w14:paraId="535CD72A">
      <w:pPr>
        <w:pStyle w:val="41"/>
        <w:bidi w:val="0"/>
        <w:rPr>
          <w:rFonts w:hint="default"/>
          <w:lang w:val="en-US" w:eastAsia="zh-CN"/>
        </w:rPr>
      </w:pPr>
      <w:r>
        <w:rPr>
          <w:rFonts w:hint="default"/>
          <w:lang w:val="en-US" w:eastAsia="zh-CN"/>
        </w:rPr>
        <w:t>Q</w:t>
      </w:r>
      <w:r>
        <w:rPr>
          <w:rFonts w:hint="default"/>
          <w:vertAlign w:val="subscript"/>
          <w:lang w:val="en-US" w:eastAsia="zh-CN"/>
        </w:rPr>
        <w:t>P</w:t>
      </w:r>
      <w:r>
        <w:rPr>
          <w:rFonts w:hint="default"/>
          <w:vertAlign w:val="superscript"/>
          <w:lang w:val="en-US" w:eastAsia="zh-CN"/>
        </w:rPr>
        <w:t>1</w:t>
      </w:r>
      <w:r>
        <w:rPr>
          <w:rFonts w:hint="default"/>
          <w:lang w:val="en-US" w:eastAsia="zh-CN"/>
        </w:rPr>
        <w:t>——总扬尘量（kg/a）；</w:t>
      </w:r>
    </w:p>
    <w:p w14:paraId="2BF296AA">
      <w:pPr>
        <w:pStyle w:val="41"/>
        <w:bidi w:val="0"/>
        <w:rPr>
          <w:rFonts w:hint="default"/>
          <w:lang w:val="en-US" w:eastAsia="zh-CN"/>
        </w:rPr>
      </w:pPr>
      <w:r>
        <w:rPr>
          <w:rFonts w:hint="default"/>
          <w:lang w:val="en-US" w:eastAsia="zh-CN"/>
        </w:rPr>
        <w:t>V——车辆速度（km/h）；</w:t>
      </w:r>
    </w:p>
    <w:p w14:paraId="4EF5213A">
      <w:pPr>
        <w:pStyle w:val="41"/>
        <w:bidi w:val="0"/>
        <w:rPr>
          <w:rFonts w:hint="default"/>
          <w:lang w:val="en-US" w:eastAsia="zh-CN"/>
        </w:rPr>
      </w:pPr>
      <w:r>
        <w:rPr>
          <w:rFonts w:hint="default"/>
          <w:lang w:val="en-US" w:eastAsia="zh-CN"/>
        </w:rPr>
        <w:t>M——车辆载重（t/辆）；</w:t>
      </w:r>
    </w:p>
    <w:p w14:paraId="23ECF3C4">
      <w:pPr>
        <w:pStyle w:val="41"/>
        <w:bidi w:val="0"/>
        <w:rPr>
          <w:rFonts w:hint="default"/>
          <w:lang w:val="en-US" w:eastAsia="zh-CN"/>
        </w:rPr>
      </w:pPr>
      <w:r>
        <w:rPr>
          <w:rFonts w:hint="default"/>
          <w:lang w:val="en-US" w:eastAsia="zh-CN"/>
        </w:rPr>
        <w:t>P——道路灰尘覆盖量（kg/m</w:t>
      </w:r>
      <w:r>
        <w:rPr>
          <w:rFonts w:hint="default"/>
          <w:vertAlign w:val="superscript"/>
          <w:lang w:val="en-US" w:eastAsia="zh-CN"/>
        </w:rPr>
        <w:t>2</w:t>
      </w:r>
      <w:r>
        <w:rPr>
          <w:rFonts w:hint="default"/>
          <w:lang w:val="en-US" w:eastAsia="zh-CN"/>
        </w:rPr>
        <w:t>），0.05</w:t>
      </w:r>
      <w:r>
        <w:rPr>
          <w:rFonts w:hint="eastAsia"/>
          <w:lang w:val="en-US" w:eastAsia="zh-CN"/>
        </w:rPr>
        <w:t>～</w:t>
      </w:r>
      <w:r>
        <w:rPr>
          <w:rFonts w:hint="default"/>
          <w:lang w:val="en-US" w:eastAsia="zh-CN"/>
        </w:rPr>
        <w:t>0.1kg/m</w:t>
      </w:r>
      <w:r>
        <w:rPr>
          <w:rFonts w:hint="default"/>
          <w:vertAlign w:val="superscript"/>
          <w:lang w:val="en-US" w:eastAsia="zh-CN"/>
        </w:rPr>
        <w:t>2</w:t>
      </w:r>
      <w:r>
        <w:rPr>
          <w:rFonts w:hint="default"/>
          <w:lang w:val="en-US" w:eastAsia="zh-CN"/>
        </w:rPr>
        <w:t>，本次取0.</w:t>
      </w:r>
      <w:r>
        <w:rPr>
          <w:rFonts w:hint="eastAsia"/>
          <w:lang w:val="en-US" w:eastAsia="zh-CN"/>
        </w:rPr>
        <w:t>075</w:t>
      </w:r>
      <w:r>
        <w:rPr>
          <w:rFonts w:hint="default"/>
          <w:lang w:val="en-US" w:eastAsia="zh-CN"/>
        </w:rPr>
        <w:t>kg/m</w:t>
      </w:r>
      <w:r>
        <w:rPr>
          <w:rFonts w:hint="default"/>
          <w:vertAlign w:val="superscript"/>
          <w:lang w:val="en-US" w:eastAsia="zh-CN"/>
        </w:rPr>
        <w:t>2</w:t>
      </w:r>
      <w:r>
        <w:rPr>
          <w:rFonts w:hint="default"/>
          <w:lang w:val="en-US" w:eastAsia="zh-CN"/>
        </w:rPr>
        <w:t>；</w:t>
      </w:r>
    </w:p>
    <w:p w14:paraId="3F6BA09C">
      <w:pPr>
        <w:pStyle w:val="41"/>
        <w:bidi w:val="0"/>
        <w:rPr>
          <w:rFonts w:hint="default"/>
          <w:lang w:val="en-US" w:eastAsia="zh-CN"/>
        </w:rPr>
      </w:pPr>
      <w:r>
        <w:rPr>
          <w:rFonts w:hint="default"/>
          <w:lang w:val="en-US" w:eastAsia="zh-CN"/>
        </w:rPr>
        <w:t>L——运输距离（km）；</w:t>
      </w:r>
    </w:p>
    <w:p w14:paraId="35153F04">
      <w:pPr>
        <w:pStyle w:val="41"/>
        <w:bidi w:val="0"/>
        <w:rPr>
          <w:rFonts w:hint="default"/>
          <w:lang w:val="en-US" w:eastAsia="zh-CN"/>
        </w:rPr>
      </w:pPr>
      <w:r>
        <w:rPr>
          <w:rFonts w:hint="default"/>
          <w:lang w:val="en-US" w:eastAsia="zh-CN"/>
        </w:rPr>
        <w:t>Q——运输量（t/a）。</w:t>
      </w:r>
    </w:p>
    <w:p w14:paraId="4F5B4AAF">
      <w:pPr>
        <w:pStyle w:val="41"/>
        <w:bidi w:val="0"/>
        <w:rPr>
          <w:rFonts w:hint="default"/>
          <w:lang w:val="en-US" w:eastAsia="zh-CN"/>
        </w:rPr>
      </w:pPr>
      <w:r>
        <w:rPr>
          <w:rFonts w:hint="default"/>
          <w:lang w:val="en-US" w:eastAsia="zh-CN"/>
        </w:rPr>
        <w:t>项目年运输量约为</w:t>
      </w:r>
      <w:r>
        <w:rPr>
          <w:rFonts w:hint="eastAsia"/>
          <w:lang w:val="en-US" w:eastAsia="zh-CN"/>
        </w:rPr>
        <w:t>5</w:t>
      </w:r>
      <w:r>
        <w:rPr>
          <w:rFonts w:hint="default"/>
          <w:lang w:val="en-US" w:eastAsia="zh-CN"/>
        </w:rPr>
        <w:t>0万t/a，采用</w:t>
      </w:r>
      <w:r>
        <w:rPr>
          <w:rFonts w:hint="eastAsia"/>
          <w:lang w:val="en-US" w:eastAsia="zh-CN"/>
        </w:rPr>
        <w:t>25</w:t>
      </w:r>
      <w:r>
        <w:rPr>
          <w:rFonts w:hint="default"/>
          <w:lang w:val="en-US" w:eastAsia="zh-CN"/>
        </w:rPr>
        <w:t>t的自卸汽车运输，运输车辆时速约10km/h，矿区内运输里程约2km。因此道路扬尘量为0.</w:t>
      </w:r>
      <w:r>
        <w:rPr>
          <w:rFonts w:hint="eastAsia"/>
          <w:lang w:val="en-US" w:eastAsia="zh-CN"/>
        </w:rPr>
        <w:t>11</w:t>
      </w:r>
      <w:r>
        <w:rPr>
          <w:rFonts w:hint="default"/>
          <w:lang w:val="en-US" w:eastAsia="zh-CN"/>
        </w:rPr>
        <w:t>kg/km·辆，道路起尘总量为</w:t>
      </w:r>
      <w:r>
        <w:rPr>
          <w:rFonts w:hint="eastAsia"/>
          <w:lang w:val="en-US" w:eastAsia="zh-CN"/>
        </w:rPr>
        <w:t>4.4</w:t>
      </w:r>
      <w:r>
        <w:rPr>
          <w:rFonts w:hint="default"/>
          <w:lang w:val="en-US" w:eastAsia="zh-CN"/>
        </w:rPr>
        <w:t>t/a。为减少运输扬尘对环境影响，评价要求对运输道路采用洒水车进行洒水降尘，并采取运输物料使用篷布覆盖，减少物料散落等措施，参照</w:t>
      </w:r>
      <w:r>
        <w:rPr>
          <w:rFonts w:hint="eastAsia"/>
          <w:lang w:val="en-US" w:eastAsia="zh-CN"/>
        </w:rPr>
        <w:t>《</w:t>
      </w:r>
      <w:r>
        <w:rPr>
          <w:rFonts w:hint="default"/>
          <w:lang w:val="en-US" w:eastAsia="zh-CN"/>
        </w:rPr>
        <w:t>扬尘源颗粒物排放清单编制技术指南》（试行），采取</w:t>
      </w:r>
      <w:r>
        <w:rPr>
          <w:rFonts w:hint="eastAsia"/>
          <w:lang w:val="en-US" w:eastAsia="zh-CN"/>
        </w:rPr>
        <w:t>“</w:t>
      </w:r>
      <w:r>
        <w:rPr>
          <w:rFonts w:hint="default"/>
          <w:lang w:val="en-US" w:eastAsia="zh-CN"/>
        </w:rPr>
        <w:t>洒水2次/d</w:t>
      </w:r>
      <w:r>
        <w:rPr>
          <w:rFonts w:hint="eastAsia"/>
          <w:lang w:val="en-US" w:eastAsia="zh-CN"/>
        </w:rPr>
        <w:t>”</w:t>
      </w:r>
      <w:r>
        <w:rPr>
          <w:rFonts w:hint="default"/>
          <w:lang w:val="en-US" w:eastAsia="zh-CN"/>
        </w:rPr>
        <w:t>措施后的扬尘去除率为66%，则道路扬尘排放量为</w:t>
      </w:r>
      <w:r>
        <w:rPr>
          <w:rFonts w:hint="eastAsia"/>
          <w:lang w:val="en-US" w:eastAsia="zh-CN"/>
        </w:rPr>
        <w:t>1.5</w:t>
      </w:r>
      <w:r>
        <w:rPr>
          <w:rFonts w:hint="default"/>
          <w:lang w:val="en-US" w:eastAsia="zh-CN"/>
        </w:rPr>
        <w:t>t/a，</w:t>
      </w:r>
      <w:r>
        <w:rPr>
          <w:rFonts w:hint="eastAsia"/>
          <w:lang w:val="en-US" w:eastAsia="zh-CN"/>
        </w:rPr>
        <w:t>0.62</w:t>
      </w:r>
      <w:r>
        <w:rPr>
          <w:rFonts w:hint="default"/>
          <w:lang w:val="en-US" w:eastAsia="zh-CN"/>
        </w:rPr>
        <w:t>kg/h。</w:t>
      </w:r>
    </w:p>
    <w:p w14:paraId="0C01FC93">
      <w:pPr>
        <w:pStyle w:val="41"/>
        <w:bidi w:val="0"/>
        <w:rPr>
          <w:rFonts w:hint="default"/>
          <w:b/>
          <w:bCs/>
          <w:lang w:val="en-US" w:eastAsia="zh-CN"/>
        </w:rPr>
      </w:pPr>
      <w:r>
        <w:rPr>
          <w:rFonts w:hint="default"/>
          <w:b/>
          <w:bCs/>
          <w:lang w:val="en-US" w:eastAsia="zh-CN"/>
        </w:rPr>
        <w:t>4）工业场地加工、装卸粉尘</w:t>
      </w:r>
    </w:p>
    <w:p w14:paraId="6F16AB33">
      <w:pPr>
        <w:pStyle w:val="41"/>
        <w:bidi w:val="0"/>
        <w:rPr>
          <w:rFonts w:hint="default"/>
          <w:b/>
          <w:bCs/>
          <w:lang w:val="en-US" w:eastAsia="zh-CN"/>
        </w:rPr>
      </w:pPr>
      <w:r>
        <w:rPr>
          <w:rFonts w:hint="default"/>
          <w:b/>
          <w:bCs/>
          <w:lang w:val="en-US" w:eastAsia="zh-CN"/>
        </w:rPr>
        <w:t>①产品储存、</w:t>
      </w:r>
      <w:r>
        <w:rPr>
          <w:rFonts w:hint="eastAsia"/>
          <w:b/>
          <w:bCs/>
          <w:lang w:val="en-US" w:eastAsia="zh-CN"/>
        </w:rPr>
        <w:t>运输、</w:t>
      </w:r>
      <w:r>
        <w:rPr>
          <w:rFonts w:hint="default"/>
          <w:b/>
          <w:bCs/>
          <w:lang w:val="en-US" w:eastAsia="zh-CN"/>
        </w:rPr>
        <w:t>装卸粉尘</w:t>
      </w:r>
    </w:p>
    <w:p w14:paraId="7FDA711C">
      <w:pPr>
        <w:pStyle w:val="41"/>
        <w:bidi w:val="0"/>
        <w:rPr>
          <w:rFonts w:hint="default"/>
          <w:lang w:val="en-US" w:eastAsia="zh-CN"/>
        </w:rPr>
      </w:pPr>
      <w:r>
        <w:rPr>
          <w:rFonts w:hint="default"/>
          <w:lang w:val="en-US" w:eastAsia="zh-CN"/>
        </w:rPr>
        <w:t>参考</w:t>
      </w:r>
      <w:r>
        <w:rPr>
          <w:rFonts w:hint="eastAsia"/>
          <w:lang w:val="en-US" w:eastAsia="zh-CN"/>
        </w:rPr>
        <w:t>《</w:t>
      </w:r>
      <w:r>
        <w:rPr>
          <w:rFonts w:hint="default"/>
          <w:lang w:val="en-US" w:eastAsia="zh-CN"/>
        </w:rPr>
        <w:t>逸散性工业粉尘控制技术》（中国环境科学出版社），原料储存、运输、卸料等工序中粉尘的产生系数为0.01kg/t产品。本次项目产品量为</w:t>
      </w:r>
      <w:r>
        <w:rPr>
          <w:rFonts w:hint="eastAsia"/>
          <w:lang w:val="en-US" w:eastAsia="zh-CN"/>
        </w:rPr>
        <w:t>5</w:t>
      </w:r>
      <w:r>
        <w:rPr>
          <w:rFonts w:hint="default"/>
          <w:lang w:val="en-US" w:eastAsia="zh-CN"/>
        </w:rPr>
        <w:t>0万t/a，则粉尘产生量约为</w:t>
      </w:r>
      <w:r>
        <w:rPr>
          <w:rFonts w:hint="eastAsia"/>
          <w:lang w:val="en-US" w:eastAsia="zh-CN"/>
        </w:rPr>
        <w:t>5</w:t>
      </w:r>
      <w:r>
        <w:rPr>
          <w:rFonts w:hint="default"/>
          <w:lang w:val="en-US" w:eastAsia="zh-CN"/>
        </w:rPr>
        <w:t>t/a，产生速率为</w:t>
      </w:r>
      <w:r>
        <w:rPr>
          <w:rFonts w:hint="eastAsia"/>
          <w:lang w:val="en-US" w:eastAsia="zh-CN"/>
        </w:rPr>
        <w:t>2.08</w:t>
      </w:r>
      <w:r>
        <w:rPr>
          <w:rFonts w:hint="default"/>
          <w:lang w:val="en-US" w:eastAsia="zh-CN"/>
        </w:rPr>
        <w:t>kg/h。项目加工以及产品堆场区域整体采用彩钢厂房密闭，</w:t>
      </w:r>
      <w:r>
        <w:rPr>
          <w:rFonts w:hint="default"/>
        </w:rPr>
        <w:t>且设有喷淋设施</w:t>
      </w:r>
      <w:r>
        <w:rPr>
          <w:rFonts w:hint="default"/>
          <w:lang w:eastAsia="zh-CN"/>
        </w:rPr>
        <w:t>，</w:t>
      </w:r>
      <w:r>
        <w:rPr>
          <w:rFonts w:hint="default"/>
        </w:rPr>
        <w:t>大部分粉尘</w:t>
      </w:r>
      <w:r>
        <w:rPr>
          <w:rFonts w:hint="default"/>
          <w:lang w:val="en-US" w:eastAsia="zh-CN"/>
        </w:rPr>
        <w:t>均</w:t>
      </w:r>
      <w:r>
        <w:rPr>
          <w:rFonts w:hint="default"/>
        </w:rPr>
        <w:t>可沉降在厂房内</w:t>
      </w:r>
      <w:r>
        <w:rPr>
          <w:rFonts w:hint="default"/>
          <w:lang w:eastAsia="zh-CN"/>
        </w:rPr>
        <w:t>，</w:t>
      </w:r>
      <w:r>
        <w:rPr>
          <w:rFonts w:hint="default"/>
          <w:lang w:val="en-US" w:eastAsia="zh-CN"/>
        </w:rPr>
        <w:t>仅车辆出入口少量逸散至外环境，逸散系数取5%，则产品储存、装卸</w:t>
      </w:r>
      <w:r>
        <w:rPr>
          <w:rFonts w:hint="eastAsia"/>
          <w:lang w:val="en-US" w:eastAsia="zh-CN"/>
        </w:rPr>
        <w:t>、皮带运输</w:t>
      </w:r>
      <w:r>
        <w:rPr>
          <w:rFonts w:hint="default"/>
          <w:lang w:val="en-US" w:eastAsia="zh-CN"/>
        </w:rPr>
        <w:t>过程粉尘无组织排放量为0.</w:t>
      </w:r>
      <w:r>
        <w:rPr>
          <w:rFonts w:hint="eastAsia"/>
          <w:lang w:val="en-US" w:eastAsia="zh-CN"/>
        </w:rPr>
        <w:t>2</w:t>
      </w:r>
      <w:r>
        <w:rPr>
          <w:rFonts w:hint="default"/>
          <w:lang w:val="en-US" w:eastAsia="zh-CN"/>
        </w:rPr>
        <w:t>5/a，排放速率为0.1kg/h。</w:t>
      </w:r>
    </w:p>
    <w:p w14:paraId="16507011">
      <w:pPr>
        <w:pStyle w:val="41"/>
        <w:bidi w:val="0"/>
        <w:rPr>
          <w:rFonts w:hint="default"/>
          <w:b/>
          <w:bCs/>
          <w:lang w:val="en-US" w:eastAsia="zh-CN"/>
        </w:rPr>
      </w:pPr>
      <w:r>
        <w:rPr>
          <w:rFonts w:hint="default"/>
          <w:b/>
          <w:bCs/>
          <w:lang w:val="en-US" w:eastAsia="zh-CN"/>
        </w:rPr>
        <w:t>②</w:t>
      </w:r>
      <w:r>
        <w:rPr>
          <w:rFonts w:hint="eastAsia"/>
          <w:b/>
          <w:bCs/>
          <w:lang w:val="en-US" w:eastAsia="zh-CN"/>
        </w:rPr>
        <w:t>加工区</w:t>
      </w:r>
      <w:r>
        <w:rPr>
          <w:rFonts w:hint="default"/>
          <w:b/>
          <w:bCs/>
          <w:lang w:val="en-US" w:eastAsia="zh-CN"/>
        </w:rPr>
        <w:t>加工粉尘</w:t>
      </w:r>
    </w:p>
    <w:p w14:paraId="0EA10DF0">
      <w:pPr>
        <w:pStyle w:val="41"/>
        <w:bidi w:val="0"/>
        <w:rPr>
          <w:rFonts w:hint="default"/>
          <w:lang w:val="en-US" w:eastAsia="zh-CN"/>
        </w:rPr>
      </w:pPr>
      <w:r>
        <w:rPr>
          <w:rFonts w:hint="default"/>
          <w:lang w:val="en-US" w:eastAsia="zh-CN"/>
        </w:rPr>
        <w:t>项目破碎过程产生的粉尘参考</w:t>
      </w:r>
      <w:r>
        <w:t>《关于发布</w:t>
      </w:r>
      <w:r>
        <w:rPr>
          <w:rFonts w:hint="eastAsia"/>
          <w:lang w:eastAsia="zh-CN"/>
        </w:rPr>
        <w:t>〈</w:t>
      </w:r>
      <w:r>
        <w:t>排放源统计调查产排污核算方法和系数手册</w:t>
      </w:r>
      <w:r>
        <w:rPr>
          <w:rFonts w:hint="eastAsia"/>
          <w:lang w:eastAsia="zh-CN"/>
        </w:rPr>
        <w:t>〉</w:t>
      </w:r>
      <w:r>
        <w:t>的公告》（公告2021第24号）1011石灰石、石膏开采行业系数表</w:t>
      </w:r>
      <w:r>
        <w:rPr>
          <w:rFonts w:hint="default"/>
          <w:lang w:val="en-US" w:eastAsia="zh-CN"/>
        </w:rPr>
        <w:t>，破碎工段产污系数为颗粒物：0.0307kg/t-产品，56.9m³/t-产品，筛分工段产污系数为0.4kg/t-产品，60.0m³/t-产品，制砂粉尘产污系数参照</w:t>
      </w:r>
      <w:r>
        <w:rPr>
          <w:rFonts w:hint="eastAsia"/>
          <w:lang w:val="en-US" w:eastAsia="zh-CN"/>
        </w:rPr>
        <w:t>《</w:t>
      </w:r>
      <w:r>
        <w:rPr>
          <w:rFonts w:hint="default"/>
          <w:lang w:val="en-US" w:eastAsia="zh-CN"/>
        </w:rPr>
        <w:t>逸散性工业粉尘控制技术》（中国环境科学出版社，1989.12）中表18-1粒料加工区逸散尘排放系数进行取值计算，制砂产污系数取0.15kg/t-产品。</w:t>
      </w:r>
    </w:p>
    <w:p w14:paraId="5813AB6B">
      <w:pPr>
        <w:pStyle w:val="41"/>
        <w:bidi w:val="0"/>
        <w:rPr>
          <w:rFonts w:hint="default"/>
          <w:lang w:val="en-US" w:eastAsia="zh-CN"/>
        </w:rPr>
      </w:pPr>
      <w:r>
        <w:rPr>
          <w:rFonts w:hint="default"/>
          <w:lang w:val="en-US" w:eastAsia="zh-CN"/>
        </w:rPr>
        <w:t>项目各类骨料年总产量约为</w:t>
      </w:r>
      <w:r>
        <w:rPr>
          <w:rFonts w:hint="eastAsia"/>
          <w:lang w:val="en-US" w:eastAsia="zh-CN"/>
        </w:rPr>
        <w:t>5</w:t>
      </w:r>
      <w:r>
        <w:rPr>
          <w:rFonts w:hint="default"/>
          <w:lang w:val="en-US" w:eastAsia="zh-CN"/>
        </w:rPr>
        <w:t>0万t/a，</w:t>
      </w:r>
      <w:r>
        <w:rPr>
          <w:rFonts w:hint="eastAsia"/>
          <w:lang w:val="en-US" w:eastAsia="zh-CN"/>
        </w:rPr>
        <w:t>砂子</w:t>
      </w:r>
      <w:r>
        <w:rPr>
          <w:rFonts w:hint="default"/>
          <w:lang w:val="en-US" w:eastAsia="zh-CN"/>
        </w:rPr>
        <w:t>年产量约为12t/a。项目</w:t>
      </w:r>
      <w:r>
        <w:rPr>
          <w:rFonts w:hint="eastAsia"/>
          <w:lang w:val="en-US" w:eastAsia="zh-CN"/>
        </w:rPr>
        <w:t>加工区</w:t>
      </w:r>
      <w:r>
        <w:rPr>
          <w:rFonts w:hint="default"/>
          <w:lang w:val="en-US" w:eastAsia="zh-CN"/>
        </w:rPr>
        <w:t>采用彩钢厂房结构进行围挡半封闭，破碎机、筛分机、</w:t>
      </w:r>
      <w:r>
        <w:rPr>
          <w:rFonts w:hint="eastAsia"/>
          <w:lang w:val="en-US" w:eastAsia="zh-CN"/>
        </w:rPr>
        <w:t>制砂机</w:t>
      </w:r>
      <w:r>
        <w:rPr>
          <w:rFonts w:hint="default"/>
          <w:lang w:val="en-US" w:eastAsia="zh-CN"/>
        </w:rPr>
        <w:t>上方均设置半密闭式集气罩对粉尘进行收集，采用多管道并联的方式将各破碎机、筛分机和</w:t>
      </w:r>
      <w:r>
        <w:rPr>
          <w:rFonts w:hint="eastAsia"/>
          <w:lang w:val="en-US" w:eastAsia="zh-CN"/>
        </w:rPr>
        <w:t>制砂机</w:t>
      </w:r>
      <w:r>
        <w:rPr>
          <w:rFonts w:hint="default"/>
          <w:lang w:val="en-US" w:eastAsia="zh-CN"/>
        </w:rPr>
        <w:t>产生的粉尘经集气管道引入1台布袋除尘器处理达标后经过一根15m高排气筒排放，未进入除尘系统的粉尘经过厂房顶部喷淋系统降尘，各工段粉尘收集效率约</w:t>
      </w:r>
      <w:r>
        <w:rPr>
          <w:rFonts w:hint="eastAsia"/>
          <w:lang w:val="en-US" w:eastAsia="zh-CN"/>
        </w:rPr>
        <w:t>80</w:t>
      </w:r>
      <w:r>
        <w:rPr>
          <w:rFonts w:hint="default"/>
          <w:lang w:val="en-US" w:eastAsia="zh-CN"/>
        </w:rPr>
        <w:t>%，布袋除尘净化效率参照</w:t>
      </w:r>
      <w:r>
        <w:t>《关于发布</w:t>
      </w:r>
      <w:r>
        <w:rPr>
          <w:rFonts w:hint="eastAsia"/>
          <w:lang w:eastAsia="zh-CN"/>
        </w:rPr>
        <w:t>〈</w:t>
      </w:r>
      <w:r>
        <w:t>排放源统计调查产排污核算方法和系数手册</w:t>
      </w:r>
      <w:r>
        <w:rPr>
          <w:rFonts w:hint="eastAsia"/>
          <w:lang w:eastAsia="zh-CN"/>
        </w:rPr>
        <w:t>〉</w:t>
      </w:r>
      <w:r>
        <w:t>的公告》（公告2021第24号）1011石灰石、石膏开采行业系数表</w:t>
      </w:r>
      <w:r>
        <w:rPr>
          <w:rFonts w:hint="default"/>
          <w:lang w:val="en-US" w:eastAsia="zh-CN"/>
        </w:rPr>
        <w:t>取99.7%。加工厂房密闭，</w:t>
      </w:r>
      <w:r>
        <w:rPr>
          <w:rFonts w:hint="default"/>
        </w:rPr>
        <w:t>且设有喷淋设施</w:t>
      </w:r>
      <w:r>
        <w:rPr>
          <w:rFonts w:hint="default"/>
          <w:lang w:eastAsia="zh-CN"/>
        </w:rPr>
        <w:t>，</w:t>
      </w:r>
      <w:r>
        <w:rPr>
          <w:rFonts w:hint="default"/>
        </w:rPr>
        <w:t>大部分粉尘</w:t>
      </w:r>
      <w:r>
        <w:rPr>
          <w:rFonts w:hint="default"/>
          <w:lang w:val="en-US" w:eastAsia="zh-CN"/>
        </w:rPr>
        <w:t>均</w:t>
      </w:r>
      <w:r>
        <w:rPr>
          <w:rFonts w:hint="default"/>
        </w:rPr>
        <w:t>可沉降在厂房内</w:t>
      </w:r>
      <w:r>
        <w:rPr>
          <w:rFonts w:hint="default"/>
          <w:lang w:eastAsia="zh-CN"/>
        </w:rPr>
        <w:t>，</w:t>
      </w:r>
      <w:r>
        <w:rPr>
          <w:rFonts w:hint="default"/>
          <w:lang w:val="en-US" w:eastAsia="zh-CN"/>
        </w:rPr>
        <w:t>仅车辆出入口少量逸散至外环境，逸散系数取5%。</w:t>
      </w:r>
    </w:p>
    <w:p w14:paraId="762A4A03">
      <w:pPr>
        <w:pStyle w:val="41"/>
        <w:bidi w:val="0"/>
        <w:rPr>
          <w:rFonts w:hint="default"/>
        </w:rPr>
      </w:pPr>
      <w:r>
        <w:rPr>
          <w:rFonts w:hint="default"/>
        </w:rPr>
        <w:t>则项目破碎、筛分</w:t>
      </w:r>
      <w:r>
        <w:rPr>
          <w:rFonts w:hint="default"/>
          <w:lang w:eastAsia="zh-CN"/>
        </w:rPr>
        <w:t>、</w:t>
      </w:r>
      <w:r>
        <w:rPr>
          <w:rFonts w:hint="default"/>
          <w:lang w:val="en-US" w:eastAsia="zh-CN"/>
        </w:rPr>
        <w:t>制砂</w:t>
      </w:r>
      <w:r>
        <w:rPr>
          <w:rFonts w:hint="default"/>
        </w:rPr>
        <w:t>过程产生的</w:t>
      </w:r>
      <w:r>
        <w:rPr>
          <w:rFonts w:hint="default"/>
          <w:lang w:val="en-US" w:eastAsia="zh-CN"/>
        </w:rPr>
        <w:t>污染物</w:t>
      </w:r>
      <w:r>
        <w:rPr>
          <w:rFonts w:hint="default"/>
        </w:rPr>
        <w:t>见表</w:t>
      </w:r>
      <w:r>
        <w:rPr>
          <w:rFonts w:hint="eastAsia"/>
          <w:lang w:val="en-US" w:eastAsia="zh-CN"/>
        </w:rPr>
        <w:t>4.5</w:t>
      </w:r>
      <w:r>
        <w:rPr>
          <w:rFonts w:hint="default"/>
          <w:lang w:val="en-US" w:eastAsia="zh-CN"/>
        </w:rPr>
        <w:t>-2</w:t>
      </w:r>
      <w:r>
        <w:rPr>
          <w:rFonts w:hint="default"/>
          <w:lang w:eastAsia="zh-CN"/>
        </w:rPr>
        <w:t>，</w:t>
      </w:r>
      <w:r>
        <w:rPr>
          <w:rFonts w:hint="default"/>
        </w:rPr>
        <w:t>排放情况见表</w:t>
      </w:r>
      <w:r>
        <w:rPr>
          <w:rFonts w:hint="eastAsia"/>
          <w:lang w:val="en-US" w:eastAsia="zh-CN"/>
        </w:rPr>
        <w:t>4.5</w:t>
      </w:r>
      <w:r>
        <w:rPr>
          <w:rFonts w:hint="default"/>
          <w:lang w:val="en-US" w:eastAsia="zh-CN"/>
        </w:rPr>
        <w:t>-3</w:t>
      </w:r>
      <w:r>
        <w:rPr>
          <w:rFonts w:hint="default"/>
        </w:rPr>
        <w:t>。</w:t>
      </w:r>
    </w:p>
    <w:p w14:paraId="4A67EB56">
      <w:pPr>
        <w:keepNext/>
        <w:pageBreakBefore w:val="0"/>
        <w:kinsoku/>
        <w:overflowPunct/>
        <w:topLinePunct w:val="0"/>
        <w:bidi w:val="0"/>
        <w:ind w:left="0" w:leftChars="0" w:firstLine="0" w:firstLineChars="0"/>
        <w:jc w:val="center"/>
        <w:textAlignment w:val="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4.5</w:t>
      </w:r>
      <w:r>
        <w:rPr>
          <w:rFonts w:hint="default" w:ascii="Times New Roman" w:hAnsi="Times New Roman" w:cs="Times New Roman"/>
          <w:b/>
          <w:bCs/>
          <w:color w:val="000000" w:themeColor="text1"/>
          <w:highlight w:val="none"/>
          <w:lang w:val="en-US" w:eastAsia="zh-CN"/>
          <w14:textFill>
            <w14:solidFill>
              <w14:schemeClr w14:val="tx1"/>
            </w14:solidFill>
          </w14:textFill>
        </w:rPr>
        <w:t>-</w:t>
      </w:r>
      <w:r>
        <w:rPr>
          <w:rFonts w:hint="eastAsia" w:cs="Times New Roman"/>
          <w:b/>
          <w:bCs/>
          <w:color w:val="000000" w:themeColor="text1"/>
          <w:highlight w:val="none"/>
          <w:lang w:val="en-US" w:eastAsia="zh-CN"/>
          <w14:textFill>
            <w14:solidFill>
              <w14:schemeClr w14:val="tx1"/>
            </w14:solidFill>
          </w14:textFill>
        </w:rPr>
        <w:t>2</w:t>
      </w:r>
      <w:r>
        <w:rPr>
          <w:rFonts w:hint="default" w:ascii="Times New Roman" w:hAnsi="Times New Roman" w:cs="Times New Roman"/>
          <w:b/>
          <w:bCs/>
          <w:color w:val="000000" w:themeColor="text1"/>
          <w:highlight w:val="none"/>
          <w14:textFill>
            <w14:solidFill>
              <w14:schemeClr w14:val="tx1"/>
            </w14:solidFill>
          </w14:textFill>
        </w:rPr>
        <w:t xml:space="preserve">  破碎、筛分、</w:t>
      </w:r>
      <w:r>
        <w:rPr>
          <w:rFonts w:hint="default" w:ascii="Times New Roman" w:hAnsi="Times New Roman" w:cs="Times New Roman"/>
          <w:b/>
          <w:bCs/>
          <w:color w:val="000000" w:themeColor="text1"/>
          <w:highlight w:val="none"/>
          <w:lang w:eastAsia="zh-CN"/>
          <w14:textFill>
            <w14:solidFill>
              <w14:schemeClr w14:val="tx1"/>
            </w14:solidFill>
          </w14:textFill>
        </w:rPr>
        <w:t>制砂</w:t>
      </w:r>
      <w:r>
        <w:rPr>
          <w:rFonts w:hint="default" w:ascii="Times New Roman" w:hAnsi="Times New Roman" w:cs="Times New Roman"/>
          <w:b/>
          <w:bCs/>
          <w:color w:val="000000" w:themeColor="text1"/>
          <w:highlight w:val="none"/>
          <w14:textFill>
            <w14:solidFill>
              <w14:schemeClr w14:val="tx1"/>
            </w14:solidFill>
          </w14:textFill>
        </w:rPr>
        <w:t>粉尘产生量一览表</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2018"/>
        <w:gridCol w:w="1803"/>
        <w:gridCol w:w="2680"/>
      </w:tblGrid>
      <w:tr w14:paraId="571C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noWrap w:val="0"/>
            <w:vAlign w:val="center"/>
          </w:tcPr>
          <w:p w14:paraId="1B74543A">
            <w:pPr>
              <w:keepNext w:val="0"/>
              <w:keepLines w:val="0"/>
              <w:widowControl/>
              <w:suppressLineNumbers w:val="0"/>
              <w:jc w:val="center"/>
              <w:textAlignment w:val="center"/>
              <w:rPr>
                <w:rFonts w:hint="default" w:ascii="Times New Roman" w:hAnsi="Times New Roman" w:cs="Times New Roman"/>
                <w:b/>
                <w:bCs/>
                <w:color w:val="000000" w:themeColor="text1"/>
                <w:highlight w:val="none"/>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尘源</w:t>
            </w:r>
          </w:p>
        </w:tc>
        <w:tc>
          <w:tcPr>
            <w:tcW w:w="1184" w:type="pct"/>
            <w:noWrap w:val="0"/>
            <w:vAlign w:val="center"/>
          </w:tcPr>
          <w:p w14:paraId="7C44360D">
            <w:pPr>
              <w:keepNext w:val="0"/>
              <w:keepLines w:val="0"/>
              <w:widowControl/>
              <w:suppressLineNumbers w:val="0"/>
              <w:jc w:val="center"/>
              <w:textAlignment w:val="center"/>
              <w:rPr>
                <w:rFonts w:hint="default" w:ascii="Times New Roman" w:hAnsi="Times New Roman" w:cs="Times New Roman"/>
                <w:b/>
                <w:bCs/>
                <w:color w:val="000000" w:themeColor="text1"/>
                <w:highlight w:val="none"/>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产污系数</w:t>
            </w:r>
          </w:p>
        </w:tc>
        <w:tc>
          <w:tcPr>
            <w:tcW w:w="1058" w:type="pct"/>
            <w:noWrap w:val="0"/>
            <w:vAlign w:val="center"/>
          </w:tcPr>
          <w:p w14:paraId="72DAF9AA">
            <w:pPr>
              <w:keepNext w:val="0"/>
              <w:keepLines w:val="0"/>
              <w:widowControl/>
              <w:suppressLineNumbers w:val="0"/>
              <w:jc w:val="center"/>
              <w:textAlignment w:val="center"/>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产品产量</w:t>
            </w:r>
          </w:p>
        </w:tc>
        <w:tc>
          <w:tcPr>
            <w:tcW w:w="1572" w:type="pct"/>
            <w:noWrap w:val="0"/>
            <w:vAlign w:val="center"/>
          </w:tcPr>
          <w:p w14:paraId="6A42F7E9">
            <w:pPr>
              <w:keepNext w:val="0"/>
              <w:keepLines w:val="0"/>
              <w:widowControl/>
              <w:suppressLineNumbers w:val="0"/>
              <w:jc w:val="center"/>
              <w:textAlignment w:val="center"/>
              <w:rPr>
                <w:rFonts w:hint="default" w:ascii="Times New Roman" w:hAnsi="Times New Roman" w:cs="Times New Roman"/>
                <w:b/>
                <w:bCs/>
                <w:color w:val="000000" w:themeColor="text1"/>
                <w:highlight w:val="none"/>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颗粒物产生量（</w:t>
            </w:r>
            <w:r>
              <w:rPr>
                <w:rFonts w:hint="default" w:ascii="Times New Roman" w:hAnsi="Times New Roman" w:eastAsia="宋体" w:cs="Times New Roman"/>
                <w:b/>
                <w:bCs/>
                <w:i w:val="0"/>
                <w:iCs w:val="0"/>
                <w:color w:val="000000"/>
                <w:kern w:val="0"/>
                <w:sz w:val="21"/>
                <w:szCs w:val="21"/>
                <w:u w:val="none"/>
                <w:lang w:val="en-US" w:eastAsia="zh-CN" w:bidi="ar"/>
              </w:rPr>
              <w:t>t/a</w:t>
            </w:r>
            <w:r>
              <w:rPr>
                <w:rFonts w:hint="eastAsia" w:ascii="宋体" w:hAnsi="宋体" w:eastAsia="宋体" w:cs="宋体"/>
                <w:b/>
                <w:bCs/>
                <w:i w:val="0"/>
                <w:iCs w:val="0"/>
                <w:color w:val="000000"/>
                <w:kern w:val="0"/>
                <w:sz w:val="21"/>
                <w:szCs w:val="21"/>
                <w:u w:val="none"/>
                <w:lang w:val="en-US" w:eastAsia="zh-CN" w:bidi="ar"/>
              </w:rPr>
              <w:t>）</w:t>
            </w:r>
          </w:p>
        </w:tc>
      </w:tr>
      <w:tr w14:paraId="245E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noWrap w:val="0"/>
            <w:vAlign w:val="center"/>
          </w:tcPr>
          <w:p w14:paraId="578DC76D">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破碎</w:t>
            </w:r>
          </w:p>
        </w:tc>
        <w:tc>
          <w:tcPr>
            <w:tcW w:w="1184" w:type="pct"/>
            <w:noWrap w:val="0"/>
            <w:vAlign w:val="center"/>
          </w:tcPr>
          <w:p w14:paraId="522F6D35">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0.0307kg/t</w:t>
            </w:r>
          </w:p>
        </w:tc>
        <w:tc>
          <w:tcPr>
            <w:tcW w:w="1058" w:type="pct"/>
            <w:noWrap w:val="0"/>
            <w:vAlign w:val="center"/>
          </w:tcPr>
          <w:p w14:paraId="1BFA372E">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50</w:t>
            </w:r>
            <w:r>
              <w:rPr>
                <w:rFonts w:hint="eastAsia" w:ascii="宋体" w:hAnsi="宋体" w:eastAsia="宋体" w:cs="宋体"/>
                <w:i w:val="0"/>
                <w:iCs w:val="0"/>
                <w:color w:val="000000"/>
                <w:kern w:val="0"/>
                <w:sz w:val="21"/>
                <w:szCs w:val="21"/>
                <w:u w:val="none"/>
                <w:lang w:val="en-US" w:eastAsia="zh-CN" w:bidi="ar"/>
              </w:rPr>
              <w:t>万</w:t>
            </w:r>
            <w:r>
              <w:rPr>
                <w:rFonts w:hint="default" w:ascii="Times New Roman" w:hAnsi="Times New Roman" w:eastAsia="宋体" w:cs="Times New Roman"/>
                <w:i w:val="0"/>
                <w:iCs w:val="0"/>
                <w:color w:val="000000"/>
                <w:kern w:val="0"/>
                <w:sz w:val="21"/>
                <w:szCs w:val="21"/>
                <w:u w:val="none"/>
                <w:lang w:val="en-US" w:eastAsia="zh-CN" w:bidi="ar"/>
              </w:rPr>
              <w:t>t</w:t>
            </w:r>
          </w:p>
        </w:tc>
        <w:tc>
          <w:tcPr>
            <w:tcW w:w="1572" w:type="pct"/>
            <w:noWrap w:val="0"/>
            <w:vAlign w:val="center"/>
          </w:tcPr>
          <w:p w14:paraId="10CC8568">
            <w:pPr>
              <w:keepNext w:val="0"/>
              <w:keepLines w:val="0"/>
              <w:widowControl/>
              <w:suppressLineNumbers w:val="0"/>
              <w:jc w:val="center"/>
              <w:textAlignment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15.35</w:t>
            </w:r>
          </w:p>
        </w:tc>
      </w:tr>
      <w:tr w14:paraId="5BF9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noWrap w:val="0"/>
            <w:vAlign w:val="center"/>
          </w:tcPr>
          <w:p w14:paraId="4DC7C816">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筛分</w:t>
            </w:r>
          </w:p>
        </w:tc>
        <w:tc>
          <w:tcPr>
            <w:tcW w:w="1184" w:type="pct"/>
            <w:noWrap w:val="0"/>
            <w:vAlign w:val="center"/>
          </w:tcPr>
          <w:p w14:paraId="50E02023">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0.4kg/t</w:t>
            </w:r>
          </w:p>
        </w:tc>
        <w:tc>
          <w:tcPr>
            <w:tcW w:w="1058" w:type="pct"/>
            <w:noWrap w:val="0"/>
            <w:vAlign w:val="center"/>
          </w:tcPr>
          <w:p w14:paraId="7807A15E">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50</w:t>
            </w:r>
            <w:r>
              <w:rPr>
                <w:rFonts w:hint="eastAsia" w:ascii="宋体" w:hAnsi="宋体" w:eastAsia="宋体" w:cs="宋体"/>
                <w:i w:val="0"/>
                <w:iCs w:val="0"/>
                <w:color w:val="000000"/>
                <w:kern w:val="0"/>
                <w:sz w:val="21"/>
                <w:szCs w:val="21"/>
                <w:u w:val="none"/>
                <w:lang w:val="en-US" w:eastAsia="zh-CN" w:bidi="ar"/>
              </w:rPr>
              <w:t>万</w:t>
            </w:r>
            <w:r>
              <w:rPr>
                <w:rFonts w:hint="default" w:ascii="Times New Roman" w:hAnsi="Times New Roman" w:eastAsia="宋体" w:cs="Times New Roman"/>
                <w:i w:val="0"/>
                <w:iCs w:val="0"/>
                <w:color w:val="000000"/>
                <w:kern w:val="0"/>
                <w:sz w:val="21"/>
                <w:szCs w:val="21"/>
                <w:u w:val="none"/>
                <w:lang w:val="en-US" w:eastAsia="zh-CN" w:bidi="ar"/>
              </w:rPr>
              <w:t>t</w:t>
            </w:r>
          </w:p>
        </w:tc>
        <w:tc>
          <w:tcPr>
            <w:tcW w:w="1572" w:type="pct"/>
            <w:noWrap w:val="0"/>
            <w:vAlign w:val="center"/>
          </w:tcPr>
          <w:p w14:paraId="5B0CA494">
            <w:pPr>
              <w:keepNext w:val="0"/>
              <w:keepLines w:val="0"/>
              <w:widowControl/>
              <w:suppressLineNumbers w:val="0"/>
              <w:jc w:val="center"/>
              <w:textAlignment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200</w:t>
            </w:r>
          </w:p>
        </w:tc>
      </w:tr>
      <w:tr w14:paraId="3740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noWrap w:val="0"/>
            <w:vAlign w:val="center"/>
          </w:tcPr>
          <w:p w14:paraId="6B8F4AF7">
            <w:pPr>
              <w:keepNext w:val="0"/>
              <w:keepLines w:val="0"/>
              <w:widowControl/>
              <w:suppressLineNumbers w:val="0"/>
              <w:jc w:val="center"/>
              <w:textAlignment w:val="center"/>
              <w:rPr>
                <w:rFonts w:hint="default" w:ascii="Times New Roman" w:hAnsi="Times New Roman" w:cs="Times New Roman"/>
                <w:color w:val="000000" w:themeColor="text1"/>
                <w:highlight w:val="none"/>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制砂</w:t>
            </w:r>
          </w:p>
        </w:tc>
        <w:tc>
          <w:tcPr>
            <w:tcW w:w="1184" w:type="pct"/>
            <w:noWrap w:val="0"/>
            <w:vAlign w:val="center"/>
          </w:tcPr>
          <w:p w14:paraId="38A1CFA4">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0.15kg/t</w:t>
            </w:r>
          </w:p>
        </w:tc>
        <w:tc>
          <w:tcPr>
            <w:tcW w:w="1058" w:type="pct"/>
            <w:noWrap w:val="0"/>
            <w:vAlign w:val="center"/>
          </w:tcPr>
          <w:p w14:paraId="0921E095">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万</w:t>
            </w:r>
            <w:r>
              <w:rPr>
                <w:rFonts w:hint="default" w:ascii="Times New Roman" w:hAnsi="Times New Roman" w:eastAsia="宋体" w:cs="Times New Roman"/>
                <w:i w:val="0"/>
                <w:iCs w:val="0"/>
                <w:color w:val="000000"/>
                <w:kern w:val="0"/>
                <w:sz w:val="21"/>
                <w:szCs w:val="21"/>
                <w:u w:val="none"/>
                <w:lang w:val="en-US" w:eastAsia="zh-CN" w:bidi="ar"/>
              </w:rPr>
              <w:t>t</w:t>
            </w:r>
          </w:p>
        </w:tc>
        <w:tc>
          <w:tcPr>
            <w:tcW w:w="1572" w:type="pct"/>
            <w:noWrap w:val="0"/>
            <w:vAlign w:val="center"/>
          </w:tcPr>
          <w:p w14:paraId="6D751BA1">
            <w:pPr>
              <w:keepNext w:val="0"/>
              <w:keepLines w:val="0"/>
              <w:widowControl/>
              <w:suppressLineNumbers w:val="0"/>
              <w:jc w:val="center"/>
              <w:textAlignment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18</w:t>
            </w:r>
          </w:p>
        </w:tc>
      </w:tr>
      <w:tr w14:paraId="74E8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4" w:type="pct"/>
            <w:noWrap w:val="0"/>
            <w:vAlign w:val="center"/>
          </w:tcPr>
          <w:p w14:paraId="7B40EC23">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合计</w:t>
            </w:r>
          </w:p>
        </w:tc>
        <w:tc>
          <w:tcPr>
            <w:tcW w:w="1184" w:type="pct"/>
            <w:noWrap w:val="0"/>
            <w:vAlign w:val="center"/>
          </w:tcPr>
          <w:p w14:paraId="59EAEBBC">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058" w:type="pct"/>
            <w:noWrap w:val="0"/>
            <w:vAlign w:val="center"/>
          </w:tcPr>
          <w:p w14:paraId="60A56402">
            <w:pPr>
              <w:keepNext w:val="0"/>
              <w:keepLines w:val="0"/>
              <w:widowControl/>
              <w:suppressLineNumbers w:val="0"/>
              <w:jc w:val="center"/>
              <w:textAlignment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72" w:type="pct"/>
            <w:noWrap w:val="0"/>
            <w:vAlign w:val="center"/>
          </w:tcPr>
          <w:p w14:paraId="3450B3FC">
            <w:pPr>
              <w:keepNext w:val="0"/>
              <w:keepLines w:val="0"/>
              <w:widowControl/>
              <w:suppressLineNumbers w:val="0"/>
              <w:jc w:val="center"/>
              <w:textAlignment w:val="center"/>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233.35</w:t>
            </w:r>
          </w:p>
        </w:tc>
      </w:tr>
    </w:tbl>
    <w:p w14:paraId="58E3359C">
      <w:pPr>
        <w:pStyle w:val="41"/>
        <w:bidi w:val="0"/>
        <w:rPr>
          <w:rFonts w:hint="default"/>
          <w:lang w:val="en-US" w:eastAsia="zh-CN"/>
        </w:rPr>
      </w:pPr>
      <w:r>
        <w:rPr>
          <w:rFonts w:hint="default"/>
          <w:lang w:val="en-US" w:eastAsia="zh-CN"/>
        </w:rPr>
        <w:t>布袋除尘系统风机设置为</w:t>
      </w:r>
      <w:r>
        <w:rPr>
          <w:rFonts w:hint="eastAsia"/>
          <w:lang w:val="en-US" w:eastAsia="zh-CN"/>
        </w:rPr>
        <w:t>2</w:t>
      </w:r>
      <w:r>
        <w:rPr>
          <w:rFonts w:hint="default"/>
          <w:lang w:val="en-US" w:eastAsia="zh-CN"/>
        </w:rPr>
        <w:t>0000m³/h，则项目砂石加工过程污染物排放情况如下：</w:t>
      </w:r>
    </w:p>
    <w:p w14:paraId="67C63DD9">
      <w:pPr>
        <w:keepNext/>
        <w:pageBreakBefore w:val="0"/>
        <w:kinsoku/>
        <w:overflowPunct/>
        <w:topLinePunct w:val="0"/>
        <w:bidi w:val="0"/>
        <w:ind w:left="0" w:leftChars="0" w:firstLine="0" w:firstLineChars="0"/>
        <w:jc w:val="center"/>
        <w:textAlignment w:val="auto"/>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3.5</w:t>
      </w:r>
      <w:r>
        <w:rPr>
          <w:rFonts w:hint="default" w:ascii="Times New Roman" w:hAnsi="Times New Roman" w:cs="Times New Roman"/>
          <w:b/>
          <w:bCs/>
          <w:color w:val="000000" w:themeColor="text1"/>
          <w:highlight w:val="none"/>
          <w:lang w:val="en-US" w:eastAsia="zh-CN"/>
          <w14:textFill>
            <w14:solidFill>
              <w14:schemeClr w14:val="tx1"/>
            </w14:solidFill>
          </w14:textFill>
        </w:rPr>
        <w:t>-</w:t>
      </w:r>
      <w:r>
        <w:rPr>
          <w:rFonts w:hint="eastAsia" w:cs="Times New Roman"/>
          <w:b/>
          <w:bCs/>
          <w:color w:val="000000" w:themeColor="text1"/>
          <w:highlight w:val="none"/>
          <w:lang w:val="en-US" w:eastAsia="zh-CN"/>
          <w14:textFill>
            <w14:solidFill>
              <w14:schemeClr w14:val="tx1"/>
            </w14:solidFill>
          </w14:textFill>
        </w:rPr>
        <w:t>3</w:t>
      </w:r>
      <w:r>
        <w:rPr>
          <w:rFonts w:hint="default" w:ascii="Times New Roman" w:hAnsi="Times New Roman" w:cs="Times New Roman"/>
          <w:b/>
          <w:bCs/>
          <w:color w:val="000000" w:themeColor="text1"/>
          <w:highlight w:val="none"/>
          <w14:textFill>
            <w14:solidFill>
              <w14:schemeClr w14:val="tx1"/>
            </w14:solidFill>
          </w14:textFill>
        </w:rPr>
        <w:t xml:space="preserve">  破碎、筛分、</w:t>
      </w:r>
      <w:r>
        <w:rPr>
          <w:rFonts w:hint="default" w:ascii="Times New Roman" w:hAnsi="Times New Roman" w:cs="Times New Roman"/>
          <w:b/>
          <w:bCs/>
          <w:color w:val="000000" w:themeColor="text1"/>
          <w:highlight w:val="none"/>
          <w:lang w:eastAsia="zh-CN"/>
          <w14:textFill>
            <w14:solidFill>
              <w14:schemeClr w14:val="tx1"/>
            </w14:solidFill>
          </w14:textFill>
        </w:rPr>
        <w:t>制砂</w:t>
      </w:r>
      <w:r>
        <w:rPr>
          <w:rFonts w:hint="default" w:ascii="Times New Roman" w:hAnsi="Times New Roman" w:cs="Times New Roman"/>
          <w:b/>
          <w:bCs/>
          <w:color w:val="000000" w:themeColor="text1"/>
          <w:highlight w:val="none"/>
          <w14:textFill>
            <w14:solidFill>
              <w14:schemeClr w14:val="tx1"/>
            </w14:solidFill>
          </w14:textFill>
        </w:rPr>
        <w:t>粉尘排放情况一览表</w:t>
      </w:r>
    </w:p>
    <w:tbl>
      <w:tblPr>
        <w:tblStyle w:val="3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2"/>
        <w:gridCol w:w="4451"/>
        <w:gridCol w:w="2379"/>
      </w:tblGrid>
      <w:tr w14:paraId="3F55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59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66BE">
            <w:pPr>
              <w:pStyle w:val="43"/>
              <w:bidi w:val="0"/>
              <w:rPr>
                <w:rFonts w:hint="default"/>
                <w:b/>
                <w:bCs/>
              </w:rPr>
            </w:pPr>
            <w:r>
              <w:rPr>
                <w:rFonts w:hint="eastAsia"/>
                <w:b/>
                <w:bCs/>
                <w:lang w:val="en-US" w:eastAsia="zh-CN"/>
              </w:rPr>
              <w:t>污染物名称</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31A2">
            <w:pPr>
              <w:pStyle w:val="43"/>
              <w:bidi w:val="0"/>
              <w:rPr>
                <w:rFonts w:hint="default"/>
                <w:b/>
                <w:bCs/>
              </w:rPr>
            </w:pPr>
            <w:r>
              <w:rPr>
                <w:rFonts w:hint="eastAsia"/>
                <w:b/>
                <w:bCs/>
                <w:lang w:val="en-US" w:eastAsia="zh-CN"/>
              </w:rPr>
              <w:t>颗粒物</w:t>
            </w:r>
          </w:p>
        </w:tc>
      </w:tr>
      <w:tr w14:paraId="7E58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44" w:type="pct"/>
            <w:vMerge w:val="restart"/>
            <w:tcBorders>
              <w:top w:val="single" w:color="000000" w:sz="4" w:space="0"/>
              <w:left w:val="single" w:color="000000" w:sz="4" w:space="0"/>
              <w:right w:val="single" w:color="000000" w:sz="4" w:space="0"/>
            </w:tcBorders>
            <w:shd w:val="clear" w:color="auto" w:fill="auto"/>
            <w:noWrap/>
            <w:vAlign w:val="center"/>
          </w:tcPr>
          <w:p w14:paraId="25B97C7B">
            <w:pPr>
              <w:pStyle w:val="43"/>
              <w:bidi w:val="0"/>
              <w:rPr>
                <w:rFonts w:hint="default"/>
                <w:b/>
                <w:bCs/>
                <w:lang w:val="en-US" w:eastAsia="zh-CN"/>
              </w:rPr>
            </w:pPr>
            <w:r>
              <w:rPr>
                <w:rFonts w:hint="eastAsia"/>
                <w:b/>
                <w:bCs/>
                <w:lang w:val="en-US" w:eastAsia="zh-CN"/>
              </w:rPr>
              <w:t>产生情况</w:t>
            </w: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17E9">
            <w:pPr>
              <w:pStyle w:val="43"/>
              <w:bidi w:val="0"/>
              <w:rPr>
                <w:rFonts w:hint="default"/>
                <w:lang w:val="en-US" w:eastAsia="zh-CN"/>
              </w:rPr>
            </w:pPr>
            <w:r>
              <w:rPr>
                <w:rFonts w:hint="eastAsia"/>
                <w:lang w:val="en-US" w:eastAsia="zh-CN"/>
              </w:rPr>
              <w:t>产生量（</w:t>
            </w:r>
            <w:r>
              <w:rPr>
                <w:rFonts w:hint="default"/>
                <w:lang w:val="en-US" w:eastAsia="zh-CN"/>
              </w:rPr>
              <w:t>t/a</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251C">
            <w:pPr>
              <w:pStyle w:val="43"/>
              <w:bidi w:val="0"/>
              <w:rPr>
                <w:rFonts w:hint="default"/>
              </w:rPr>
            </w:pPr>
            <w:r>
              <w:rPr>
                <w:rFonts w:hint="default"/>
                <w:lang w:val="en-US" w:eastAsia="zh-CN"/>
              </w:rPr>
              <w:t>233.35</w:t>
            </w:r>
          </w:p>
        </w:tc>
      </w:tr>
      <w:tr w14:paraId="098A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bottom w:val="single" w:color="000000" w:sz="4" w:space="0"/>
              <w:right w:val="single" w:color="000000" w:sz="4" w:space="0"/>
            </w:tcBorders>
            <w:shd w:val="clear" w:color="auto" w:fill="auto"/>
            <w:noWrap/>
            <w:vAlign w:val="center"/>
          </w:tcPr>
          <w:p w14:paraId="13974A60">
            <w:pPr>
              <w:pStyle w:val="43"/>
              <w:bidi w:val="0"/>
              <w:rPr>
                <w:rFonts w:hint="default"/>
                <w:b/>
                <w:bCs/>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F23B">
            <w:pPr>
              <w:pStyle w:val="43"/>
              <w:bidi w:val="0"/>
              <w:rPr>
                <w:rFonts w:hint="default"/>
                <w:lang w:val="en-US" w:eastAsia="zh-CN"/>
              </w:rPr>
            </w:pPr>
            <w:r>
              <w:rPr>
                <w:rFonts w:hint="eastAsia"/>
                <w:lang w:val="en-US" w:eastAsia="zh-CN"/>
              </w:rPr>
              <w:t>产生速率（</w:t>
            </w:r>
            <w:r>
              <w:rPr>
                <w:rFonts w:hint="default"/>
                <w:lang w:val="en-US" w:eastAsia="zh-CN"/>
              </w:rPr>
              <w:t>kg/h</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6169">
            <w:pPr>
              <w:pStyle w:val="43"/>
              <w:bidi w:val="0"/>
              <w:rPr>
                <w:rFonts w:hint="default"/>
              </w:rPr>
            </w:pPr>
            <w:r>
              <w:rPr>
                <w:rFonts w:hint="default"/>
                <w:lang w:val="en-US" w:eastAsia="zh-CN"/>
              </w:rPr>
              <w:t xml:space="preserve">97.23 </w:t>
            </w:r>
          </w:p>
        </w:tc>
      </w:tr>
      <w:tr w14:paraId="749E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restart"/>
            <w:tcBorders>
              <w:top w:val="single" w:color="000000" w:sz="4" w:space="0"/>
              <w:left w:val="single" w:color="000000" w:sz="4" w:space="0"/>
              <w:right w:val="single" w:color="000000" w:sz="4" w:space="0"/>
            </w:tcBorders>
            <w:shd w:val="clear" w:color="auto" w:fill="auto"/>
            <w:noWrap/>
            <w:vAlign w:val="center"/>
          </w:tcPr>
          <w:p w14:paraId="19B0C23B">
            <w:pPr>
              <w:pStyle w:val="43"/>
              <w:bidi w:val="0"/>
              <w:rPr>
                <w:rFonts w:hint="default"/>
                <w:b/>
                <w:bCs/>
                <w:lang w:val="en-US" w:eastAsia="zh-CN"/>
              </w:rPr>
            </w:pPr>
            <w:r>
              <w:rPr>
                <w:rFonts w:hint="eastAsia"/>
                <w:b/>
                <w:bCs/>
                <w:lang w:val="en-US" w:eastAsia="zh-CN"/>
              </w:rPr>
              <w:t>处理系统情况</w:t>
            </w: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2C6C">
            <w:pPr>
              <w:pStyle w:val="43"/>
              <w:bidi w:val="0"/>
              <w:rPr>
                <w:rFonts w:hint="default"/>
                <w:lang w:val="en-US" w:eastAsia="zh-CN"/>
              </w:rPr>
            </w:pPr>
            <w:r>
              <w:rPr>
                <w:rFonts w:hint="eastAsia"/>
                <w:lang w:val="en-US" w:eastAsia="zh-CN"/>
              </w:rPr>
              <w:t>系统风量（</w:t>
            </w:r>
            <w:r>
              <w:rPr>
                <w:rFonts w:hint="default"/>
                <w:lang w:val="en-US" w:eastAsia="zh-CN"/>
              </w:rPr>
              <w:t>m³/h</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0B70">
            <w:pPr>
              <w:pStyle w:val="43"/>
              <w:bidi w:val="0"/>
              <w:rPr>
                <w:rFonts w:hint="default"/>
                <w:lang w:val="en-US" w:eastAsia="zh-CN"/>
              </w:rPr>
            </w:pPr>
            <w:r>
              <w:rPr>
                <w:rFonts w:hint="eastAsia"/>
                <w:lang w:val="en-US" w:eastAsia="zh-CN"/>
              </w:rPr>
              <w:t>2</w:t>
            </w:r>
            <w:r>
              <w:rPr>
                <w:rFonts w:hint="default"/>
                <w:lang w:val="en-US" w:eastAsia="zh-CN"/>
              </w:rPr>
              <w:t>0000</w:t>
            </w:r>
            <w:r>
              <w:rPr>
                <w:rFonts w:hint="eastAsia"/>
                <w:lang w:val="en-US" w:eastAsia="zh-CN"/>
              </w:rPr>
              <w:t>（48</w:t>
            </w:r>
            <w:r>
              <w:rPr>
                <w:rFonts w:hint="default"/>
                <w:lang w:val="en-US" w:eastAsia="zh-CN"/>
              </w:rPr>
              <w:t>000</w:t>
            </w:r>
            <w:r>
              <w:rPr>
                <w:rFonts w:hint="eastAsia"/>
                <w:lang w:val="en-US" w:eastAsia="zh-CN"/>
              </w:rPr>
              <w:t>万</w:t>
            </w:r>
            <w:r>
              <w:rPr>
                <w:rFonts w:hint="default"/>
                <w:lang w:val="en-US" w:eastAsia="zh-CN"/>
              </w:rPr>
              <w:t>m³/a</w:t>
            </w:r>
            <w:r>
              <w:rPr>
                <w:rFonts w:hint="eastAsia"/>
                <w:lang w:val="en-US" w:eastAsia="zh-CN"/>
              </w:rPr>
              <w:t>）</w:t>
            </w:r>
          </w:p>
        </w:tc>
      </w:tr>
      <w:tr w14:paraId="2AEA9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right w:val="single" w:color="000000" w:sz="4" w:space="0"/>
            </w:tcBorders>
            <w:shd w:val="clear" w:color="auto" w:fill="auto"/>
            <w:noWrap/>
            <w:vAlign w:val="center"/>
          </w:tcPr>
          <w:p w14:paraId="0263B744">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22F3">
            <w:pPr>
              <w:pStyle w:val="43"/>
              <w:bidi w:val="0"/>
              <w:rPr>
                <w:rFonts w:hint="default"/>
                <w:lang w:val="en-US" w:eastAsia="zh-CN"/>
              </w:rPr>
            </w:pPr>
            <w:r>
              <w:rPr>
                <w:rFonts w:hint="eastAsia"/>
                <w:lang w:val="en-US" w:eastAsia="zh-CN"/>
              </w:rPr>
              <w:t>系统收尘效率（</w:t>
            </w:r>
            <w:r>
              <w:rPr>
                <w:rFonts w:hint="default"/>
                <w:lang w:val="en-US" w:eastAsia="zh-CN"/>
              </w:rPr>
              <w:t>%</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3BB2">
            <w:pPr>
              <w:pStyle w:val="43"/>
              <w:bidi w:val="0"/>
              <w:rPr>
                <w:rFonts w:hint="default"/>
                <w:lang w:val="en-US" w:eastAsia="zh-CN"/>
              </w:rPr>
            </w:pPr>
            <w:r>
              <w:rPr>
                <w:rFonts w:hint="default"/>
                <w:lang w:val="en-US" w:eastAsia="zh-CN"/>
              </w:rPr>
              <w:t>80</w:t>
            </w:r>
          </w:p>
        </w:tc>
      </w:tr>
      <w:tr w14:paraId="123F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bottom w:val="single" w:color="000000" w:sz="4" w:space="0"/>
              <w:right w:val="single" w:color="000000" w:sz="4" w:space="0"/>
            </w:tcBorders>
            <w:shd w:val="clear" w:color="auto" w:fill="auto"/>
            <w:noWrap/>
            <w:vAlign w:val="center"/>
          </w:tcPr>
          <w:p w14:paraId="75D4CA97">
            <w:pPr>
              <w:pStyle w:val="43"/>
              <w:bidi w:val="0"/>
              <w:rPr>
                <w:rFonts w:hint="default"/>
                <w:b/>
                <w:bCs/>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03B4">
            <w:pPr>
              <w:pStyle w:val="43"/>
              <w:bidi w:val="0"/>
              <w:rPr>
                <w:rFonts w:hint="default"/>
                <w:lang w:val="en-US" w:eastAsia="zh-CN"/>
              </w:rPr>
            </w:pPr>
            <w:r>
              <w:rPr>
                <w:rFonts w:hint="eastAsia"/>
                <w:lang w:val="en-US" w:eastAsia="zh-CN"/>
              </w:rPr>
              <w:t>布袋除尘系统处理效率（</w:t>
            </w:r>
            <w:r>
              <w:rPr>
                <w:rFonts w:hint="default"/>
                <w:lang w:val="en-US" w:eastAsia="zh-CN"/>
              </w:rPr>
              <w:t>%</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E610">
            <w:pPr>
              <w:pStyle w:val="43"/>
              <w:bidi w:val="0"/>
              <w:rPr>
                <w:rFonts w:hint="default"/>
              </w:rPr>
            </w:pPr>
            <w:r>
              <w:rPr>
                <w:rFonts w:hint="default"/>
                <w:lang w:val="en-US" w:eastAsia="zh-CN"/>
              </w:rPr>
              <w:t>99.7</w:t>
            </w:r>
          </w:p>
        </w:tc>
      </w:tr>
      <w:tr w14:paraId="03DEB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44" w:type="pct"/>
            <w:vMerge w:val="restart"/>
            <w:tcBorders>
              <w:top w:val="single" w:color="000000" w:sz="4" w:space="0"/>
              <w:left w:val="single" w:color="000000" w:sz="4" w:space="0"/>
              <w:right w:val="single" w:color="000000" w:sz="4" w:space="0"/>
            </w:tcBorders>
            <w:shd w:val="clear" w:color="auto" w:fill="auto"/>
            <w:noWrap/>
            <w:vAlign w:val="center"/>
          </w:tcPr>
          <w:p w14:paraId="1FF610DA">
            <w:pPr>
              <w:pStyle w:val="43"/>
              <w:bidi w:val="0"/>
              <w:rPr>
                <w:rFonts w:hint="default"/>
                <w:b/>
                <w:bCs/>
                <w:lang w:val="en-US" w:eastAsia="zh-CN"/>
              </w:rPr>
            </w:pPr>
            <w:r>
              <w:rPr>
                <w:rFonts w:hint="eastAsia"/>
                <w:b/>
                <w:bCs/>
                <w:lang w:val="en-US" w:eastAsia="zh-CN"/>
              </w:rPr>
              <w:t>有组织排放情况</w:t>
            </w: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F3AA">
            <w:pPr>
              <w:pStyle w:val="43"/>
              <w:bidi w:val="0"/>
              <w:rPr>
                <w:rFonts w:hint="default"/>
                <w:lang w:val="en-US" w:eastAsia="zh-CN"/>
              </w:rPr>
            </w:pPr>
            <w:r>
              <w:rPr>
                <w:rFonts w:hint="eastAsia"/>
                <w:lang w:val="en-US" w:eastAsia="zh-CN"/>
              </w:rPr>
              <w:t>排放量（</w:t>
            </w:r>
            <w:r>
              <w:rPr>
                <w:rFonts w:hint="default"/>
                <w:lang w:val="en-US" w:eastAsia="zh-CN"/>
              </w:rPr>
              <w:t>t/a</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585B">
            <w:pPr>
              <w:pStyle w:val="43"/>
              <w:bidi w:val="0"/>
              <w:rPr>
                <w:rFonts w:hint="default"/>
                <w:lang w:val="en-US" w:eastAsia="zh-CN"/>
              </w:rPr>
            </w:pPr>
            <w:r>
              <w:rPr>
                <w:rFonts w:hint="default"/>
                <w:lang w:val="en-US" w:eastAsia="zh-CN"/>
              </w:rPr>
              <w:t xml:space="preserve">0.56 </w:t>
            </w:r>
          </w:p>
        </w:tc>
      </w:tr>
      <w:tr w14:paraId="7CB87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right w:val="single" w:color="000000" w:sz="4" w:space="0"/>
            </w:tcBorders>
            <w:shd w:val="clear" w:color="auto" w:fill="auto"/>
            <w:noWrap/>
            <w:vAlign w:val="center"/>
          </w:tcPr>
          <w:p w14:paraId="1FD38DAE">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6299">
            <w:pPr>
              <w:pStyle w:val="43"/>
              <w:bidi w:val="0"/>
              <w:rPr>
                <w:rFonts w:hint="default"/>
                <w:lang w:val="en-US" w:eastAsia="zh-CN"/>
              </w:rPr>
            </w:pPr>
            <w:r>
              <w:rPr>
                <w:rFonts w:hint="eastAsia"/>
                <w:lang w:val="en-US" w:eastAsia="zh-CN"/>
              </w:rPr>
              <w:t>排放速率（</w:t>
            </w:r>
            <w:r>
              <w:rPr>
                <w:rFonts w:hint="default"/>
                <w:lang w:val="en-US" w:eastAsia="zh-CN"/>
              </w:rPr>
              <w:t>kg/h</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CE3D">
            <w:pPr>
              <w:pStyle w:val="43"/>
              <w:bidi w:val="0"/>
              <w:rPr>
                <w:rFonts w:hint="default"/>
                <w:lang w:val="en-US" w:eastAsia="zh-CN"/>
              </w:rPr>
            </w:pPr>
            <w:r>
              <w:rPr>
                <w:rFonts w:hint="default"/>
                <w:lang w:val="en-US" w:eastAsia="zh-CN"/>
              </w:rPr>
              <w:t xml:space="preserve">0.23 </w:t>
            </w:r>
          </w:p>
        </w:tc>
      </w:tr>
      <w:tr w14:paraId="22DFE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right w:val="single" w:color="000000" w:sz="4" w:space="0"/>
            </w:tcBorders>
            <w:shd w:val="clear" w:color="auto" w:fill="auto"/>
            <w:noWrap/>
            <w:vAlign w:val="center"/>
          </w:tcPr>
          <w:p w14:paraId="706B3854">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EEEF">
            <w:pPr>
              <w:pStyle w:val="43"/>
              <w:bidi w:val="0"/>
              <w:rPr>
                <w:rFonts w:hint="default"/>
                <w:lang w:val="en-US" w:eastAsia="zh-CN"/>
              </w:rPr>
            </w:pPr>
            <w:r>
              <w:rPr>
                <w:rFonts w:hint="eastAsia"/>
                <w:lang w:val="en-US" w:eastAsia="zh-CN"/>
              </w:rPr>
              <w:t>排放浓度（</w:t>
            </w:r>
            <w:r>
              <w:rPr>
                <w:rFonts w:hint="default"/>
                <w:lang w:val="en-US" w:eastAsia="zh-CN"/>
              </w:rPr>
              <w:t>mg/m³</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0ECE">
            <w:pPr>
              <w:pStyle w:val="43"/>
              <w:bidi w:val="0"/>
              <w:rPr>
                <w:rFonts w:hint="default"/>
                <w:lang w:val="en-US" w:eastAsia="zh-CN"/>
              </w:rPr>
            </w:pPr>
            <w:r>
              <w:rPr>
                <w:rFonts w:hint="eastAsia"/>
                <w:lang w:val="en-US" w:eastAsia="zh-CN"/>
              </w:rPr>
              <w:t>11.67</w:t>
            </w:r>
          </w:p>
        </w:tc>
      </w:tr>
      <w:tr w14:paraId="51366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right w:val="single" w:color="000000" w:sz="4" w:space="0"/>
            </w:tcBorders>
            <w:shd w:val="clear" w:color="auto" w:fill="auto"/>
            <w:noWrap/>
            <w:vAlign w:val="center"/>
          </w:tcPr>
          <w:p w14:paraId="496AFCEC">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9722">
            <w:pPr>
              <w:pStyle w:val="43"/>
              <w:bidi w:val="0"/>
              <w:rPr>
                <w:rFonts w:hint="default"/>
                <w:lang w:val="en-US" w:eastAsia="zh-CN"/>
              </w:rPr>
            </w:pPr>
            <w:r>
              <w:rPr>
                <w:rFonts w:hint="eastAsia"/>
                <w:lang w:val="en-US" w:eastAsia="zh-CN"/>
              </w:rPr>
              <w:t>排放速率限值（</w:t>
            </w:r>
            <w:r>
              <w:rPr>
                <w:rFonts w:hint="default"/>
                <w:lang w:val="en-US" w:eastAsia="zh-CN"/>
              </w:rPr>
              <w:t>kg/h</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74F1">
            <w:pPr>
              <w:pStyle w:val="43"/>
              <w:bidi w:val="0"/>
              <w:rPr>
                <w:rFonts w:hint="default"/>
                <w:lang w:val="en-US" w:eastAsia="zh-CN"/>
              </w:rPr>
            </w:pPr>
            <w:r>
              <w:rPr>
                <w:rFonts w:hint="default"/>
                <w:lang w:val="en-US" w:eastAsia="zh-CN"/>
              </w:rPr>
              <w:t>3.5</w:t>
            </w:r>
          </w:p>
        </w:tc>
      </w:tr>
      <w:tr w14:paraId="4EDF1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right w:val="single" w:color="000000" w:sz="4" w:space="0"/>
            </w:tcBorders>
            <w:shd w:val="clear" w:color="auto" w:fill="auto"/>
            <w:noWrap/>
            <w:vAlign w:val="center"/>
          </w:tcPr>
          <w:p w14:paraId="4530187F">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B783">
            <w:pPr>
              <w:pStyle w:val="43"/>
              <w:bidi w:val="0"/>
              <w:rPr>
                <w:rFonts w:hint="default"/>
                <w:lang w:val="en-US" w:eastAsia="zh-CN"/>
              </w:rPr>
            </w:pPr>
            <w:r>
              <w:rPr>
                <w:rFonts w:hint="eastAsia"/>
                <w:lang w:val="en-US" w:eastAsia="zh-CN"/>
              </w:rPr>
              <w:t>排放浓度限值（</w:t>
            </w:r>
            <w:r>
              <w:rPr>
                <w:rFonts w:hint="default"/>
                <w:lang w:val="en-US" w:eastAsia="zh-CN"/>
              </w:rPr>
              <w:t>mg/m³</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F619">
            <w:pPr>
              <w:pStyle w:val="43"/>
              <w:bidi w:val="0"/>
              <w:rPr>
                <w:rFonts w:hint="default"/>
                <w:lang w:val="en-US" w:eastAsia="zh-CN"/>
              </w:rPr>
            </w:pPr>
            <w:r>
              <w:rPr>
                <w:rFonts w:hint="default"/>
                <w:lang w:val="en-US" w:eastAsia="zh-CN"/>
              </w:rPr>
              <w:t>120</w:t>
            </w:r>
          </w:p>
        </w:tc>
      </w:tr>
      <w:tr w14:paraId="371E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bottom w:val="single" w:color="000000" w:sz="4" w:space="0"/>
              <w:right w:val="single" w:color="000000" w:sz="4" w:space="0"/>
            </w:tcBorders>
            <w:shd w:val="clear" w:color="auto" w:fill="auto"/>
            <w:noWrap/>
            <w:vAlign w:val="center"/>
          </w:tcPr>
          <w:p w14:paraId="05DD4DC9">
            <w:pPr>
              <w:pStyle w:val="43"/>
              <w:bidi w:val="0"/>
              <w:rPr>
                <w:rFonts w:hint="default"/>
                <w:b/>
                <w:bCs/>
                <w:lang w:val="en-US" w:eastAsia="zh-CN"/>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287B">
            <w:pPr>
              <w:pStyle w:val="43"/>
              <w:bidi w:val="0"/>
              <w:rPr>
                <w:rFonts w:hint="default"/>
                <w:lang w:val="en-US" w:eastAsia="zh-CN"/>
              </w:rPr>
            </w:pPr>
            <w:r>
              <w:rPr>
                <w:rFonts w:hint="eastAsia"/>
                <w:lang w:val="en-US" w:eastAsia="zh-CN"/>
              </w:rPr>
              <w:t>达标情况</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F3AB">
            <w:pPr>
              <w:pStyle w:val="43"/>
              <w:bidi w:val="0"/>
              <w:rPr>
                <w:rFonts w:hint="default"/>
                <w:lang w:val="en-US" w:eastAsia="zh-CN"/>
              </w:rPr>
            </w:pPr>
            <w:r>
              <w:rPr>
                <w:rFonts w:hint="eastAsia"/>
                <w:lang w:val="en-US" w:eastAsia="zh-CN"/>
              </w:rPr>
              <w:t>达标</w:t>
            </w:r>
          </w:p>
        </w:tc>
      </w:tr>
      <w:tr w14:paraId="59AC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59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E666">
            <w:pPr>
              <w:pStyle w:val="43"/>
              <w:bidi w:val="0"/>
              <w:rPr>
                <w:rFonts w:hint="default"/>
                <w:b/>
                <w:bCs/>
              </w:rPr>
            </w:pPr>
            <w:r>
              <w:rPr>
                <w:rFonts w:hint="eastAsia"/>
                <w:b/>
                <w:bCs/>
                <w:lang w:val="en-US" w:eastAsia="zh-CN"/>
              </w:rPr>
              <w:t>厂房喷淋+阻隔降尘效率（</w:t>
            </w:r>
            <w:r>
              <w:rPr>
                <w:rFonts w:hint="default"/>
                <w:b/>
                <w:bCs/>
                <w:lang w:val="en-US" w:eastAsia="zh-CN"/>
              </w:rPr>
              <w:t>%</w:t>
            </w:r>
            <w:r>
              <w:rPr>
                <w:rFonts w:hint="eastAsia"/>
                <w:b/>
                <w:bCs/>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32E3">
            <w:pPr>
              <w:pStyle w:val="43"/>
              <w:bidi w:val="0"/>
              <w:rPr>
                <w:rFonts w:hint="default"/>
              </w:rPr>
            </w:pPr>
            <w:r>
              <w:rPr>
                <w:rFonts w:hint="default"/>
                <w:lang w:val="en-US" w:eastAsia="zh-CN"/>
              </w:rPr>
              <w:t>95</w:t>
            </w:r>
          </w:p>
        </w:tc>
      </w:tr>
      <w:tr w14:paraId="715E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244" w:type="pct"/>
            <w:vMerge w:val="restart"/>
            <w:tcBorders>
              <w:top w:val="single" w:color="000000" w:sz="4" w:space="0"/>
              <w:left w:val="single" w:color="000000" w:sz="4" w:space="0"/>
              <w:right w:val="single" w:color="000000" w:sz="4" w:space="0"/>
            </w:tcBorders>
            <w:shd w:val="clear" w:color="auto" w:fill="auto"/>
            <w:noWrap/>
            <w:vAlign w:val="center"/>
          </w:tcPr>
          <w:p w14:paraId="4A63C5C6">
            <w:pPr>
              <w:pStyle w:val="43"/>
              <w:bidi w:val="0"/>
              <w:rPr>
                <w:rFonts w:hint="default"/>
                <w:b/>
                <w:bCs/>
                <w:lang w:val="en-US" w:eastAsia="zh-CN"/>
              </w:rPr>
            </w:pPr>
            <w:r>
              <w:rPr>
                <w:rFonts w:hint="eastAsia"/>
                <w:b/>
                <w:bCs/>
                <w:lang w:val="en-US" w:eastAsia="zh-CN"/>
              </w:rPr>
              <w:t>无组织排放情况</w:t>
            </w: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6E15">
            <w:pPr>
              <w:pStyle w:val="43"/>
              <w:bidi w:val="0"/>
              <w:rPr>
                <w:rFonts w:hint="default"/>
                <w:lang w:val="en-US" w:eastAsia="zh-CN"/>
              </w:rPr>
            </w:pPr>
            <w:r>
              <w:rPr>
                <w:rFonts w:hint="eastAsia"/>
                <w:lang w:val="en-US" w:eastAsia="zh-CN"/>
              </w:rPr>
              <w:t>无组织排放合计（</w:t>
            </w:r>
            <w:r>
              <w:rPr>
                <w:rFonts w:hint="default"/>
                <w:lang w:val="en-US" w:eastAsia="zh-CN"/>
              </w:rPr>
              <w:t>t/a</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8A27">
            <w:pPr>
              <w:pStyle w:val="43"/>
              <w:bidi w:val="0"/>
              <w:rPr>
                <w:rFonts w:hint="default"/>
                <w:lang w:val="en-US"/>
              </w:rPr>
            </w:pPr>
            <w:r>
              <w:rPr>
                <w:rFonts w:hint="default"/>
                <w:lang w:val="en-US" w:eastAsia="zh-CN"/>
              </w:rPr>
              <w:t xml:space="preserve">2.33 </w:t>
            </w:r>
          </w:p>
        </w:tc>
      </w:tr>
      <w:tr w14:paraId="282DB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44" w:type="pct"/>
            <w:vMerge w:val="continue"/>
            <w:tcBorders>
              <w:left w:val="single" w:color="000000" w:sz="4" w:space="0"/>
              <w:bottom w:val="single" w:color="000000" w:sz="4" w:space="0"/>
              <w:right w:val="single" w:color="000000" w:sz="4" w:space="0"/>
            </w:tcBorders>
            <w:shd w:val="clear" w:color="auto" w:fill="auto"/>
            <w:noWrap/>
            <w:vAlign w:val="center"/>
          </w:tcPr>
          <w:p w14:paraId="0950234F">
            <w:pPr>
              <w:pStyle w:val="43"/>
              <w:bidi w:val="0"/>
              <w:rPr>
                <w:rFonts w:hint="default"/>
              </w:rPr>
            </w:pPr>
          </w:p>
        </w:tc>
        <w:tc>
          <w:tcPr>
            <w:tcW w:w="3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FBDF">
            <w:pPr>
              <w:pStyle w:val="43"/>
              <w:bidi w:val="0"/>
              <w:rPr>
                <w:rFonts w:hint="default"/>
                <w:lang w:val="en-US" w:eastAsia="zh-CN"/>
              </w:rPr>
            </w:pPr>
            <w:r>
              <w:rPr>
                <w:rFonts w:hint="eastAsia"/>
                <w:lang w:val="en-US" w:eastAsia="zh-CN"/>
              </w:rPr>
              <w:t>排放速率（</w:t>
            </w:r>
            <w:r>
              <w:rPr>
                <w:rFonts w:hint="default"/>
                <w:lang w:val="en-US" w:eastAsia="zh-CN"/>
              </w:rPr>
              <w:t>kg/h</w:t>
            </w:r>
            <w:r>
              <w:rPr>
                <w:rFonts w:hint="eastAsia"/>
                <w:lang w:val="en-US" w:eastAsia="zh-CN"/>
              </w:rPr>
              <w:t>）</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6261">
            <w:pPr>
              <w:pStyle w:val="43"/>
              <w:bidi w:val="0"/>
              <w:rPr>
                <w:rFonts w:hint="default"/>
                <w:lang w:val="en-US"/>
              </w:rPr>
            </w:pPr>
            <w:r>
              <w:rPr>
                <w:rFonts w:hint="default"/>
                <w:lang w:val="en-US" w:eastAsia="zh-CN"/>
              </w:rPr>
              <w:t xml:space="preserve">0.97 </w:t>
            </w:r>
          </w:p>
        </w:tc>
      </w:tr>
    </w:tbl>
    <w:p w14:paraId="340B7A76">
      <w:pPr>
        <w:pStyle w:val="41"/>
        <w:bidi w:val="0"/>
        <w:rPr>
          <w:rFonts w:hint="default"/>
          <w:b/>
          <w:bCs/>
          <w:lang w:val="en-US" w:eastAsia="zh-CN"/>
        </w:rPr>
      </w:pPr>
      <w:r>
        <w:rPr>
          <w:rFonts w:hint="default"/>
          <w:b/>
          <w:bCs/>
          <w:lang w:val="en-US" w:eastAsia="zh-CN"/>
        </w:rPr>
        <w:t>（2）爆破废气</w:t>
      </w:r>
    </w:p>
    <w:p w14:paraId="73A362FE">
      <w:pPr>
        <w:pStyle w:val="41"/>
        <w:bidi w:val="0"/>
        <w:rPr>
          <w:rFonts w:hint="default"/>
          <w:lang w:val="en-US" w:eastAsia="zh-CN"/>
        </w:rPr>
      </w:pPr>
      <w:r>
        <w:rPr>
          <w:rFonts w:hint="default"/>
          <w:lang w:val="en-US" w:eastAsia="zh-CN"/>
        </w:rPr>
        <w:t>采场爆破过程会产生一定量的粉尘及CO、NO</w:t>
      </w:r>
      <w:r>
        <w:rPr>
          <w:rFonts w:hint="default"/>
          <w:vertAlign w:val="subscript"/>
          <w:lang w:val="en-US" w:eastAsia="zh-CN"/>
        </w:rPr>
        <w:t>X</w:t>
      </w:r>
      <w:r>
        <w:rPr>
          <w:rFonts w:hint="default"/>
          <w:lang w:val="en-US" w:eastAsia="zh-CN"/>
        </w:rPr>
        <w:t>等废气，废气产生量与装药量、矿岩性质等因素有关。露天爆破粉尘已纳入</w:t>
      </w:r>
      <w:r>
        <w:rPr>
          <w:rFonts w:hint="eastAsia"/>
          <w:lang w:val="en-US" w:eastAsia="zh-CN"/>
        </w:rPr>
        <w:t>采场</w:t>
      </w:r>
      <w:r>
        <w:rPr>
          <w:rFonts w:hint="default"/>
          <w:lang w:val="en-US" w:eastAsia="zh-CN"/>
        </w:rPr>
        <w:t>作业扬尘，本次不再单独计算。CO、NO</w:t>
      </w:r>
      <w:r>
        <w:rPr>
          <w:rFonts w:hint="default"/>
          <w:vertAlign w:val="subscript"/>
          <w:lang w:val="en-US" w:eastAsia="zh-CN"/>
        </w:rPr>
        <w:t>X</w:t>
      </w:r>
      <w:r>
        <w:rPr>
          <w:rFonts w:hint="default"/>
          <w:lang w:val="en-US" w:eastAsia="zh-CN"/>
        </w:rPr>
        <w:t>产生量较少，且仅为爆破时段瞬时产生，矿区开阔，大气稀释扩散条件良好，CO、NO</w:t>
      </w:r>
      <w:r>
        <w:rPr>
          <w:rFonts w:hint="default"/>
          <w:vertAlign w:val="subscript"/>
          <w:lang w:val="en-US" w:eastAsia="zh-CN"/>
        </w:rPr>
        <w:t>X</w:t>
      </w:r>
      <w:r>
        <w:rPr>
          <w:rFonts w:hint="default"/>
          <w:lang w:val="en-US" w:eastAsia="zh-CN"/>
        </w:rPr>
        <w:t>等经大气稀释扩散后对周围环境影响有限，本次不再定量核算。</w:t>
      </w:r>
    </w:p>
    <w:p w14:paraId="3A1F5103">
      <w:pPr>
        <w:pStyle w:val="41"/>
        <w:bidi w:val="0"/>
        <w:rPr>
          <w:rFonts w:hint="default"/>
          <w:b/>
          <w:bCs/>
          <w:lang w:val="en-US" w:eastAsia="zh-CN"/>
        </w:rPr>
      </w:pPr>
      <w:r>
        <w:rPr>
          <w:rFonts w:hint="default"/>
          <w:b/>
          <w:bCs/>
          <w:lang w:val="en-US" w:eastAsia="zh-CN"/>
        </w:rPr>
        <w:t>（3）机械废气</w:t>
      </w:r>
    </w:p>
    <w:p w14:paraId="12714CF1">
      <w:pPr>
        <w:pStyle w:val="41"/>
        <w:bidi w:val="0"/>
        <w:rPr>
          <w:rFonts w:hint="default"/>
          <w:lang w:val="en-US" w:eastAsia="zh-CN"/>
        </w:rPr>
      </w:pPr>
      <w:r>
        <w:rPr>
          <w:rFonts w:hint="default"/>
          <w:lang w:val="en-US" w:eastAsia="zh-CN"/>
        </w:rPr>
        <w:t>项目进行开采过程、物料装卸和运输等过程中使用挖掘机、运输车辆等机械设备，运行过程中会排放少量的燃油废气，污染物主要为CO、NOx及总碳氢化合物（THC）等，由于机械设备排放的废气在露天发散，废气呈无组织排放，加之其排放方式为间歇式排放，经大气自然扩散后对周边环境影响较小，本次不再定量核算。</w:t>
      </w:r>
    </w:p>
    <w:p w14:paraId="663008C4">
      <w:pPr>
        <w:pStyle w:val="41"/>
        <w:numPr>
          <w:ilvl w:val="0"/>
          <w:numId w:val="4"/>
        </w:numPr>
        <w:bidi w:val="0"/>
        <w:ind w:left="0" w:leftChars="0" w:firstLine="482" w:firstLineChars="200"/>
        <w:rPr>
          <w:rFonts w:hint="eastAsia"/>
          <w:b/>
          <w:bCs/>
          <w:lang w:val="en-US" w:eastAsia="zh-CN"/>
        </w:rPr>
      </w:pPr>
      <w:r>
        <w:rPr>
          <w:rFonts w:hint="eastAsia"/>
          <w:b/>
          <w:bCs/>
          <w:lang w:val="en-US" w:eastAsia="zh-CN"/>
        </w:rPr>
        <w:t>恶臭气体</w:t>
      </w:r>
    </w:p>
    <w:p w14:paraId="598145B6">
      <w:pPr>
        <w:pStyle w:val="41"/>
        <w:bidi w:val="0"/>
      </w:pPr>
      <w:r>
        <w:t>项目生活区内设置有</w:t>
      </w:r>
      <w:r>
        <w:rPr>
          <w:rFonts w:hint="eastAsia"/>
          <w:lang w:val="en-US" w:eastAsia="zh-CN"/>
        </w:rPr>
        <w:t>粪污收集池</w:t>
      </w:r>
      <w:r>
        <w:t>，</w:t>
      </w:r>
      <w:r>
        <w:rPr>
          <w:rFonts w:hint="eastAsia"/>
          <w:lang w:val="en-US" w:eastAsia="zh-CN"/>
        </w:rPr>
        <w:t>粪污收集池</w:t>
      </w:r>
      <w:r>
        <w:t>使用过程中不及时处理或清理会产生一定的恶臭气体，使人的嗅觉有不舒服感，此外生活垃圾不及时处理也会产生恶臭。</w:t>
      </w:r>
    </w:p>
    <w:p w14:paraId="7689CD4C">
      <w:pPr>
        <w:pStyle w:val="41"/>
        <w:bidi w:val="0"/>
        <w:rPr>
          <w:rFonts w:hint="default"/>
          <w:b/>
          <w:bCs/>
          <w:lang w:val="en-US" w:eastAsia="zh-CN"/>
        </w:rPr>
      </w:pPr>
      <w:r>
        <w:rPr>
          <w:rFonts w:hint="default"/>
          <w:b/>
          <w:bCs/>
          <w:lang w:val="en-US" w:eastAsia="zh-CN"/>
        </w:rPr>
        <w:t>（</w:t>
      </w:r>
      <w:r>
        <w:rPr>
          <w:rFonts w:hint="eastAsia"/>
          <w:b/>
          <w:bCs/>
          <w:lang w:val="en-US" w:eastAsia="zh-CN"/>
        </w:rPr>
        <w:t>5</w:t>
      </w:r>
      <w:r>
        <w:rPr>
          <w:rFonts w:hint="default"/>
          <w:b/>
          <w:bCs/>
          <w:lang w:val="en-US" w:eastAsia="zh-CN"/>
        </w:rPr>
        <w:t>）项目运营期废气排放情况汇总</w:t>
      </w:r>
    </w:p>
    <w:p w14:paraId="73D265CB">
      <w:pPr>
        <w:pStyle w:val="41"/>
        <w:bidi w:val="0"/>
        <w:rPr>
          <w:rFonts w:hint="default"/>
        </w:rPr>
      </w:pPr>
      <w:r>
        <w:rPr>
          <w:rFonts w:hint="default"/>
        </w:rPr>
        <w:t>根据以上核算源强</w:t>
      </w:r>
      <w:r>
        <w:rPr>
          <w:rFonts w:hint="default"/>
          <w:lang w:eastAsia="zh-CN"/>
        </w:rPr>
        <w:t>，</w:t>
      </w:r>
      <w:r>
        <w:rPr>
          <w:rFonts w:hint="default"/>
        </w:rPr>
        <w:t>项目</w:t>
      </w:r>
      <w:r>
        <w:rPr>
          <w:rFonts w:hint="default"/>
          <w:lang w:val="en-US" w:eastAsia="zh-CN"/>
        </w:rPr>
        <w:t>废气污染物</w:t>
      </w:r>
      <w:r>
        <w:rPr>
          <w:rFonts w:hint="default"/>
        </w:rPr>
        <w:t>排放量核算见表</w:t>
      </w:r>
      <w:r>
        <w:rPr>
          <w:rFonts w:hint="eastAsia"/>
          <w:lang w:val="en-US" w:eastAsia="zh-CN"/>
        </w:rPr>
        <w:t>3.5</w:t>
      </w:r>
      <w:r>
        <w:rPr>
          <w:rFonts w:hint="default"/>
          <w:lang w:val="en-US" w:eastAsia="zh-CN"/>
        </w:rPr>
        <w:t>-4~6</w:t>
      </w:r>
      <w:r>
        <w:rPr>
          <w:rFonts w:hint="default"/>
        </w:rPr>
        <w:t>。</w:t>
      </w:r>
    </w:p>
    <w:p w14:paraId="7FA1478F">
      <w:pPr>
        <w:keepNext/>
        <w:pageBreakBefore w:val="0"/>
        <w:kinsoku/>
        <w:overflowPunct/>
        <w:topLinePunct w:val="0"/>
        <w:bidi w:val="0"/>
        <w:ind w:left="0" w:leftChars="0" w:firstLine="0" w:firstLineChars="0"/>
        <w:jc w:val="center"/>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bookmarkStart w:id="248" w:name="_Ref488964758"/>
      <w:r>
        <w:rPr>
          <w:rFonts w:hint="default" w:ascii="Times New Roman" w:hAnsi="Times New Roman" w:cs="Times New Roman"/>
          <w:b/>
          <w:bCs/>
          <w:color w:val="000000" w:themeColor="text1"/>
          <w:highlight w:val="none"/>
          <w:lang w:val="en-US" w:eastAsia="zh-CN"/>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3.5</w:t>
      </w:r>
      <w:r>
        <w:rPr>
          <w:rFonts w:hint="default" w:ascii="Times New Roman" w:hAnsi="Times New Roman" w:cs="Times New Roman"/>
          <w:b/>
          <w:bCs/>
          <w:color w:val="000000" w:themeColor="text1"/>
          <w:highlight w:val="none"/>
          <w:lang w:val="en-US" w:eastAsia="zh-CN"/>
          <w14:textFill>
            <w14:solidFill>
              <w14:schemeClr w14:val="tx1"/>
            </w14:solidFill>
          </w14:textFill>
        </w:rPr>
        <w:t>-4  项目大气污染物有组织排放量核算表</w:t>
      </w:r>
    </w:p>
    <w:tbl>
      <w:tblPr>
        <w:tblStyle w:val="3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383"/>
        <w:gridCol w:w="1070"/>
        <w:gridCol w:w="1638"/>
        <w:gridCol w:w="1984"/>
        <w:gridCol w:w="1815"/>
      </w:tblGrid>
      <w:tr w14:paraId="3366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blHeader/>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B8EC">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序号</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331C">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排放口编号</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63F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污染物</w:t>
            </w:r>
          </w:p>
        </w:tc>
        <w:tc>
          <w:tcPr>
            <w:tcW w:w="1638" w:type="dxa"/>
            <w:tcBorders>
              <w:top w:val="single" w:color="000000" w:sz="4" w:space="0"/>
              <w:left w:val="single" w:color="000000" w:sz="4" w:space="0"/>
              <w:right w:val="single" w:color="000000" w:sz="4" w:space="0"/>
            </w:tcBorders>
            <w:shd w:val="clear" w:color="auto" w:fill="auto"/>
            <w:vAlign w:val="center"/>
          </w:tcPr>
          <w:p w14:paraId="3846EEB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核算排放浓度/（mg/</w:t>
            </w:r>
            <w:r>
              <w:rPr>
                <w:rFonts w:hint="eastAsia" w:cs="Times New Roman"/>
                <w:b/>
                <w:bCs/>
                <w:color w:val="000000" w:themeColor="text1"/>
                <w:highlight w:val="none"/>
                <w:lang w:val="en-US" w:eastAsia="zh-CN"/>
                <w14:textFill>
                  <w14:solidFill>
                    <w14:schemeClr w14:val="tx1"/>
                  </w14:solidFill>
                </w14:textFill>
              </w:rPr>
              <w:t>m</w:t>
            </w:r>
            <w:r>
              <w:rPr>
                <w:rFonts w:hint="eastAsia" w:cs="Times New Roman"/>
                <w:b/>
                <w:bCs/>
                <w:color w:val="000000" w:themeColor="text1"/>
                <w:highlight w:val="none"/>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highlight w:val="none"/>
                <w:lang w:val="en-US" w:eastAsia="zh-CN"/>
                <w14:textFill>
                  <w14:solidFill>
                    <w14:schemeClr w14:val="tx1"/>
                  </w14:solidFill>
                </w14:textFill>
              </w:rPr>
              <w:t>）</w:t>
            </w:r>
          </w:p>
        </w:tc>
        <w:tc>
          <w:tcPr>
            <w:tcW w:w="1984" w:type="dxa"/>
            <w:tcBorders>
              <w:top w:val="single" w:color="000000" w:sz="4" w:space="0"/>
              <w:left w:val="single" w:color="000000" w:sz="4" w:space="0"/>
              <w:right w:val="single" w:color="000000" w:sz="4" w:space="0"/>
            </w:tcBorders>
            <w:shd w:val="clear" w:color="auto" w:fill="auto"/>
            <w:vAlign w:val="center"/>
          </w:tcPr>
          <w:p w14:paraId="7EC49868">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核算排放速率/（kg/h）</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7BD8">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核算年排放量/（t/a）</w:t>
            </w:r>
          </w:p>
        </w:tc>
      </w:tr>
      <w:tr w14:paraId="2610A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FFCC0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一般排放口</w:t>
            </w:r>
          </w:p>
        </w:tc>
      </w:tr>
      <w:tr w14:paraId="23395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E0B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FF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DA001</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2C5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颗粒物</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75C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11.67</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349C">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w:t>
            </w:r>
            <w:r>
              <w:rPr>
                <w:rFonts w:hint="eastAsia" w:cs="Times New Roman"/>
                <w:color w:val="000000" w:themeColor="text1"/>
                <w:highlight w:val="none"/>
                <w:lang w:val="en-US" w:eastAsia="zh-CN"/>
                <w14:textFill>
                  <w14:solidFill>
                    <w14:schemeClr w14:val="tx1"/>
                  </w14:solidFill>
                </w14:textFill>
              </w:rPr>
              <w:t>23</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9EDC">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0.56</w:t>
            </w:r>
          </w:p>
        </w:tc>
      </w:tr>
      <w:tr w14:paraId="21A7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F98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一般排放口合计</w:t>
            </w:r>
          </w:p>
        </w:tc>
        <w:tc>
          <w:tcPr>
            <w:tcW w:w="46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A9C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颗粒物</w:t>
            </w: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63CB">
            <w:pPr>
              <w:pStyle w:val="43"/>
              <w:bidi w:val="0"/>
              <w:rPr>
                <w:rFonts w:hint="default" w:ascii="Times New Roman" w:hAnsi="Times New Roman" w:cs="Times New Roman"/>
                <w:color w:val="000000" w:themeColor="text1"/>
                <w:highlight w:val="none"/>
                <w:lang w:val="en-US"/>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0.56</w:t>
            </w:r>
          </w:p>
        </w:tc>
      </w:tr>
      <w:tr w14:paraId="68A3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6F93F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有组织排放总计</w:t>
            </w:r>
          </w:p>
        </w:tc>
      </w:tr>
      <w:tr w14:paraId="2A843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6E7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有组织排放总计</w:t>
            </w:r>
          </w:p>
        </w:tc>
        <w:tc>
          <w:tcPr>
            <w:tcW w:w="46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14D6F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颗粒物</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41AB">
            <w:pPr>
              <w:pStyle w:val="43"/>
              <w:bidi w:val="0"/>
              <w:rPr>
                <w:rFonts w:hint="default" w:ascii="Times New Roman" w:hAnsi="Times New Roman" w:cs="Times New Roman"/>
                <w:color w:val="000000" w:themeColor="text1"/>
                <w:highlight w:val="none"/>
                <w:lang w:val="en-US"/>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0.56</w:t>
            </w:r>
          </w:p>
        </w:tc>
      </w:tr>
    </w:tbl>
    <w:p w14:paraId="01A375BE">
      <w:pPr>
        <w:pStyle w:val="45"/>
        <w:bidi w:val="0"/>
        <w:rPr>
          <w:rFonts w:hint="default"/>
        </w:rPr>
      </w:pPr>
      <w:r>
        <w:rPr>
          <w:rFonts w:hint="default"/>
        </w:rPr>
        <w:t>表</w:t>
      </w:r>
      <w:r>
        <w:rPr>
          <w:rFonts w:hint="eastAsia"/>
          <w:lang w:val="en-US" w:eastAsia="zh-CN"/>
        </w:rPr>
        <w:t>3.5</w:t>
      </w:r>
      <w:r>
        <w:rPr>
          <w:rFonts w:hint="default"/>
        </w:rPr>
        <w:t>-</w:t>
      </w:r>
      <w:r>
        <w:rPr>
          <w:rFonts w:hint="default"/>
          <w:lang w:val="en-US" w:eastAsia="zh-CN"/>
        </w:rPr>
        <w:t>5</w:t>
      </w:r>
      <w:r>
        <w:rPr>
          <w:rFonts w:hint="default"/>
        </w:rPr>
        <w:t xml:space="preserve">  </w:t>
      </w:r>
      <w:bookmarkEnd w:id="248"/>
      <w:r>
        <w:rPr>
          <w:rFonts w:hint="default"/>
          <w:lang w:val="en-US" w:eastAsia="zh-CN"/>
        </w:rPr>
        <w:t>项目</w:t>
      </w:r>
      <w:r>
        <w:rPr>
          <w:rFonts w:hint="default"/>
        </w:rPr>
        <w:t>大气污染物无组织排放量核算表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1"/>
        <w:gridCol w:w="1331"/>
        <w:gridCol w:w="1141"/>
        <w:gridCol w:w="2435"/>
        <w:gridCol w:w="1090"/>
        <w:gridCol w:w="1074"/>
        <w:gridCol w:w="847"/>
      </w:tblGrid>
      <w:tr w14:paraId="777B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5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005ECD1">
            <w:pPr>
              <w:pStyle w:val="43"/>
              <w:bidi w:val="0"/>
              <w:rPr>
                <w:rFonts w:hint="eastAsia"/>
                <w:b/>
                <w:bCs/>
              </w:rPr>
            </w:pPr>
            <w:r>
              <w:rPr>
                <w:rFonts w:hint="eastAsia"/>
                <w:b/>
                <w:bCs/>
                <w:lang w:val="en-US" w:eastAsia="zh-CN"/>
              </w:rPr>
              <w:t>序号</w:t>
            </w:r>
          </w:p>
        </w:tc>
        <w:tc>
          <w:tcPr>
            <w:tcW w:w="78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C6B218F">
            <w:pPr>
              <w:pStyle w:val="43"/>
              <w:bidi w:val="0"/>
              <w:rPr>
                <w:rFonts w:hint="eastAsia"/>
                <w:b/>
                <w:bCs/>
              </w:rPr>
            </w:pPr>
            <w:r>
              <w:rPr>
                <w:rFonts w:hint="eastAsia"/>
                <w:b/>
                <w:bCs/>
                <w:lang w:val="en-US" w:eastAsia="zh-CN"/>
              </w:rPr>
              <w:t>产物环节</w:t>
            </w:r>
          </w:p>
        </w:tc>
        <w:tc>
          <w:tcPr>
            <w:tcW w:w="6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A3D887">
            <w:pPr>
              <w:pStyle w:val="43"/>
              <w:bidi w:val="0"/>
              <w:rPr>
                <w:rFonts w:hint="eastAsia"/>
                <w:b/>
                <w:bCs/>
              </w:rPr>
            </w:pPr>
            <w:r>
              <w:rPr>
                <w:rFonts w:hint="eastAsia"/>
                <w:b/>
                <w:bCs/>
                <w:lang w:val="en-US" w:eastAsia="zh-CN"/>
              </w:rPr>
              <w:t>污染物</w:t>
            </w:r>
          </w:p>
        </w:tc>
        <w:tc>
          <w:tcPr>
            <w:tcW w:w="142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E31027B">
            <w:pPr>
              <w:pStyle w:val="43"/>
              <w:bidi w:val="0"/>
              <w:rPr>
                <w:rFonts w:hint="eastAsia"/>
                <w:b/>
                <w:bCs/>
              </w:rPr>
            </w:pPr>
            <w:r>
              <w:rPr>
                <w:rFonts w:hint="eastAsia"/>
                <w:b/>
                <w:bCs/>
                <w:lang w:val="en-US" w:eastAsia="zh-CN"/>
              </w:rPr>
              <w:t>主要污染防治措施</w:t>
            </w:r>
          </w:p>
        </w:tc>
        <w:tc>
          <w:tcPr>
            <w:tcW w:w="1270"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2FBCB03">
            <w:pPr>
              <w:pStyle w:val="43"/>
              <w:bidi w:val="0"/>
              <w:rPr>
                <w:rFonts w:hint="eastAsia"/>
                <w:b/>
                <w:bCs/>
              </w:rPr>
            </w:pPr>
            <w:r>
              <w:rPr>
                <w:rFonts w:hint="eastAsia"/>
                <w:b/>
                <w:bCs/>
                <w:lang w:val="en-US" w:eastAsia="zh-CN"/>
              </w:rPr>
              <w:t>污染物排放标准</w:t>
            </w:r>
          </w:p>
        </w:tc>
        <w:tc>
          <w:tcPr>
            <w:tcW w:w="49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8A7B1E">
            <w:pPr>
              <w:pStyle w:val="43"/>
              <w:bidi w:val="0"/>
              <w:rPr>
                <w:rFonts w:hint="eastAsia"/>
                <w:b/>
                <w:bCs/>
              </w:rPr>
            </w:pPr>
            <w:r>
              <w:rPr>
                <w:rFonts w:hint="eastAsia"/>
                <w:b/>
                <w:bCs/>
                <w:lang w:val="en-US" w:eastAsia="zh-CN"/>
              </w:rPr>
              <w:t>年排放量（</w:t>
            </w:r>
            <w:r>
              <w:rPr>
                <w:rFonts w:hint="default"/>
                <w:b/>
                <w:bCs/>
                <w:lang w:val="en-US" w:eastAsia="zh-CN"/>
              </w:rPr>
              <w:t>t/a</w:t>
            </w:r>
            <w:r>
              <w:rPr>
                <w:rFonts w:hint="eastAsia"/>
                <w:b/>
                <w:bCs/>
                <w:lang w:val="en-US" w:eastAsia="zh-CN"/>
              </w:rPr>
              <w:t>）</w:t>
            </w:r>
          </w:p>
        </w:tc>
      </w:tr>
      <w:tr w14:paraId="64E2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606B0">
            <w:pPr>
              <w:pStyle w:val="43"/>
              <w:bidi w:val="0"/>
              <w:rPr>
                <w:rFonts w:hint="eastAsia"/>
              </w:rPr>
            </w:pPr>
          </w:p>
        </w:tc>
        <w:tc>
          <w:tcPr>
            <w:tcW w:w="7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A9F858">
            <w:pPr>
              <w:pStyle w:val="43"/>
              <w:bidi w:val="0"/>
              <w:rPr>
                <w:rFonts w:hint="eastAsia"/>
              </w:rPr>
            </w:pPr>
          </w:p>
        </w:tc>
        <w:tc>
          <w:tcPr>
            <w:tcW w:w="6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9826C9">
            <w:pPr>
              <w:pStyle w:val="43"/>
              <w:bidi w:val="0"/>
              <w:rPr>
                <w:rFonts w:hint="eastAsia"/>
              </w:rPr>
            </w:pPr>
          </w:p>
        </w:tc>
        <w:tc>
          <w:tcPr>
            <w:tcW w:w="142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60FFC0">
            <w:pPr>
              <w:pStyle w:val="43"/>
              <w:bidi w:val="0"/>
              <w:rPr>
                <w:rFonts w:hint="eastAsia"/>
              </w:rPr>
            </w:pPr>
          </w:p>
        </w:tc>
        <w:tc>
          <w:tcPr>
            <w:tcW w:w="639" w:type="pct"/>
            <w:tcBorders>
              <w:top w:val="nil"/>
              <w:left w:val="single" w:color="000000" w:sz="8" w:space="0"/>
              <w:bottom w:val="single" w:color="000000" w:sz="8" w:space="0"/>
              <w:right w:val="single" w:color="000000" w:sz="8" w:space="0"/>
            </w:tcBorders>
            <w:shd w:val="clear" w:color="auto" w:fill="auto"/>
            <w:vAlign w:val="center"/>
          </w:tcPr>
          <w:p w14:paraId="0F2F43EE">
            <w:pPr>
              <w:pStyle w:val="43"/>
              <w:bidi w:val="0"/>
              <w:rPr>
                <w:rFonts w:hint="eastAsia"/>
                <w:b/>
                <w:bCs/>
              </w:rPr>
            </w:pPr>
            <w:r>
              <w:rPr>
                <w:rFonts w:hint="eastAsia"/>
                <w:b/>
                <w:bCs/>
                <w:lang w:val="en-US" w:eastAsia="zh-CN"/>
              </w:rPr>
              <w:t>标准名称</w:t>
            </w:r>
          </w:p>
        </w:tc>
        <w:tc>
          <w:tcPr>
            <w:tcW w:w="630" w:type="pct"/>
            <w:tcBorders>
              <w:top w:val="nil"/>
              <w:left w:val="single" w:color="000000" w:sz="8" w:space="0"/>
              <w:bottom w:val="single" w:color="000000" w:sz="8" w:space="0"/>
              <w:right w:val="single" w:color="000000" w:sz="8" w:space="0"/>
            </w:tcBorders>
            <w:shd w:val="clear" w:color="auto" w:fill="auto"/>
            <w:vAlign w:val="center"/>
          </w:tcPr>
          <w:p w14:paraId="7D36654C">
            <w:pPr>
              <w:pStyle w:val="43"/>
              <w:bidi w:val="0"/>
              <w:rPr>
                <w:rFonts w:hint="eastAsia"/>
                <w:b/>
                <w:bCs/>
              </w:rPr>
            </w:pPr>
            <w:r>
              <w:rPr>
                <w:rFonts w:hint="eastAsia"/>
                <w:b/>
                <w:bCs/>
                <w:lang w:val="en-US" w:eastAsia="zh-CN"/>
              </w:rPr>
              <w:t>浓度限值</w:t>
            </w:r>
          </w:p>
        </w:tc>
        <w:tc>
          <w:tcPr>
            <w:tcW w:w="49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AD434F">
            <w:pPr>
              <w:pStyle w:val="43"/>
              <w:bidi w:val="0"/>
              <w:rPr>
                <w:rFonts w:hint="eastAsia"/>
              </w:rPr>
            </w:pPr>
          </w:p>
        </w:tc>
      </w:tr>
      <w:tr w14:paraId="1AAC8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5B089CB0">
            <w:pPr>
              <w:pStyle w:val="43"/>
              <w:bidi w:val="0"/>
              <w:rPr>
                <w:rFonts w:hint="default"/>
              </w:rPr>
            </w:pPr>
            <w:r>
              <w:rPr>
                <w:rFonts w:hint="default"/>
                <w:lang w:val="en-US" w:eastAsia="zh-CN"/>
              </w:rPr>
              <w:t>1</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66C5E284">
            <w:pPr>
              <w:pStyle w:val="43"/>
              <w:bidi w:val="0"/>
              <w:rPr>
                <w:rFonts w:hint="eastAsia"/>
              </w:rPr>
            </w:pPr>
            <w:r>
              <w:rPr>
                <w:rFonts w:hint="eastAsia"/>
                <w:lang w:val="en-US" w:eastAsia="zh-CN"/>
              </w:rPr>
              <w:t>露天采场作业及装卸</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2A3EE102">
            <w:pPr>
              <w:pStyle w:val="43"/>
              <w:bidi w:val="0"/>
              <w:rPr>
                <w:rFonts w:hint="eastAsia"/>
              </w:rPr>
            </w:pPr>
            <w:r>
              <w:rPr>
                <w:rFonts w:hint="eastAsia"/>
                <w:lang w:val="en-US" w:eastAsia="zh-CN"/>
              </w:rPr>
              <w:t>颗粒物</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2FD02AFD">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p>
        </w:tc>
        <w:tc>
          <w:tcPr>
            <w:tcW w:w="639" w:type="pct"/>
            <w:vMerge w:val="restart"/>
            <w:tcBorders>
              <w:top w:val="nil"/>
              <w:left w:val="single" w:color="000000" w:sz="8" w:space="0"/>
              <w:bottom w:val="single" w:color="000000" w:sz="8" w:space="0"/>
              <w:right w:val="single" w:color="000000" w:sz="8" w:space="0"/>
            </w:tcBorders>
            <w:shd w:val="clear" w:color="auto" w:fill="auto"/>
            <w:vAlign w:val="center"/>
          </w:tcPr>
          <w:p w14:paraId="671B7343">
            <w:pPr>
              <w:pStyle w:val="43"/>
              <w:bidi w:val="0"/>
              <w:rPr>
                <w:rFonts w:hint="eastAsia"/>
              </w:rPr>
            </w:pPr>
            <w:r>
              <w:rPr>
                <w:rFonts w:hint="eastAsia"/>
                <w:lang w:val="en-US" w:eastAsia="zh-CN"/>
              </w:rPr>
              <w:t>《大气污染物综合排放标准》（</w:t>
            </w:r>
            <w:r>
              <w:rPr>
                <w:rFonts w:hint="default"/>
                <w:lang w:val="en-US" w:eastAsia="zh-CN"/>
              </w:rPr>
              <w:t>GB16297-1996</w:t>
            </w:r>
            <w:r>
              <w:rPr>
                <w:rFonts w:hint="eastAsia"/>
                <w:lang w:val="en-US" w:eastAsia="zh-CN"/>
              </w:rPr>
              <w:t>）表</w:t>
            </w:r>
            <w:r>
              <w:rPr>
                <w:rFonts w:hint="default"/>
                <w:lang w:val="en-US" w:eastAsia="zh-CN"/>
              </w:rPr>
              <w:t>2</w:t>
            </w:r>
            <w:r>
              <w:rPr>
                <w:rFonts w:hint="eastAsia"/>
                <w:lang w:val="en-US" w:eastAsia="zh-CN"/>
              </w:rPr>
              <w:t>标准</w:t>
            </w:r>
          </w:p>
        </w:tc>
        <w:tc>
          <w:tcPr>
            <w:tcW w:w="630" w:type="pct"/>
            <w:vMerge w:val="restart"/>
            <w:tcBorders>
              <w:top w:val="nil"/>
              <w:left w:val="single" w:color="000000" w:sz="8" w:space="0"/>
              <w:bottom w:val="single" w:color="000000" w:sz="8" w:space="0"/>
              <w:right w:val="single" w:color="000000" w:sz="8" w:space="0"/>
            </w:tcBorders>
            <w:shd w:val="clear" w:color="auto" w:fill="auto"/>
            <w:vAlign w:val="center"/>
          </w:tcPr>
          <w:p w14:paraId="3CE0D278">
            <w:pPr>
              <w:pStyle w:val="43"/>
              <w:bidi w:val="0"/>
              <w:rPr>
                <w:rFonts w:hint="default"/>
              </w:rPr>
            </w:pPr>
            <w:r>
              <w:rPr>
                <w:rFonts w:hint="default"/>
                <w:lang w:val="en-US" w:eastAsia="zh-CN"/>
              </w:rPr>
              <w:t>1.0mg/</w:t>
            </w:r>
            <w:r>
              <w:rPr>
                <w:rFonts w:hint="eastAsia"/>
                <w:lang w:val="en-US" w:eastAsia="zh-CN"/>
              </w:rPr>
              <w:t>m</w:t>
            </w:r>
            <w:r>
              <w:rPr>
                <w:rFonts w:hint="eastAsia"/>
                <w:vertAlign w:val="superscript"/>
                <w:lang w:val="en-US" w:eastAsia="zh-CN"/>
              </w:rPr>
              <w:t>3</w:t>
            </w:r>
          </w:p>
        </w:tc>
        <w:tc>
          <w:tcPr>
            <w:tcW w:w="497" w:type="pct"/>
            <w:tcBorders>
              <w:top w:val="nil"/>
              <w:left w:val="single" w:color="000000" w:sz="8" w:space="0"/>
              <w:bottom w:val="single" w:color="000000" w:sz="8" w:space="0"/>
              <w:right w:val="single" w:color="000000" w:sz="8" w:space="0"/>
            </w:tcBorders>
            <w:shd w:val="clear" w:color="auto" w:fill="auto"/>
            <w:vAlign w:val="center"/>
          </w:tcPr>
          <w:p w14:paraId="691DCD21">
            <w:pPr>
              <w:pStyle w:val="43"/>
              <w:bidi w:val="0"/>
              <w:rPr>
                <w:rFonts w:hint="default"/>
              </w:rPr>
            </w:pPr>
            <w:r>
              <w:rPr>
                <w:rFonts w:hint="default"/>
                <w:lang w:val="en-US" w:eastAsia="zh-CN"/>
              </w:rPr>
              <w:t xml:space="preserve">1.42 </w:t>
            </w:r>
          </w:p>
        </w:tc>
      </w:tr>
      <w:tr w14:paraId="725F1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62CE7471">
            <w:pPr>
              <w:pStyle w:val="43"/>
              <w:bidi w:val="0"/>
              <w:rPr>
                <w:rFonts w:hint="default"/>
              </w:rPr>
            </w:pPr>
            <w:r>
              <w:rPr>
                <w:rFonts w:hint="default"/>
                <w:lang w:val="en-US" w:eastAsia="zh-CN"/>
              </w:rPr>
              <w:t>2</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51AA8864">
            <w:pPr>
              <w:pStyle w:val="43"/>
              <w:bidi w:val="0"/>
              <w:rPr>
                <w:rFonts w:hint="eastAsia"/>
              </w:rPr>
            </w:pPr>
            <w:r>
              <w:rPr>
                <w:rFonts w:hint="eastAsia"/>
                <w:lang w:val="en-US" w:eastAsia="zh-CN"/>
              </w:rPr>
              <w:t>表土堆场风蚀</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79AC942E">
            <w:pPr>
              <w:pStyle w:val="43"/>
              <w:bidi w:val="0"/>
              <w:rPr>
                <w:rFonts w:hint="eastAsia"/>
              </w:rPr>
            </w:pPr>
            <w:r>
              <w:rPr>
                <w:rFonts w:hint="eastAsia"/>
                <w:lang w:val="en-US" w:eastAsia="zh-CN"/>
              </w:rPr>
              <w:t>颗粒物</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568ECE5F">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p>
        </w:tc>
        <w:tc>
          <w:tcPr>
            <w:tcW w:w="639" w:type="pct"/>
            <w:vMerge w:val="continue"/>
            <w:tcBorders>
              <w:top w:val="nil"/>
              <w:left w:val="single" w:color="000000" w:sz="8" w:space="0"/>
              <w:bottom w:val="single" w:color="000000" w:sz="8" w:space="0"/>
              <w:right w:val="single" w:color="000000" w:sz="8" w:space="0"/>
            </w:tcBorders>
            <w:shd w:val="clear" w:color="auto" w:fill="auto"/>
            <w:vAlign w:val="center"/>
          </w:tcPr>
          <w:p w14:paraId="57883AE0">
            <w:pPr>
              <w:pStyle w:val="43"/>
              <w:bidi w:val="0"/>
              <w:rPr>
                <w:rFonts w:hint="eastAsia"/>
              </w:rPr>
            </w:pPr>
          </w:p>
        </w:tc>
        <w:tc>
          <w:tcPr>
            <w:tcW w:w="630" w:type="pct"/>
            <w:vMerge w:val="continue"/>
            <w:tcBorders>
              <w:top w:val="nil"/>
              <w:left w:val="single" w:color="000000" w:sz="8" w:space="0"/>
              <w:bottom w:val="single" w:color="000000" w:sz="8" w:space="0"/>
              <w:right w:val="single" w:color="000000" w:sz="8" w:space="0"/>
            </w:tcBorders>
            <w:shd w:val="clear" w:color="auto" w:fill="auto"/>
            <w:vAlign w:val="center"/>
          </w:tcPr>
          <w:p w14:paraId="416F9CF1">
            <w:pPr>
              <w:pStyle w:val="43"/>
              <w:bidi w:val="0"/>
              <w:rPr>
                <w:rFonts w:hint="default"/>
              </w:rPr>
            </w:pPr>
          </w:p>
        </w:tc>
        <w:tc>
          <w:tcPr>
            <w:tcW w:w="497" w:type="pct"/>
            <w:tcBorders>
              <w:top w:val="nil"/>
              <w:left w:val="single" w:color="000000" w:sz="8" w:space="0"/>
              <w:bottom w:val="single" w:color="000000" w:sz="8" w:space="0"/>
              <w:right w:val="single" w:color="000000" w:sz="8" w:space="0"/>
            </w:tcBorders>
            <w:shd w:val="clear" w:color="auto" w:fill="auto"/>
            <w:vAlign w:val="center"/>
          </w:tcPr>
          <w:p w14:paraId="5BCC298E">
            <w:pPr>
              <w:pStyle w:val="43"/>
              <w:bidi w:val="0"/>
              <w:rPr>
                <w:rFonts w:hint="default"/>
              </w:rPr>
            </w:pPr>
            <w:r>
              <w:rPr>
                <w:rFonts w:hint="default"/>
                <w:lang w:val="en-US" w:eastAsia="zh-CN"/>
              </w:rPr>
              <w:t xml:space="preserve">0.93 </w:t>
            </w:r>
          </w:p>
        </w:tc>
      </w:tr>
      <w:tr w14:paraId="1347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39E6F8BA">
            <w:pPr>
              <w:pStyle w:val="43"/>
              <w:bidi w:val="0"/>
              <w:rPr>
                <w:rFonts w:hint="default"/>
              </w:rPr>
            </w:pPr>
            <w:r>
              <w:rPr>
                <w:rFonts w:hint="default"/>
                <w:lang w:val="en-US" w:eastAsia="zh-CN"/>
              </w:rPr>
              <w:t>3</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42A9FF8E">
            <w:pPr>
              <w:pStyle w:val="43"/>
              <w:bidi w:val="0"/>
              <w:rPr>
                <w:rFonts w:hint="eastAsia"/>
              </w:rPr>
            </w:pPr>
            <w:r>
              <w:rPr>
                <w:rFonts w:hint="eastAsia"/>
                <w:lang w:val="en-US" w:eastAsia="zh-CN"/>
              </w:rPr>
              <w:t>运输过程</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7E2D12A4">
            <w:pPr>
              <w:pStyle w:val="43"/>
              <w:bidi w:val="0"/>
              <w:rPr>
                <w:rFonts w:hint="eastAsia"/>
              </w:rPr>
            </w:pPr>
            <w:r>
              <w:rPr>
                <w:rFonts w:hint="eastAsia"/>
                <w:lang w:val="en-US" w:eastAsia="zh-CN"/>
              </w:rPr>
              <w:t>颗粒物</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5F839B83">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r>
              <w:rPr>
                <w:rFonts w:hint="default"/>
                <w:lang w:val="en-US" w:eastAsia="zh-CN"/>
              </w:rPr>
              <w:t>+</w:t>
            </w:r>
            <w:r>
              <w:rPr>
                <w:rFonts w:hint="eastAsia"/>
                <w:lang w:val="en-US" w:eastAsia="zh-CN"/>
              </w:rPr>
              <w:t>物料篷布覆盖</w:t>
            </w:r>
          </w:p>
        </w:tc>
        <w:tc>
          <w:tcPr>
            <w:tcW w:w="639" w:type="pct"/>
            <w:vMerge w:val="continue"/>
            <w:tcBorders>
              <w:top w:val="nil"/>
              <w:left w:val="single" w:color="000000" w:sz="8" w:space="0"/>
              <w:bottom w:val="single" w:color="000000" w:sz="8" w:space="0"/>
              <w:right w:val="single" w:color="000000" w:sz="8" w:space="0"/>
            </w:tcBorders>
            <w:shd w:val="clear" w:color="auto" w:fill="auto"/>
            <w:vAlign w:val="center"/>
          </w:tcPr>
          <w:p w14:paraId="54F25758">
            <w:pPr>
              <w:pStyle w:val="43"/>
              <w:bidi w:val="0"/>
              <w:rPr>
                <w:rFonts w:hint="eastAsia"/>
              </w:rPr>
            </w:pPr>
          </w:p>
        </w:tc>
        <w:tc>
          <w:tcPr>
            <w:tcW w:w="630" w:type="pct"/>
            <w:vMerge w:val="continue"/>
            <w:tcBorders>
              <w:top w:val="nil"/>
              <w:left w:val="single" w:color="000000" w:sz="8" w:space="0"/>
              <w:bottom w:val="single" w:color="000000" w:sz="8" w:space="0"/>
              <w:right w:val="single" w:color="000000" w:sz="8" w:space="0"/>
            </w:tcBorders>
            <w:shd w:val="clear" w:color="auto" w:fill="auto"/>
            <w:vAlign w:val="center"/>
          </w:tcPr>
          <w:p w14:paraId="63844C31">
            <w:pPr>
              <w:pStyle w:val="43"/>
              <w:bidi w:val="0"/>
              <w:rPr>
                <w:rFonts w:hint="default"/>
              </w:rPr>
            </w:pPr>
          </w:p>
        </w:tc>
        <w:tc>
          <w:tcPr>
            <w:tcW w:w="497" w:type="pct"/>
            <w:tcBorders>
              <w:top w:val="nil"/>
              <w:left w:val="single" w:color="000000" w:sz="8" w:space="0"/>
              <w:bottom w:val="single" w:color="000000" w:sz="8" w:space="0"/>
              <w:right w:val="single" w:color="000000" w:sz="8" w:space="0"/>
            </w:tcBorders>
            <w:shd w:val="clear" w:color="auto" w:fill="auto"/>
            <w:vAlign w:val="center"/>
          </w:tcPr>
          <w:p w14:paraId="795F2EFA">
            <w:pPr>
              <w:pStyle w:val="43"/>
              <w:bidi w:val="0"/>
              <w:rPr>
                <w:rFonts w:hint="default"/>
              </w:rPr>
            </w:pPr>
            <w:r>
              <w:rPr>
                <w:rFonts w:hint="default"/>
                <w:lang w:val="en-US" w:eastAsia="zh-CN"/>
              </w:rPr>
              <w:t xml:space="preserve">1.50 </w:t>
            </w:r>
          </w:p>
        </w:tc>
      </w:tr>
      <w:tr w14:paraId="2BE0A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7544B24F">
            <w:pPr>
              <w:pStyle w:val="43"/>
              <w:bidi w:val="0"/>
              <w:rPr>
                <w:rFonts w:hint="default"/>
              </w:rPr>
            </w:pPr>
            <w:r>
              <w:rPr>
                <w:rFonts w:hint="default"/>
                <w:lang w:val="en-US" w:eastAsia="zh-CN"/>
              </w:rPr>
              <w:t>4</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3126961A">
            <w:pPr>
              <w:pStyle w:val="43"/>
              <w:bidi w:val="0"/>
              <w:rPr>
                <w:rFonts w:hint="eastAsia"/>
              </w:rPr>
            </w:pPr>
            <w:r>
              <w:rPr>
                <w:rFonts w:hint="eastAsia"/>
                <w:lang w:val="en-US" w:eastAsia="zh-CN"/>
              </w:rPr>
              <w:t>加工区产品储存、装卸粉尘</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78684B51">
            <w:pPr>
              <w:pStyle w:val="43"/>
              <w:bidi w:val="0"/>
              <w:rPr>
                <w:rFonts w:hint="eastAsia"/>
              </w:rPr>
            </w:pPr>
            <w:r>
              <w:rPr>
                <w:rFonts w:hint="eastAsia"/>
                <w:lang w:val="en-US" w:eastAsia="zh-CN"/>
              </w:rPr>
              <w:t>颗粒物</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392C889E">
            <w:pPr>
              <w:pStyle w:val="43"/>
              <w:bidi w:val="0"/>
              <w:rPr>
                <w:rFonts w:hint="eastAsia"/>
              </w:rPr>
            </w:pPr>
            <w:r>
              <w:rPr>
                <w:rFonts w:hint="eastAsia"/>
                <w:lang w:val="en-US" w:eastAsia="zh-CN"/>
              </w:rPr>
              <w:t>厂房密封</w:t>
            </w:r>
            <w:r>
              <w:rPr>
                <w:rFonts w:hint="default"/>
                <w:lang w:val="en-US" w:eastAsia="zh-CN"/>
              </w:rPr>
              <w:t>+</w:t>
            </w:r>
            <w:r>
              <w:rPr>
                <w:rFonts w:hint="eastAsia"/>
                <w:lang w:val="en-US" w:eastAsia="zh-CN"/>
              </w:rPr>
              <w:t>厂房喷雾系统</w:t>
            </w:r>
          </w:p>
        </w:tc>
        <w:tc>
          <w:tcPr>
            <w:tcW w:w="639" w:type="pct"/>
            <w:vMerge w:val="continue"/>
            <w:tcBorders>
              <w:top w:val="nil"/>
              <w:left w:val="single" w:color="000000" w:sz="8" w:space="0"/>
              <w:bottom w:val="single" w:color="000000" w:sz="8" w:space="0"/>
              <w:right w:val="single" w:color="000000" w:sz="8" w:space="0"/>
            </w:tcBorders>
            <w:shd w:val="clear" w:color="auto" w:fill="auto"/>
            <w:vAlign w:val="center"/>
          </w:tcPr>
          <w:p w14:paraId="65CF15A6">
            <w:pPr>
              <w:pStyle w:val="43"/>
              <w:bidi w:val="0"/>
              <w:rPr>
                <w:rFonts w:hint="eastAsia"/>
              </w:rPr>
            </w:pPr>
          </w:p>
        </w:tc>
        <w:tc>
          <w:tcPr>
            <w:tcW w:w="630" w:type="pct"/>
            <w:vMerge w:val="continue"/>
            <w:tcBorders>
              <w:top w:val="nil"/>
              <w:left w:val="single" w:color="000000" w:sz="8" w:space="0"/>
              <w:bottom w:val="single" w:color="000000" w:sz="8" w:space="0"/>
              <w:right w:val="single" w:color="000000" w:sz="8" w:space="0"/>
            </w:tcBorders>
            <w:shd w:val="clear" w:color="auto" w:fill="auto"/>
            <w:vAlign w:val="center"/>
          </w:tcPr>
          <w:p w14:paraId="0A78710D">
            <w:pPr>
              <w:pStyle w:val="43"/>
              <w:bidi w:val="0"/>
              <w:rPr>
                <w:rFonts w:hint="default"/>
              </w:rPr>
            </w:pPr>
          </w:p>
        </w:tc>
        <w:tc>
          <w:tcPr>
            <w:tcW w:w="497" w:type="pct"/>
            <w:tcBorders>
              <w:top w:val="nil"/>
              <w:left w:val="single" w:color="000000" w:sz="8" w:space="0"/>
              <w:bottom w:val="single" w:color="000000" w:sz="8" w:space="0"/>
              <w:right w:val="single" w:color="000000" w:sz="8" w:space="0"/>
            </w:tcBorders>
            <w:shd w:val="clear" w:color="auto" w:fill="auto"/>
            <w:vAlign w:val="center"/>
          </w:tcPr>
          <w:p w14:paraId="0943541D">
            <w:pPr>
              <w:pStyle w:val="43"/>
              <w:bidi w:val="0"/>
              <w:rPr>
                <w:rFonts w:hint="default"/>
              </w:rPr>
            </w:pPr>
            <w:r>
              <w:rPr>
                <w:rFonts w:hint="default"/>
                <w:lang w:val="en-US" w:eastAsia="zh-CN"/>
              </w:rPr>
              <w:t xml:space="preserve">0.25 </w:t>
            </w:r>
          </w:p>
        </w:tc>
      </w:tr>
      <w:tr w14:paraId="7AE8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7B19E12D">
            <w:pPr>
              <w:pStyle w:val="43"/>
              <w:bidi w:val="0"/>
              <w:rPr>
                <w:rFonts w:hint="default"/>
              </w:rPr>
            </w:pPr>
            <w:r>
              <w:rPr>
                <w:rFonts w:hint="default"/>
                <w:lang w:val="en-US" w:eastAsia="zh-CN"/>
              </w:rPr>
              <w:t>5</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42AE4A84">
            <w:pPr>
              <w:pStyle w:val="43"/>
              <w:bidi w:val="0"/>
              <w:rPr>
                <w:rFonts w:hint="eastAsia"/>
              </w:rPr>
            </w:pPr>
            <w:r>
              <w:rPr>
                <w:rFonts w:hint="eastAsia"/>
                <w:lang w:val="en-US" w:eastAsia="zh-CN"/>
              </w:rPr>
              <w:t>加工区加工</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5D71BC9C">
            <w:pPr>
              <w:pStyle w:val="43"/>
              <w:bidi w:val="0"/>
              <w:rPr>
                <w:rFonts w:hint="eastAsia"/>
              </w:rPr>
            </w:pPr>
            <w:r>
              <w:rPr>
                <w:rFonts w:hint="eastAsia"/>
                <w:lang w:val="en-US" w:eastAsia="zh-CN"/>
              </w:rPr>
              <w:t>颗粒物</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50D6DDD7">
            <w:pPr>
              <w:pStyle w:val="43"/>
              <w:bidi w:val="0"/>
              <w:rPr>
                <w:rFonts w:hint="eastAsia"/>
              </w:rPr>
            </w:pPr>
            <w:r>
              <w:rPr>
                <w:rFonts w:hint="eastAsia"/>
                <w:lang w:val="en-US" w:eastAsia="zh-CN"/>
              </w:rPr>
              <w:t>厂房密封</w:t>
            </w:r>
            <w:r>
              <w:rPr>
                <w:rFonts w:hint="default"/>
                <w:lang w:val="en-US" w:eastAsia="zh-CN"/>
              </w:rPr>
              <w:t>+</w:t>
            </w:r>
            <w:r>
              <w:rPr>
                <w:rFonts w:hint="eastAsia"/>
                <w:lang w:val="en-US" w:eastAsia="zh-CN"/>
              </w:rPr>
              <w:t>厂房喷雾系统</w:t>
            </w:r>
          </w:p>
        </w:tc>
        <w:tc>
          <w:tcPr>
            <w:tcW w:w="639" w:type="pct"/>
            <w:vMerge w:val="continue"/>
            <w:tcBorders>
              <w:top w:val="nil"/>
              <w:left w:val="single" w:color="000000" w:sz="8" w:space="0"/>
              <w:bottom w:val="single" w:color="000000" w:sz="8" w:space="0"/>
              <w:right w:val="single" w:color="000000" w:sz="8" w:space="0"/>
            </w:tcBorders>
            <w:shd w:val="clear" w:color="auto" w:fill="auto"/>
            <w:vAlign w:val="center"/>
          </w:tcPr>
          <w:p w14:paraId="22507913">
            <w:pPr>
              <w:pStyle w:val="43"/>
              <w:bidi w:val="0"/>
              <w:rPr>
                <w:rFonts w:hint="eastAsia"/>
              </w:rPr>
            </w:pPr>
          </w:p>
        </w:tc>
        <w:tc>
          <w:tcPr>
            <w:tcW w:w="630" w:type="pct"/>
            <w:vMerge w:val="continue"/>
            <w:tcBorders>
              <w:top w:val="nil"/>
              <w:left w:val="single" w:color="000000" w:sz="8" w:space="0"/>
              <w:bottom w:val="single" w:color="000000" w:sz="8" w:space="0"/>
              <w:right w:val="single" w:color="000000" w:sz="8" w:space="0"/>
            </w:tcBorders>
            <w:shd w:val="clear" w:color="auto" w:fill="auto"/>
            <w:vAlign w:val="center"/>
          </w:tcPr>
          <w:p w14:paraId="66C77293">
            <w:pPr>
              <w:pStyle w:val="43"/>
              <w:bidi w:val="0"/>
              <w:rPr>
                <w:rFonts w:hint="default"/>
              </w:rPr>
            </w:pPr>
          </w:p>
        </w:tc>
        <w:tc>
          <w:tcPr>
            <w:tcW w:w="497" w:type="pct"/>
            <w:tcBorders>
              <w:top w:val="nil"/>
              <w:left w:val="single" w:color="000000" w:sz="8" w:space="0"/>
              <w:bottom w:val="single" w:color="000000" w:sz="8" w:space="0"/>
              <w:right w:val="single" w:color="000000" w:sz="8" w:space="0"/>
            </w:tcBorders>
            <w:shd w:val="clear" w:color="auto" w:fill="auto"/>
            <w:vAlign w:val="center"/>
          </w:tcPr>
          <w:p w14:paraId="1892DA33">
            <w:pPr>
              <w:pStyle w:val="43"/>
              <w:bidi w:val="0"/>
              <w:rPr>
                <w:rFonts w:hint="default"/>
              </w:rPr>
            </w:pPr>
            <w:r>
              <w:rPr>
                <w:rFonts w:hint="default"/>
                <w:lang w:val="en-US" w:eastAsia="zh-CN"/>
              </w:rPr>
              <w:t xml:space="preserve">2.33 </w:t>
            </w:r>
          </w:p>
        </w:tc>
      </w:tr>
      <w:tr w14:paraId="0F3B9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6E091636">
            <w:pPr>
              <w:pStyle w:val="43"/>
              <w:bidi w:val="0"/>
              <w:rPr>
                <w:rFonts w:hint="default"/>
              </w:rPr>
            </w:pPr>
            <w:r>
              <w:rPr>
                <w:rFonts w:hint="default"/>
                <w:lang w:val="en-US" w:eastAsia="zh-CN"/>
              </w:rPr>
              <w:t>6</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6509B106">
            <w:pPr>
              <w:pStyle w:val="43"/>
              <w:bidi w:val="0"/>
              <w:rPr>
                <w:rFonts w:hint="eastAsia"/>
              </w:rPr>
            </w:pPr>
            <w:r>
              <w:rPr>
                <w:rFonts w:hint="eastAsia"/>
                <w:lang w:val="en-US" w:eastAsia="zh-CN"/>
              </w:rPr>
              <w:t>爆破过程</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14845199">
            <w:pPr>
              <w:pStyle w:val="43"/>
              <w:bidi w:val="0"/>
              <w:rPr>
                <w:rFonts w:hint="default"/>
              </w:rPr>
            </w:pPr>
            <w:r>
              <w:rPr>
                <w:rFonts w:hint="default"/>
                <w:lang w:val="en-US" w:eastAsia="zh-CN"/>
              </w:rPr>
              <w:t>CO</w:t>
            </w:r>
            <w:r>
              <w:rPr>
                <w:rFonts w:hint="eastAsia"/>
                <w:lang w:val="en-US" w:eastAsia="zh-CN"/>
              </w:rPr>
              <w:t>、</w:t>
            </w:r>
            <w:r>
              <w:rPr>
                <w:rFonts w:hint="default"/>
                <w:lang w:val="en-US" w:eastAsia="zh-CN"/>
              </w:rPr>
              <w:t>NO</w:t>
            </w:r>
            <w:r>
              <w:rPr>
                <w:rFonts w:hint="default"/>
                <w:vertAlign w:val="subscript"/>
                <w:lang w:val="en-US" w:eastAsia="zh-CN"/>
              </w:rPr>
              <w:t>X</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0E794E46">
            <w:pPr>
              <w:pStyle w:val="43"/>
              <w:bidi w:val="0"/>
              <w:rPr>
                <w:rFonts w:hint="eastAsia"/>
              </w:rPr>
            </w:pPr>
            <w:r>
              <w:rPr>
                <w:rFonts w:hint="eastAsia"/>
                <w:lang w:val="en-US" w:eastAsia="zh-CN"/>
              </w:rPr>
              <w:t>大气稀释自然扩散</w:t>
            </w:r>
          </w:p>
        </w:tc>
        <w:tc>
          <w:tcPr>
            <w:tcW w:w="639" w:type="pct"/>
            <w:tcBorders>
              <w:top w:val="nil"/>
              <w:left w:val="single" w:color="000000" w:sz="8" w:space="0"/>
              <w:bottom w:val="single" w:color="000000" w:sz="8" w:space="0"/>
              <w:right w:val="single" w:color="000000" w:sz="8" w:space="0"/>
            </w:tcBorders>
            <w:shd w:val="clear" w:color="auto" w:fill="auto"/>
            <w:vAlign w:val="center"/>
          </w:tcPr>
          <w:p w14:paraId="58701322">
            <w:pPr>
              <w:pStyle w:val="43"/>
              <w:bidi w:val="0"/>
              <w:rPr>
                <w:rFonts w:hint="default"/>
              </w:rPr>
            </w:pPr>
            <w:r>
              <w:rPr>
                <w:rFonts w:hint="default"/>
                <w:lang w:val="en-US" w:eastAsia="zh-CN"/>
              </w:rPr>
              <w:t>/</w:t>
            </w:r>
          </w:p>
        </w:tc>
        <w:tc>
          <w:tcPr>
            <w:tcW w:w="630" w:type="pct"/>
            <w:tcBorders>
              <w:top w:val="nil"/>
              <w:left w:val="single" w:color="000000" w:sz="8" w:space="0"/>
              <w:bottom w:val="single" w:color="000000" w:sz="8" w:space="0"/>
              <w:right w:val="single" w:color="000000" w:sz="8" w:space="0"/>
            </w:tcBorders>
            <w:shd w:val="clear" w:color="auto" w:fill="auto"/>
            <w:vAlign w:val="center"/>
          </w:tcPr>
          <w:p w14:paraId="10B0C4BB">
            <w:pPr>
              <w:pStyle w:val="43"/>
              <w:bidi w:val="0"/>
              <w:rPr>
                <w:rFonts w:hint="default"/>
              </w:rPr>
            </w:pPr>
            <w:r>
              <w:rPr>
                <w:rFonts w:hint="default"/>
                <w:lang w:val="en-US" w:eastAsia="zh-CN"/>
              </w:rPr>
              <w:t>/</w:t>
            </w:r>
          </w:p>
        </w:tc>
        <w:tc>
          <w:tcPr>
            <w:tcW w:w="497" w:type="pct"/>
            <w:vMerge w:val="restart"/>
            <w:tcBorders>
              <w:top w:val="nil"/>
              <w:left w:val="single" w:color="000000" w:sz="8" w:space="0"/>
              <w:right w:val="single" w:color="000000" w:sz="8" w:space="0"/>
            </w:tcBorders>
            <w:shd w:val="clear" w:color="auto" w:fill="auto"/>
            <w:vAlign w:val="center"/>
          </w:tcPr>
          <w:p w14:paraId="531BC19E">
            <w:pPr>
              <w:pStyle w:val="43"/>
              <w:bidi w:val="0"/>
              <w:rPr>
                <w:rFonts w:hint="eastAsia"/>
              </w:rPr>
            </w:pPr>
            <w:r>
              <w:rPr>
                <w:rFonts w:hint="eastAsia"/>
                <w:lang w:val="en-US" w:eastAsia="zh-CN"/>
              </w:rPr>
              <w:t>产生量较小，本次不再定量核算</w:t>
            </w:r>
          </w:p>
        </w:tc>
      </w:tr>
      <w:tr w14:paraId="4FF7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56CD778E">
            <w:pPr>
              <w:pStyle w:val="43"/>
              <w:bidi w:val="0"/>
              <w:rPr>
                <w:rFonts w:hint="default"/>
              </w:rPr>
            </w:pPr>
            <w:r>
              <w:rPr>
                <w:rFonts w:hint="default"/>
                <w:lang w:val="en-US" w:eastAsia="zh-CN"/>
              </w:rPr>
              <w:t>7</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436ED540">
            <w:pPr>
              <w:pStyle w:val="43"/>
              <w:bidi w:val="0"/>
              <w:rPr>
                <w:rFonts w:hint="eastAsia"/>
              </w:rPr>
            </w:pPr>
            <w:r>
              <w:rPr>
                <w:rFonts w:hint="eastAsia"/>
                <w:lang w:val="en-US" w:eastAsia="zh-CN"/>
              </w:rPr>
              <w:t>各类燃油机械使用</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6C531C64">
            <w:pPr>
              <w:pStyle w:val="43"/>
              <w:bidi w:val="0"/>
              <w:rPr>
                <w:rFonts w:hint="default"/>
              </w:rPr>
            </w:pPr>
            <w:r>
              <w:rPr>
                <w:rFonts w:hint="default"/>
                <w:lang w:val="en-US" w:eastAsia="zh-CN"/>
              </w:rPr>
              <w:t>CO</w:t>
            </w:r>
            <w:r>
              <w:rPr>
                <w:rFonts w:hint="eastAsia"/>
                <w:lang w:val="en-US" w:eastAsia="zh-CN"/>
              </w:rPr>
              <w:t>、</w:t>
            </w:r>
            <w:r>
              <w:rPr>
                <w:rFonts w:hint="default"/>
                <w:lang w:val="en-US" w:eastAsia="zh-CN"/>
              </w:rPr>
              <w:t>NOx</w:t>
            </w:r>
            <w:r>
              <w:rPr>
                <w:rFonts w:hint="eastAsia"/>
                <w:lang w:val="en-US" w:eastAsia="zh-CN"/>
              </w:rPr>
              <w:t>、（</w:t>
            </w:r>
            <w:r>
              <w:rPr>
                <w:rFonts w:hint="default"/>
                <w:lang w:val="en-US" w:eastAsia="zh-CN"/>
              </w:rPr>
              <w:t>THC</w:t>
            </w:r>
            <w:r>
              <w:rPr>
                <w:rFonts w:hint="eastAsia"/>
                <w:lang w:val="en-US" w:eastAsia="zh-CN"/>
              </w:rPr>
              <w:t>）等</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2C95B71C">
            <w:pPr>
              <w:pStyle w:val="43"/>
              <w:bidi w:val="0"/>
              <w:rPr>
                <w:rFonts w:hint="eastAsia"/>
              </w:rPr>
            </w:pPr>
            <w:r>
              <w:rPr>
                <w:rFonts w:hint="eastAsia"/>
                <w:lang w:val="en-US" w:eastAsia="zh-CN"/>
              </w:rPr>
              <w:t>大气稀释自然扩散</w:t>
            </w:r>
          </w:p>
        </w:tc>
        <w:tc>
          <w:tcPr>
            <w:tcW w:w="639" w:type="pct"/>
            <w:tcBorders>
              <w:top w:val="nil"/>
              <w:left w:val="single" w:color="000000" w:sz="8" w:space="0"/>
              <w:bottom w:val="single" w:color="000000" w:sz="8" w:space="0"/>
              <w:right w:val="single" w:color="000000" w:sz="8" w:space="0"/>
            </w:tcBorders>
            <w:shd w:val="clear" w:color="auto" w:fill="auto"/>
            <w:vAlign w:val="center"/>
          </w:tcPr>
          <w:p w14:paraId="07DC96C6">
            <w:pPr>
              <w:pStyle w:val="43"/>
              <w:bidi w:val="0"/>
              <w:rPr>
                <w:rFonts w:hint="default"/>
              </w:rPr>
            </w:pPr>
            <w:r>
              <w:rPr>
                <w:rFonts w:hint="default"/>
                <w:lang w:val="en-US" w:eastAsia="zh-CN"/>
              </w:rPr>
              <w:t>/</w:t>
            </w:r>
          </w:p>
        </w:tc>
        <w:tc>
          <w:tcPr>
            <w:tcW w:w="630" w:type="pct"/>
            <w:tcBorders>
              <w:top w:val="nil"/>
              <w:left w:val="single" w:color="000000" w:sz="8" w:space="0"/>
              <w:bottom w:val="single" w:color="000000" w:sz="8" w:space="0"/>
              <w:right w:val="single" w:color="000000" w:sz="8" w:space="0"/>
            </w:tcBorders>
            <w:shd w:val="clear" w:color="auto" w:fill="auto"/>
            <w:vAlign w:val="center"/>
          </w:tcPr>
          <w:p w14:paraId="2E2CB71E">
            <w:pPr>
              <w:pStyle w:val="43"/>
              <w:bidi w:val="0"/>
              <w:rPr>
                <w:rFonts w:hint="default"/>
              </w:rPr>
            </w:pPr>
            <w:r>
              <w:rPr>
                <w:rFonts w:hint="default"/>
                <w:lang w:val="en-US" w:eastAsia="zh-CN"/>
              </w:rPr>
              <w:t>/</w:t>
            </w:r>
          </w:p>
        </w:tc>
        <w:tc>
          <w:tcPr>
            <w:tcW w:w="497" w:type="pct"/>
            <w:vMerge w:val="continue"/>
            <w:tcBorders>
              <w:left w:val="single" w:color="000000" w:sz="8" w:space="0"/>
              <w:right w:val="single" w:color="000000" w:sz="8" w:space="0"/>
            </w:tcBorders>
            <w:shd w:val="clear" w:color="auto" w:fill="auto"/>
            <w:vAlign w:val="center"/>
          </w:tcPr>
          <w:p w14:paraId="689111D3">
            <w:pPr>
              <w:pStyle w:val="43"/>
              <w:bidi w:val="0"/>
              <w:rPr>
                <w:rFonts w:hint="eastAsia"/>
              </w:rPr>
            </w:pPr>
          </w:p>
        </w:tc>
      </w:tr>
      <w:tr w14:paraId="4FB21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52" w:type="pct"/>
            <w:tcBorders>
              <w:top w:val="nil"/>
              <w:left w:val="single" w:color="000000" w:sz="8" w:space="0"/>
              <w:bottom w:val="single" w:color="000000" w:sz="8" w:space="0"/>
              <w:right w:val="single" w:color="000000" w:sz="8" w:space="0"/>
            </w:tcBorders>
            <w:shd w:val="clear" w:color="auto" w:fill="auto"/>
            <w:vAlign w:val="center"/>
          </w:tcPr>
          <w:p w14:paraId="10C53FFE">
            <w:pPr>
              <w:pStyle w:val="43"/>
              <w:bidi w:val="0"/>
              <w:rPr>
                <w:rFonts w:hint="default"/>
                <w:lang w:val="en-US" w:eastAsia="zh-CN"/>
              </w:rPr>
            </w:pPr>
            <w:r>
              <w:rPr>
                <w:rFonts w:hint="eastAsia"/>
                <w:lang w:val="en-US" w:eastAsia="zh-CN"/>
              </w:rPr>
              <w:t>8</w:t>
            </w:r>
          </w:p>
        </w:tc>
        <w:tc>
          <w:tcPr>
            <w:tcW w:w="781" w:type="pct"/>
            <w:tcBorders>
              <w:top w:val="nil"/>
              <w:left w:val="single" w:color="000000" w:sz="8" w:space="0"/>
              <w:bottom w:val="single" w:color="000000" w:sz="8" w:space="0"/>
              <w:right w:val="single" w:color="000000" w:sz="8" w:space="0"/>
            </w:tcBorders>
            <w:shd w:val="clear" w:color="auto" w:fill="auto"/>
            <w:vAlign w:val="center"/>
          </w:tcPr>
          <w:p w14:paraId="68D30342">
            <w:pPr>
              <w:pStyle w:val="43"/>
              <w:bidi w:val="0"/>
              <w:rPr>
                <w:rFonts w:hint="default"/>
                <w:lang w:val="en-US" w:eastAsia="zh-CN"/>
              </w:rPr>
            </w:pPr>
            <w:r>
              <w:rPr>
                <w:rFonts w:hint="eastAsia"/>
                <w:lang w:val="en-US" w:eastAsia="zh-CN"/>
              </w:rPr>
              <w:t>粪污收集池、垃圾桶</w:t>
            </w:r>
          </w:p>
        </w:tc>
        <w:tc>
          <w:tcPr>
            <w:tcW w:w="669" w:type="pct"/>
            <w:tcBorders>
              <w:top w:val="nil"/>
              <w:left w:val="single" w:color="000000" w:sz="8" w:space="0"/>
              <w:bottom w:val="single" w:color="000000" w:sz="8" w:space="0"/>
              <w:right w:val="single" w:color="000000" w:sz="8" w:space="0"/>
            </w:tcBorders>
            <w:shd w:val="clear" w:color="auto" w:fill="auto"/>
            <w:vAlign w:val="center"/>
          </w:tcPr>
          <w:p w14:paraId="52D6A071">
            <w:pPr>
              <w:pStyle w:val="43"/>
              <w:bidi w:val="0"/>
              <w:rPr>
                <w:rFonts w:hint="default"/>
                <w:lang w:val="en-US" w:eastAsia="zh-CN"/>
              </w:rPr>
            </w:pPr>
            <w:r>
              <w:rPr>
                <w:rFonts w:hint="eastAsia"/>
                <w:lang w:val="en-US" w:eastAsia="zh-CN"/>
              </w:rPr>
              <w:t>臭气浓度</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215C1F2E">
            <w:pPr>
              <w:pStyle w:val="43"/>
              <w:keepNext/>
              <w:keepLines w:val="0"/>
              <w:pageBreakBefore w:val="0"/>
              <w:widowControl w:val="0"/>
              <w:kinsoku/>
              <w:wordWrap w:val="0"/>
              <w:overflowPunct/>
              <w:topLinePunct w:val="0"/>
              <w:autoSpaceDE w:val="0"/>
              <w:autoSpaceDN w:val="0"/>
              <w:bidi w:val="0"/>
              <w:adjustRightInd w:val="0"/>
              <w:snapToGrid w:val="0"/>
              <w:ind w:firstLine="0" w:firstLineChars="0"/>
              <w:textAlignment w:val="auto"/>
              <w:rPr>
                <w:rFonts w:hint="eastAsia"/>
                <w:lang w:val="en-US" w:eastAsia="zh-CN"/>
              </w:rPr>
            </w:pPr>
            <w:r>
              <w:rPr>
                <w:rFonts w:hint="default" w:ascii="Times New Roman" w:hAnsi="Times New Roman" w:cs="Times New Roman"/>
                <w:color w:val="000000" w:themeColor="text1"/>
                <w:highlight w:val="none"/>
                <w:lang w:val="en-US" w:eastAsia="zh-CN"/>
                <w14:textFill>
                  <w14:solidFill>
                    <w14:schemeClr w14:val="tx1"/>
                  </w14:solidFill>
                </w14:textFill>
              </w:rPr>
              <w:t>大气稀释自然扩散</w:t>
            </w:r>
          </w:p>
        </w:tc>
        <w:tc>
          <w:tcPr>
            <w:tcW w:w="1270" w:type="pct"/>
            <w:gridSpan w:val="2"/>
            <w:tcBorders>
              <w:top w:val="nil"/>
              <w:left w:val="single" w:color="000000" w:sz="8" w:space="0"/>
              <w:bottom w:val="single" w:color="000000" w:sz="8" w:space="0"/>
              <w:right w:val="single" w:color="000000" w:sz="8" w:space="0"/>
            </w:tcBorders>
            <w:shd w:val="clear" w:color="auto" w:fill="auto"/>
            <w:vAlign w:val="center"/>
          </w:tcPr>
          <w:p w14:paraId="39F8C92A">
            <w:pPr>
              <w:pStyle w:val="43"/>
              <w:bidi w:val="0"/>
              <w:rPr>
                <w:rFonts w:hint="default"/>
                <w:lang w:val="en-US" w:eastAsia="zh-CN"/>
              </w:rPr>
            </w:pP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恶臭污染物排放标准》（GB14554-93）新扩改建二级标准</w:t>
            </w:r>
          </w:p>
        </w:tc>
        <w:tc>
          <w:tcPr>
            <w:tcW w:w="497" w:type="pct"/>
            <w:vMerge w:val="continue"/>
            <w:tcBorders>
              <w:left w:val="single" w:color="000000" w:sz="8" w:space="0"/>
              <w:bottom w:val="single" w:color="000000" w:sz="8" w:space="0"/>
              <w:right w:val="single" w:color="000000" w:sz="8" w:space="0"/>
            </w:tcBorders>
            <w:shd w:val="clear" w:color="auto" w:fill="auto"/>
            <w:vAlign w:val="center"/>
          </w:tcPr>
          <w:p w14:paraId="7F19A30F">
            <w:pPr>
              <w:pStyle w:val="43"/>
              <w:bidi w:val="0"/>
              <w:rPr>
                <w:rFonts w:hint="eastAsia"/>
              </w:rPr>
            </w:pPr>
          </w:p>
        </w:tc>
      </w:tr>
      <w:tr w14:paraId="7D583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03" w:type="pct"/>
            <w:gridSpan w:val="3"/>
            <w:vMerge w:val="restart"/>
            <w:tcBorders>
              <w:top w:val="nil"/>
              <w:left w:val="single" w:color="000000" w:sz="8" w:space="0"/>
              <w:bottom w:val="single" w:color="000000" w:sz="8" w:space="0"/>
              <w:right w:val="single" w:color="000000" w:sz="8" w:space="0"/>
            </w:tcBorders>
            <w:shd w:val="clear" w:color="auto" w:fill="auto"/>
            <w:vAlign w:val="center"/>
          </w:tcPr>
          <w:p w14:paraId="37F38041">
            <w:pPr>
              <w:pStyle w:val="43"/>
              <w:bidi w:val="0"/>
              <w:rPr>
                <w:rFonts w:hint="eastAsia"/>
              </w:rPr>
            </w:pPr>
            <w:r>
              <w:rPr>
                <w:rFonts w:hint="eastAsia"/>
                <w:lang w:val="en-US" w:eastAsia="zh-CN"/>
              </w:rPr>
              <w:t>无组织排放总计（</w:t>
            </w:r>
            <w:r>
              <w:rPr>
                <w:rFonts w:hint="default"/>
                <w:lang w:val="en-US" w:eastAsia="zh-CN"/>
              </w:rPr>
              <w:t>t/a</w:t>
            </w:r>
            <w:r>
              <w:rPr>
                <w:rFonts w:hint="eastAsia"/>
                <w:lang w:val="en-US" w:eastAsia="zh-CN"/>
              </w:rPr>
              <w:t>）</w:t>
            </w: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097D2F77">
            <w:pPr>
              <w:pStyle w:val="43"/>
              <w:bidi w:val="0"/>
              <w:rPr>
                <w:rFonts w:hint="eastAsia"/>
              </w:rPr>
            </w:pPr>
            <w:r>
              <w:rPr>
                <w:rFonts w:hint="eastAsia"/>
                <w:lang w:val="en-US" w:eastAsia="zh-CN"/>
              </w:rPr>
              <w:t>颗粒物</w:t>
            </w:r>
          </w:p>
        </w:tc>
        <w:tc>
          <w:tcPr>
            <w:tcW w:w="1767" w:type="pct"/>
            <w:gridSpan w:val="3"/>
            <w:tcBorders>
              <w:top w:val="nil"/>
              <w:left w:val="single" w:color="000000" w:sz="8" w:space="0"/>
              <w:bottom w:val="single" w:color="000000" w:sz="8" w:space="0"/>
              <w:right w:val="single" w:color="000000" w:sz="8" w:space="0"/>
            </w:tcBorders>
            <w:shd w:val="clear" w:color="auto" w:fill="auto"/>
            <w:vAlign w:val="center"/>
          </w:tcPr>
          <w:p w14:paraId="6C60BCBA">
            <w:pPr>
              <w:pStyle w:val="43"/>
              <w:bidi w:val="0"/>
              <w:rPr>
                <w:rFonts w:hint="default"/>
              </w:rPr>
            </w:pPr>
            <w:r>
              <w:rPr>
                <w:rFonts w:hint="default"/>
                <w:lang w:val="en-US" w:eastAsia="zh-CN"/>
              </w:rPr>
              <w:t xml:space="preserve">6.43 </w:t>
            </w:r>
          </w:p>
        </w:tc>
      </w:tr>
      <w:tr w14:paraId="60B2D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03" w:type="pct"/>
            <w:gridSpan w:val="3"/>
            <w:vMerge w:val="continue"/>
            <w:tcBorders>
              <w:top w:val="nil"/>
              <w:left w:val="single" w:color="000000" w:sz="8" w:space="0"/>
              <w:bottom w:val="single" w:color="000000" w:sz="8" w:space="0"/>
              <w:right w:val="single" w:color="000000" w:sz="8" w:space="0"/>
            </w:tcBorders>
            <w:shd w:val="clear" w:color="auto" w:fill="auto"/>
            <w:vAlign w:val="center"/>
          </w:tcPr>
          <w:p w14:paraId="5E3CC670">
            <w:pPr>
              <w:pStyle w:val="43"/>
              <w:bidi w:val="0"/>
              <w:rPr>
                <w:rFonts w:hint="eastAsia"/>
              </w:rPr>
            </w:pPr>
          </w:p>
        </w:tc>
        <w:tc>
          <w:tcPr>
            <w:tcW w:w="1429" w:type="pct"/>
            <w:tcBorders>
              <w:top w:val="nil"/>
              <w:left w:val="single" w:color="000000" w:sz="8" w:space="0"/>
              <w:bottom w:val="single" w:color="000000" w:sz="8" w:space="0"/>
              <w:right w:val="single" w:color="000000" w:sz="8" w:space="0"/>
            </w:tcBorders>
            <w:shd w:val="clear" w:color="auto" w:fill="auto"/>
            <w:vAlign w:val="center"/>
          </w:tcPr>
          <w:p w14:paraId="68CBA2CA">
            <w:pPr>
              <w:pStyle w:val="43"/>
              <w:bidi w:val="0"/>
              <w:rPr>
                <w:rFonts w:hint="default"/>
              </w:rPr>
            </w:pPr>
            <w:r>
              <w:rPr>
                <w:rFonts w:hint="default"/>
                <w:lang w:val="en-US" w:eastAsia="zh-CN"/>
              </w:rPr>
              <w:t>CO</w:t>
            </w:r>
            <w:r>
              <w:rPr>
                <w:rFonts w:hint="eastAsia"/>
                <w:lang w:val="en-US" w:eastAsia="zh-CN"/>
              </w:rPr>
              <w:t>、</w:t>
            </w:r>
            <w:r>
              <w:rPr>
                <w:rFonts w:hint="default"/>
                <w:lang w:val="en-US" w:eastAsia="zh-CN"/>
              </w:rPr>
              <w:t>NOx</w:t>
            </w:r>
            <w:r>
              <w:rPr>
                <w:rFonts w:hint="eastAsia"/>
                <w:lang w:val="en-US" w:eastAsia="zh-CN"/>
              </w:rPr>
              <w:t>、（</w:t>
            </w:r>
            <w:r>
              <w:rPr>
                <w:rFonts w:hint="default"/>
                <w:lang w:val="en-US" w:eastAsia="zh-CN"/>
              </w:rPr>
              <w:t>THC</w:t>
            </w:r>
            <w:r>
              <w:rPr>
                <w:rFonts w:hint="eastAsia"/>
                <w:lang w:val="en-US" w:eastAsia="zh-CN"/>
              </w:rPr>
              <w:t>）、臭气浓度等</w:t>
            </w:r>
          </w:p>
        </w:tc>
        <w:tc>
          <w:tcPr>
            <w:tcW w:w="1767" w:type="pct"/>
            <w:gridSpan w:val="3"/>
            <w:tcBorders>
              <w:top w:val="nil"/>
              <w:left w:val="single" w:color="000000" w:sz="8" w:space="0"/>
              <w:bottom w:val="single" w:color="000000" w:sz="8" w:space="0"/>
              <w:right w:val="single" w:color="000000" w:sz="8" w:space="0"/>
            </w:tcBorders>
            <w:shd w:val="clear" w:color="auto" w:fill="auto"/>
            <w:vAlign w:val="center"/>
          </w:tcPr>
          <w:p w14:paraId="1F0CD784">
            <w:pPr>
              <w:pStyle w:val="43"/>
              <w:bidi w:val="0"/>
              <w:rPr>
                <w:rFonts w:hint="eastAsia"/>
              </w:rPr>
            </w:pPr>
            <w:r>
              <w:rPr>
                <w:rFonts w:hint="eastAsia"/>
                <w:lang w:val="en-US" w:eastAsia="zh-CN"/>
              </w:rPr>
              <w:t>少量</w:t>
            </w:r>
          </w:p>
        </w:tc>
      </w:tr>
    </w:tbl>
    <w:p w14:paraId="74FF0AB6">
      <w:pPr>
        <w:pStyle w:val="45"/>
        <w:bidi w:val="0"/>
        <w:rPr>
          <w:rFonts w:hint="default"/>
          <w:lang w:val="en-US" w:eastAsia="zh-CN"/>
        </w:rPr>
      </w:pPr>
      <w:r>
        <w:rPr>
          <w:rFonts w:hint="default"/>
          <w:lang w:val="en-US" w:eastAsia="zh-CN"/>
        </w:rPr>
        <w:t>表</w:t>
      </w:r>
      <w:r>
        <w:rPr>
          <w:rFonts w:hint="eastAsia"/>
          <w:lang w:val="en-US" w:eastAsia="zh-CN"/>
        </w:rPr>
        <w:t>3.5</w:t>
      </w:r>
      <w:r>
        <w:rPr>
          <w:rFonts w:hint="default"/>
          <w:lang w:val="en-US" w:eastAsia="zh-CN"/>
        </w:rPr>
        <w:t>-6  大气污染物年排放量核算表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2300"/>
        <w:gridCol w:w="4587"/>
      </w:tblGrid>
      <w:tr w14:paraId="054A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vAlign w:val="center"/>
          </w:tcPr>
          <w:p w14:paraId="65F46BEF">
            <w:pPr>
              <w:pStyle w:val="43"/>
              <w:bidi w:val="0"/>
              <w:rPr>
                <w:rFonts w:hint="default"/>
                <w:b/>
                <w:bCs/>
                <w:lang w:val="en-US" w:eastAsia="zh-CN"/>
              </w:rPr>
            </w:pPr>
            <w:r>
              <w:rPr>
                <w:rFonts w:hint="default"/>
                <w:b/>
                <w:bCs/>
                <w:lang w:val="en-US" w:eastAsia="zh-CN"/>
              </w:rPr>
              <w:t>序号</w:t>
            </w:r>
          </w:p>
        </w:tc>
        <w:tc>
          <w:tcPr>
            <w:tcW w:w="2300" w:type="dxa"/>
            <w:vAlign w:val="center"/>
          </w:tcPr>
          <w:p w14:paraId="7B6EC913">
            <w:pPr>
              <w:pStyle w:val="43"/>
              <w:bidi w:val="0"/>
              <w:rPr>
                <w:rFonts w:hint="default"/>
                <w:b/>
                <w:bCs/>
                <w:lang w:val="en-US" w:eastAsia="zh-CN"/>
              </w:rPr>
            </w:pPr>
            <w:r>
              <w:rPr>
                <w:rFonts w:hint="default"/>
                <w:b/>
                <w:bCs/>
                <w:lang w:val="en-US" w:eastAsia="zh-CN"/>
              </w:rPr>
              <w:t>污染物</w:t>
            </w:r>
          </w:p>
        </w:tc>
        <w:tc>
          <w:tcPr>
            <w:tcW w:w="4587" w:type="dxa"/>
            <w:vAlign w:val="center"/>
          </w:tcPr>
          <w:p w14:paraId="091EAC29">
            <w:pPr>
              <w:pStyle w:val="43"/>
              <w:bidi w:val="0"/>
              <w:rPr>
                <w:rFonts w:hint="default"/>
                <w:b/>
                <w:bCs/>
                <w:lang w:val="en-US" w:eastAsia="zh-CN"/>
              </w:rPr>
            </w:pPr>
            <w:r>
              <w:rPr>
                <w:rFonts w:hint="default"/>
                <w:b/>
                <w:bCs/>
                <w:lang w:val="en-US" w:eastAsia="zh-CN"/>
              </w:rPr>
              <w:t>年排放量（t/a）</w:t>
            </w:r>
          </w:p>
        </w:tc>
      </w:tr>
      <w:tr w14:paraId="2373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vAlign w:val="center"/>
          </w:tcPr>
          <w:p w14:paraId="6762E405">
            <w:pPr>
              <w:pStyle w:val="43"/>
              <w:bidi w:val="0"/>
              <w:rPr>
                <w:rFonts w:hint="default"/>
                <w:lang w:val="en-US" w:eastAsia="zh-CN"/>
              </w:rPr>
            </w:pPr>
            <w:r>
              <w:rPr>
                <w:rFonts w:hint="default"/>
                <w:lang w:val="en-US" w:eastAsia="zh-CN"/>
              </w:rPr>
              <w:t>1</w:t>
            </w:r>
          </w:p>
        </w:tc>
        <w:tc>
          <w:tcPr>
            <w:tcW w:w="2300" w:type="dxa"/>
            <w:shd w:val="clear" w:color="auto" w:fill="auto"/>
            <w:vAlign w:val="center"/>
          </w:tcPr>
          <w:p w14:paraId="55D0397E">
            <w:pPr>
              <w:pStyle w:val="43"/>
              <w:bidi w:val="0"/>
              <w:rPr>
                <w:rFonts w:hint="default"/>
                <w:lang w:val="en-US" w:eastAsia="zh-CN"/>
              </w:rPr>
            </w:pPr>
            <w:r>
              <w:rPr>
                <w:rFonts w:hint="default"/>
                <w:lang w:val="en-US" w:eastAsia="zh-CN"/>
              </w:rPr>
              <w:t>颗粒物</w:t>
            </w:r>
          </w:p>
        </w:tc>
        <w:tc>
          <w:tcPr>
            <w:tcW w:w="4587" w:type="dxa"/>
            <w:vAlign w:val="center"/>
          </w:tcPr>
          <w:p w14:paraId="4524C029">
            <w:pPr>
              <w:pStyle w:val="43"/>
              <w:bidi w:val="0"/>
              <w:rPr>
                <w:rFonts w:hint="default"/>
                <w:lang w:val="en-US" w:eastAsia="zh-CN"/>
              </w:rPr>
            </w:pPr>
            <w:r>
              <w:rPr>
                <w:rFonts w:hint="eastAsia"/>
                <w:lang w:val="en-US" w:eastAsia="zh-CN"/>
              </w:rPr>
              <w:t>6.99</w:t>
            </w:r>
          </w:p>
        </w:tc>
      </w:tr>
      <w:tr w14:paraId="4951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5" w:type="dxa"/>
            <w:vAlign w:val="center"/>
          </w:tcPr>
          <w:p w14:paraId="092602D6">
            <w:pPr>
              <w:pStyle w:val="43"/>
              <w:bidi w:val="0"/>
              <w:rPr>
                <w:rFonts w:hint="default"/>
                <w:lang w:val="en-US" w:eastAsia="zh-CN"/>
              </w:rPr>
            </w:pPr>
            <w:r>
              <w:rPr>
                <w:rFonts w:hint="default"/>
                <w:lang w:val="en-US" w:eastAsia="zh-CN"/>
              </w:rPr>
              <w:t>2</w:t>
            </w:r>
          </w:p>
        </w:tc>
        <w:tc>
          <w:tcPr>
            <w:tcW w:w="2300" w:type="dxa"/>
            <w:shd w:val="clear" w:color="auto" w:fill="auto"/>
            <w:vAlign w:val="center"/>
          </w:tcPr>
          <w:p w14:paraId="6B24398A">
            <w:pPr>
              <w:pStyle w:val="43"/>
              <w:bidi w:val="0"/>
              <w:rPr>
                <w:rFonts w:hint="default"/>
                <w:lang w:val="en-US" w:eastAsia="zh-CN"/>
              </w:rPr>
            </w:pPr>
            <w:r>
              <w:rPr>
                <w:rFonts w:hint="default"/>
                <w:lang w:val="en-US" w:eastAsia="zh-CN"/>
              </w:rPr>
              <w:t>CO、NOx、（THC）</w:t>
            </w:r>
            <w:r>
              <w:rPr>
                <w:rFonts w:hint="eastAsia"/>
                <w:lang w:val="en-US" w:eastAsia="zh-CN"/>
              </w:rPr>
              <w:t>、臭气浓度</w:t>
            </w:r>
            <w:r>
              <w:rPr>
                <w:rFonts w:hint="default"/>
                <w:lang w:val="en-US" w:eastAsia="zh-CN"/>
              </w:rPr>
              <w:t>等</w:t>
            </w:r>
          </w:p>
        </w:tc>
        <w:tc>
          <w:tcPr>
            <w:tcW w:w="4587" w:type="dxa"/>
            <w:vAlign w:val="center"/>
          </w:tcPr>
          <w:p w14:paraId="650C2CEC">
            <w:pPr>
              <w:pStyle w:val="43"/>
              <w:bidi w:val="0"/>
              <w:rPr>
                <w:rFonts w:hint="default"/>
                <w:lang w:val="en-US" w:eastAsia="zh-CN"/>
              </w:rPr>
            </w:pPr>
            <w:r>
              <w:rPr>
                <w:rFonts w:hint="default"/>
                <w:lang w:val="en-US" w:eastAsia="zh-CN"/>
              </w:rPr>
              <w:t>少量</w:t>
            </w:r>
          </w:p>
        </w:tc>
      </w:tr>
    </w:tbl>
    <w:p w14:paraId="2F9CA347">
      <w:pPr>
        <w:pStyle w:val="5"/>
        <w:bidi w:val="0"/>
        <w:rPr>
          <w:rFonts w:hint="default"/>
          <w:lang w:val="en-US" w:eastAsia="zh-CN"/>
        </w:rPr>
      </w:pPr>
      <w:r>
        <w:rPr>
          <w:rFonts w:hint="default"/>
          <w:lang w:val="en-US" w:eastAsia="zh-CN"/>
        </w:rPr>
        <w:t>用水及废水产排情况</w:t>
      </w:r>
    </w:p>
    <w:p w14:paraId="133BE90D">
      <w:pPr>
        <w:pStyle w:val="41"/>
        <w:bidi w:val="0"/>
        <w:rPr>
          <w:rFonts w:hint="default"/>
          <w:lang w:val="en-US" w:eastAsia="zh-CN"/>
        </w:rPr>
      </w:pPr>
      <w:r>
        <w:rPr>
          <w:rFonts w:hint="default"/>
          <w:lang w:val="en-US" w:eastAsia="zh-CN"/>
        </w:rPr>
        <w:t>项目用水及废水产生情况如下：</w:t>
      </w:r>
    </w:p>
    <w:p w14:paraId="11318E31">
      <w:pPr>
        <w:autoSpaceDE w:val="0"/>
        <w:autoSpaceDN w:val="0"/>
        <w:adjustRightInd w:val="0"/>
        <w:spacing w:line="336" w:lineRule="auto"/>
        <w:ind w:firstLine="422" w:firstLineChars="200"/>
        <w:rPr>
          <w:b/>
          <w:bCs/>
          <w:sz w:val="24"/>
        </w:rPr>
      </w:pPr>
      <w:r>
        <w:rPr>
          <w:rFonts w:hint="default"/>
          <w:b/>
          <w:bCs/>
          <w:lang w:val="en-US" w:eastAsia="zh-CN"/>
        </w:rPr>
        <w:t>（1）</w:t>
      </w:r>
      <w:r>
        <w:rPr>
          <w:b/>
          <w:bCs/>
          <w:sz w:val="24"/>
        </w:rPr>
        <w:t>矿坑积水</w:t>
      </w:r>
    </w:p>
    <w:p w14:paraId="0C8A6428">
      <w:pPr>
        <w:pStyle w:val="41"/>
        <w:bidi w:val="0"/>
      </w:pPr>
      <w:r>
        <w:rPr>
          <w:rFonts w:hint="eastAsia"/>
        </w:rPr>
        <w:t>根据矿体埋深条件，本矿区地形条件，露天开采属山地斜坡开采。采矿权范围内无地表水体分布，无常年性河流。矿体最低开采标高（1565m）位于最低侵蚀基准面标高1555m之上，处于地下水的补给、径流区，不受地表水体及地下水的影响。矿坑主要充水因素来自大气降水，由于矿体分布于</w:t>
      </w:r>
      <w:r>
        <w:t>山顶和山脊斜坡</w:t>
      </w:r>
      <w:r>
        <w:rPr>
          <w:rFonts w:hint="eastAsia"/>
        </w:rPr>
        <w:t>上，地形有利于矿坑自然排水，降雨可随降随排，不会出现淹坑现象。对矿床开采影响较小，故此次工作不对矿坑涌水量进行预算。</w:t>
      </w:r>
    </w:p>
    <w:p w14:paraId="2CB09418">
      <w:pPr>
        <w:pStyle w:val="41"/>
        <w:bidi w:val="0"/>
        <w:rPr>
          <w:rFonts w:hint="default"/>
          <w:b/>
          <w:bCs/>
          <w:lang w:val="en-US" w:eastAsia="zh-CN"/>
        </w:rPr>
      </w:pPr>
      <w:r>
        <w:rPr>
          <w:rFonts w:hint="default"/>
          <w:b/>
          <w:bCs/>
          <w:lang w:val="en-US" w:eastAsia="zh-CN"/>
        </w:rPr>
        <w:t>（</w:t>
      </w:r>
      <w:r>
        <w:rPr>
          <w:rFonts w:hint="eastAsia"/>
          <w:b/>
          <w:bCs/>
          <w:lang w:val="en-US" w:eastAsia="zh-CN"/>
        </w:rPr>
        <w:t>2</w:t>
      </w:r>
      <w:r>
        <w:rPr>
          <w:rFonts w:hint="default"/>
          <w:b/>
          <w:bCs/>
          <w:lang w:val="en-US" w:eastAsia="zh-CN"/>
        </w:rPr>
        <w:t>）降尘用水</w:t>
      </w:r>
    </w:p>
    <w:p w14:paraId="2733B736">
      <w:pPr>
        <w:pStyle w:val="41"/>
        <w:bidi w:val="0"/>
        <w:rPr>
          <w:rFonts w:hint="default"/>
          <w:b/>
          <w:bCs/>
          <w:lang w:val="en-US" w:eastAsia="zh-CN"/>
        </w:rPr>
      </w:pPr>
      <w:r>
        <w:rPr>
          <w:rFonts w:hint="eastAsia"/>
          <w:b/>
          <w:bCs/>
          <w:lang w:val="en-US" w:eastAsia="zh-CN"/>
        </w:rPr>
        <w:t>1）</w:t>
      </w:r>
      <w:r>
        <w:rPr>
          <w:rFonts w:hint="default"/>
          <w:b/>
          <w:bCs/>
          <w:lang w:val="en-US" w:eastAsia="zh-CN"/>
        </w:rPr>
        <w:t>场地降尘用水</w:t>
      </w:r>
    </w:p>
    <w:p w14:paraId="56EC806D">
      <w:pPr>
        <w:pStyle w:val="41"/>
        <w:bidi w:val="0"/>
        <w:rPr>
          <w:rFonts w:hint="default"/>
          <w:lang w:val="en-US" w:eastAsia="zh-CN"/>
        </w:rPr>
      </w:pPr>
      <w:r>
        <w:rPr>
          <w:rFonts w:hint="default"/>
          <w:lang w:val="en-US" w:eastAsia="zh-CN"/>
        </w:rPr>
        <w:t>项目需要采用雾炮机等进行洒水降尘的场地主要</w:t>
      </w:r>
      <w:r>
        <w:rPr>
          <w:rFonts w:hint="eastAsia"/>
          <w:lang w:val="en-US" w:eastAsia="zh-CN"/>
        </w:rPr>
        <w:t>为</w:t>
      </w:r>
      <w:r>
        <w:rPr>
          <w:rFonts w:hint="default"/>
          <w:lang w:val="en-US" w:eastAsia="zh-CN"/>
        </w:rPr>
        <w:t>表土堆场</w:t>
      </w:r>
      <w:r>
        <w:rPr>
          <w:rFonts w:hint="eastAsia"/>
          <w:lang w:val="en-US" w:eastAsia="zh-CN"/>
        </w:rPr>
        <w:t>等</w:t>
      </w:r>
      <w:r>
        <w:rPr>
          <w:rFonts w:hint="default"/>
          <w:lang w:val="en-US" w:eastAsia="zh-CN"/>
        </w:rPr>
        <w:t>区域，面积共约</w:t>
      </w:r>
      <w:r>
        <w:rPr>
          <w:rFonts w:hint="eastAsia"/>
          <w:lang w:val="en-US" w:eastAsia="zh-CN"/>
        </w:rPr>
        <w:t>10000</w:t>
      </w:r>
      <w:r>
        <w:rPr>
          <w:rFonts w:hint="default"/>
          <w:lang w:val="en-US" w:eastAsia="zh-CN"/>
        </w:rPr>
        <w:t>m</w:t>
      </w:r>
      <w:r>
        <w:rPr>
          <w:rFonts w:hint="default"/>
          <w:vertAlign w:val="superscript"/>
          <w:lang w:val="en-US" w:eastAsia="zh-CN"/>
        </w:rPr>
        <w:t>2</w:t>
      </w:r>
      <w:r>
        <w:rPr>
          <w:rFonts w:hint="default"/>
          <w:lang w:val="en-US" w:eastAsia="zh-CN"/>
        </w:rPr>
        <w:t>，洒水量按2L/m</w:t>
      </w:r>
      <w:r>
        <w:rPr>
          <w:rFonts w:hint="default"/>
          <w:vertAlign w:val="superscript"/>
          <w:lang w:val="en-US" w:eastAsia="zh-CN"/>
        </w:rPr>
        <w:t>2</w:t>
      </w:r>
      <w:r>
        <w:rPr>
          <w:rFonts w:hint="default"/>
          <w:lang w:val="en-US" w:eastAsia="zh-CN"/>
        </w:rPr>
        <w:t>次，每天洒水2次，非雨天180天计算，则洒水量</w:t>
      </w:r>
      <w:r>
        <w:rPr>
          <w:rFonts w:hint="eastAsia"/>
          <w:lang w:val="en-US" w:eastAsia="zh-CN"/>
        </w:rPr>
        <w:t>10m</w:t>
      </w:r>
      <w:r>
        <w:rPr>
          <w:rFonts w:hint="eastAsia"/>
          <w:vertAlign w:val="superscript"/>
          <w:lang w:val="en-US" w:eastAsia="zh-CN"/>
        </w:rPr>
        <w:t>3</w:t>
      </w:r>
      <w:r>
        <w:rPr>
          <w:rFonts w:hint="default"/>
          <w:lang w:val="en-US" w:eastAsia="zh-CN"/>
        </w:rPr>
        <w:t>/d、</w:t>
      </w:r>
      <w:r>
        <w:rPr>
          <w:rFonts w:hint="eastAsia"/>
          <w:lang w:val="en-US" w:eastAsia="zh-CN"/>
        </w:rPr>
        <w:t>1800m</w:t>
      </w:r>
      <w:r>
        <w:rPr>
          <w:rFonts w:hint="eastAsia"/>
          <w:vertAlign w:val="superscript"/>
          <w:lang w:val="en-US" w:eastAsia="zh-CN"/>
        </w:rPr>
        <w:t>3</w:t>
      </w:r>
      <w:r>
        <w:rPr>
          <w:rFonts w:hint="default"/>
          <w:lang w:val="en-US" w:eastAsia="zh-CN"/>
        </w:rPr>
        <w:t>/a。洒水降尘用水全部以自然蒸发形式消耗，无废水产生。</w:t>
      </w:r>
    </w:p>
    <w:p w14:paraId="722D9E52">
      <w:pPr>
        <w:pStyle w:val="41"/>
        <w:bidi w:val="0"/>
        <w:rPr>
          <w:rFonts w:hint="default"/>
          <w:b/>
          <w:bCs/>
          <w:lang w:val="en-US" w:eastAsia="zh-CN"/>
        </w:rPr>
      </w:pPr>
      <w:r>
        <w:rPr>
          <w:rFonts w:hint="eastAsia"/>
          <w:b/>
          <w:bCs/>
          <w:lang w:val="en-US" w:eastAsia="zh-CN"/>
        </w:rPr>
        <w:t>2）</w:t>
      </w:r>
      <w:r>
        <w:rPr>
          <w:rFonts w:hint="default"/>
          <w:b/>
          <w:bCs/>
          <w:lang w:val="en-US" w:eastAsia="zh-CN"/>
        </w:rPr>
        <w:t>厂房喷淋用水</w:t>
      </w:r>
    </w:p>
    <w:p w14:paraId="3293F76D">
      <w:pPr>
        <w:pStyle w:val="41"/>
        <w:bidi w:val="0"/>
        <w:rPr>
          <w:rFonts w:hint="default"/>
          <w:lang w:val="en-US" w:eastAsia="zh-CN"/>
        </w:rPr>
      </w:pPr>
      <w:r>
        <w:rPr>
          <w:rFonts w:hint="default"/>
          <w:lang w:val="en-US" w:eastAsia="zh-CN"/>
        </w:rPr>
        <w:t>项目加工区及产品堆场建设封闭钢制厂房，仅保留砂石料出口及矿石破碎进料口，厂房顶部建设洒水喷雾系统，喷雾系统额定耗水量约6.5t/h，用水量为52m³/d，15600m³/a。喷雾水分沉降至各类砂石产品中，随产品带走或降落地面浸润抑尘，无废水产生。</w:t>
      </w:r>
    </w:p>
    <w:p w14:paraId="2841DAC7">
      <w:pPr>
        <w:pStyle w:val="41"/>
        <w:bidi w:val="0"/>
        <w:rPr>
          <w:rFonts w:hint="default"/>
          <w:b/>
          <w:bCs/>
          <w:lang w:val="en-US" w:eastAsia="zh-CN"/>
        </w:rPr>
      </w:pPr>
      <w:r>
        <w:rPr>
          <w:rFonts w:hint="eastAsia"/>
          <w:b/>
          <w:bCs/>
          <w:lang w:val="en-US" w:eastAsia="zh-CN"/>
        </w:rPr>
        <w:t>3）</w:t>
      </w:r>
      <w:r>
        <w:rPr>
          <w:rFonts w:hint="default"/>
          <w:b/>
          <w:bCs/>
          <w:lang w:val="en-US" w:eastAsia="zh-CN"/>
        </w:rPr>
        <w:t>运输道路洒水降尘</w:t>
      </w:r>
    </w:p>
    <w:p w14:paraId="69EA59B0">
      <w:pPr>
        <w:pStyle w:val="41"/>
        <w:bidi w:val="0"/>
        <w:rPr>
          <w:rFonts w:hint="default"/>
          <w:lang w:val="en-US" w:eastAsia="zh-CN"/>
        </w:rPr>
      </w:pPr>
      <w:r>
        <w:rPr>
          <w:rFonts w:hint="default"/>
          <w:lang w:val="en-US" w:eastAsia="zh-CN"/>
        </w:rPr>
        <w:t>项目场内运输道路面积约为1.58hm</w:t>
      </w:r>
      <w:r>
        <w:rPr>
          <w:rFonts w:hint="default"/>
          <w:vertAlign w:val="superscript"/>
          <w:lang w:val="en-US" w:eastAsia="zh-CN"/>
        </w:rPr>
        <w:t>2</w:t>
      </w:r>
      <w:r>
        <w:rPr>
          <w:rFonts w:hint="default"/>
          <w:lang w:val="en-US" w:eastAsia="zh-CN"/>
        </w:rPr>
        <w:t>，降尘用水量按2L/m</w:t>
      </w:r>
      <w:r>
        <w:rPr>
          <w:rFonts w:hint="default"/>
          <w:vertAlign w:val="superscript"/>
          <w:lang w:val="en-US" w:eastAsia="zh-CN"/>
        </w:rPr>
        <w:t>2</w:t>
      </w:r>
      <w:r>
        <w:rPr>
          <w:rFonts w:hint="eastAsia"/>
          <w:vertAlign w:val="superscript"/>
          <w:lang w:val="en-US" w:eastAsia="zh-CN"/>
        </w:rPr>
        <w:t>计算</w:t>
      </w:r>
      <w:r>
        <w:rPr>
          <w:rFonts w:hint="default"/>
          <w:lang w:val="en-US" w:eastAsia="zh-CN"/>
        </w:rPr>
        <w:t>，洒水次数取2次/d，则用水量为6.3</w:t>
      </w:r>
      <w:r>
        <w:rPr>
          <w:rFonts w:hint="eastAsia"/>
          <w:lang w:val="en-US" w:eastAsia="zh-CN"/>
        </w:rPr>
        <w:t>m</w:t>
      </w:r>
      <w:r>
        <w:rPr>
          <w:rFonts w:hint="eastAsia"/>
          <w:vertAlign w:val="superscript"/>
          <w:lang w:val="en-US" w:eastAsia="zh-CN"/>
        </w:rPr>
        <w:t>3</w:t>
      </w:r>
      <w:r>
        <w:rPr>
          <w:rFonts w:hint="default"/>
          <w:lang w:val="en-US" w:eastAsia="zh-CN"/>
        </w:rPr>
        <w:t>/d，非雨天180天计算，则年用水量</w:t>
      </w:r>
      <w:r>
        <w:rPr>
          <w:rFonts w:hint="eastAsia"/>
          <w:lang w:val="en-US" w:eastAsia="zh-CN"/>
        </w:rPr>
        <w:t>1138m</w:t>
      </w:r>
      <w:r>
        <w:rPr>
          <w:rFonts w:hint="eastAsia"/>
          <w:vertAlign w:val="superscript"/>
          <w:lang w:val="en-US" w:eastAsia="zh-CN"/>
        </w:rPr>
        <w:t>3</w:t>
      </w:r>
      <w:r>
        <w:rPr>
          <w:rFonts w:hint="default"/>
          <w:lang w:val="en-US" w:eastAsia="zh-CN"/>
        </w:rPr>
        <w:t>/a。降尘洒水全部蒸发消耗，无废水产生。</w:t>
      </w:r>
    </w:p>
    <w:p w14:paraId="6B6C130E">
      <w:pPr>
        <w:pStyle w:val="41"/>
        <w:bidi w:val="0"/>
        <w:rPr>
          <w:rFonts w:hint="default"/>
          <w:lang w:val="en-US" w:eastAsia="zh-CN"/>
        </w:rPr>
      </w:pPr>
      <w:r>
        <w:rPr>
          <w:rFonts w:hint="default"/>
          <w:lang w:val="en-US" w:eastAsia="zh-CN"/>
        </w:rPr>
        <w:t>综上，项目降尘用水量</w:t>
      </w:r>
      <w:r>
        <w:rPr>
          <w:rFonts w:hint="eastAsia"/>
          <w:lang w:val="en-US" w:eastAsia="zh-CN"/>
        </w:rPr>
        <w:t>68.3m</w:t>
      </w:r>
      <w:r>
        <w:rPr>
          <w:rFonts w:hint="eastAsia"/>
          <w:vertAlign w:val="superscript"/>
          <w:lang w:val="en-US" w:eastAsia="zh-CN"/>
        </w:rPr>
        <w:t>3</w:t>
      </w:r>
      <w:r>
        <w:rPr>
          <w:rFonts w:hint="default"/>
          <w:lang w:val="en-US" w:eastAsia="zh-CN"/>
        </w:rPr>
        <w:t>/d，</w:t>
      </w:r>
      <w:r>
        <w:rPr>
          <w:rFonts w:hint="eastAsia"/>
          <w:lang w:val="en-US" w:eastAsia="zh-CN"/>
        </w:rPr>
        <w:t>18538m</w:t>
      </w:r>
      <w:r>
        <w:rPr>
          <w:rFonts w:hint="eastAsia"/>
          <w:vertAlign w:val="superscript"/>
          <w:lang w:val="en-US" w:eastAsia="zh-CN"/>
        </w:rPr>
        <w:t>3</w:t>
      </w:r>
      <w:r>
        <w:rPr>
          <w:rFonts w:hint="default"/>
          <w:lang w:val="en-US" w:eastAsia="zh-CN"/>
        </w:rPr>
        <w:t>/a</w:t>
      </w:r>
      <w:r>
        <w:rPr>
          <w:rFonts w:hint="eastAsia"/>
          <w:lang w:val="en-US" w:eastAsia="zh-CN"/>
        </w:rPr>
        <w:t>（其中使用自来水15968.5m</w:t>
      </w:r>
      <w:r>
        <w:rPr>
          <w:rFonts w:hint="eastAsia"/>
          <w:vertAlign w:val="superscript"/>
          <w:lang w:val="en-US" w:eastAsia="zh-CN"/>
        </w:rPr>
        <w:t>3</w:t>
      </w:r>
      <w:r>
        <w:rPr>
          <w:rFonts w:hint="eastAsia"/>
          <w:lang w:val="en-US" w:eastAsia="zh-CN"/>
        </w:rPr>
        <w:t>/a，使用初期雨水2569.5m</w:t>
      </w:r>
      <w:r>
        <w:rPr>
          <w:rFonts w:hint="eastAsia"/>
          <w:vertAlign w:val="superscript"/>
          <w:lang w:val="en-US" w:eastAsia="zh-CN"/>
        </w:rPr>
        <w:t>3</w:t>
      </w:r>
      <w:r>
        <w:rPr>
          <w:rFonts w:hint="eastAsia"/>
          <w:lang w:val="en-US" w:eastAsia="zh-CN"/>
        </w:rPr>
        <w:t>/a）</w:t>
      </w:r>
      <w:r>
        <w:rPr>
          <w:rFonts w:hint="default"/>
          <w:lang w:val="en-US" w:eastAsia="zh-CN"/>
        </w:rPr>
        <w:t>。降尘洒水全部蒸发消耗、产品含水带走，无废水产生。</w:t>
      </w:r>
    </w:p>
    <w:p w14:paraId="7823A1FA">
      <w:pPr>
        <w:pStyle w:val="41"/>
        <w:bidi w:val="0"/>
        <w:rPr>
          <w:rFonts w:hint="default"/>
          <w:b/>
          <w:bCs/>
          <w:lang w:val="en-US" w:eastAsia="zh-CN"/>
        </w:rPr>
      </w:pPr>
      <w:r>
        <w:rPr>
          <w:rFonts w:hint="default"/>
          <w:b/>
          <w:bCs/>
          <w:lang w:val="en-US" w:eastAsia="zh-CN"/>
        </w:rPr>
        <w:t>（</w:t>
      </w:r>
      <w:r>
        <w:rPr>
          <w:rFonts w:hint="eastAsia"/>
          <w:b/>
          <w:bCs/>
          <w:lang w:val="en-US" w:eastAsia="zh-CN"/>
        </w:rPr>
        <w:t>3</w:t>
      </w:r>
      <w:r>
        <w:rPr>
          <w:rFonts w:hint="default"/>
          <w:b/>
          <w:bCs/>
          <w:lang w:val="en-US" w:eastAsia="zh-CN"/>
        </w:rPr>
        <w:t>）初期雨水</w:t>
      </w:r>
    </w:p>
    <w:p w14:paraId="431AEAC8">
      <w:pPr>
        <w:pStyle w:val="41"/>
        <w:bidi w:val="0"/>
      </w:pPr>
      <w:r>
        <w:rPr>
          <w:rFonts w:hint="eastAsia"/>
        </w:rPr>
        <w:t>项目区会洒落少量的石灰岩颗粒及沉降粉尘等，这部分废物遇初期雨水冲刷后流走，形成泥浆水（会夹带泥沙等）。若直接外排会污染项目周边的旱地，同时也会冲刷进场的道路。</w:t>
      </w:r>
    </w:p>
    <w:p w14:paraId="1FB23817">
      <w:pPr>
        <w:pStyle w:val="41"/>
        <w:bidi w:val="0"/>
      </w:pPr>
      <w:r>
        <w:rPr>
          <w:rFonts w:hint="eastAsia"/>
        </w:rPr>
        <w:t>初期雨水径流：</w:t>
      </w:r>
      <w:r>
        <w:t>一般采用项目所在地历年日最大暴雨的前15min雨量为初期雨水量，依据《给水排水设计手册》可知：</w:t>
      </w:r>
    </w:p>
    <w:p w14:paraId="3EDDA6A1">
      <w:pPr>
        <w:pStyle w:val="41"/>
        <w:bidi w:val="0"/>
      </w:pPr>
      <w:r>
        <w:rPr>
          <w:rFonts w:hint="eastAsia"/>
          <w:lang w:eastAsia="zh-CN"/>
        </w:rPr>
        <w:t>a.</w:t>
      </w:r>
      <w:r>
        <w:t>暴雨强度估算公式如下：</w:t>
      </w:r>
    </w:p>
    <w:p w14:paraId="7F36E53A">
      <w:pPr>
        <w:pStyle w:val="41"/>
        <w:bidi w:val="0"/>
        <w:rPr>
          <w:lang w:val="fr-FR"/>
        </w:rPr>
      </w:pPr>
      <w:r>
        <w:rPr>
          <w:lang w:val="fr-FR"/>
        </w:rPr>
        <w:object>
          <v:shape id="_x0000_i1028" o:spt="75" type="#_x0000_t75" style="height:33pt;width:108.75pt;" o:ole="t" filled="f" o:preferrelative="t" stroked="f" coordsize="21600,21600">
            <v:path/>
            <v:fill on="f" focussize="0,0"/>
            <v:stroke on="f" joinstyle="miter"/>
            <v:imagedata r:id="rId21" o:title=""/>
            <o:lock v:ext="edit" aspectratio="t"/>
            <w10:wrap type="none"/>
            <w10:anchorlock/>
          </v:shape>
          <o:OLEObject Type="Embed" ProgID="Equation.3" ShapeID="_x0000_i1028" DrawAspect="Content" ObjectID="_1468075728" r:id="rId27">
            <o:LockedField>false</o:LockedField>
          </o:OLEObject>
        </w:object>
      </w:r>
    </w:p>
    <w:p w14:paraId="520ECD8E">
      <w:pPr>
        <w:pStyle w:val="41"/>
        <w:bidi w:val="0"/>
        <w:rPr>
          <w:lang w:val="fr-FR"/>
        </w:rPr>
      </w:pPr>
      <w:r>
        <w:t>式中</w:t>
      </w:r>
      <w:r>
        <w:rPr>
          <w:lang w:val="fr-FR"/>
        </w:rPr>
        <w:t>：q——</w:t>
      </w:r>
      <w:r>
        <w:t>暴雨强度</w:t>
      </w:r>
      <w:r>
        <w:rPr>
          <w:lang w:val="fr-FR"/>
        </w:rPr>
        <w:t>，</w:t>
      </w:r>
      <w:r>
        <w:t>单位为</w:t>
      </w:r>
      <w:r>
        <w:rPr>
          <w:lang w:val="fr-FR"/>
        </w:rPr>
        <w:t>L/s·ha，</w:t>
      </w:r>
      <w:r>
        <w:t>其中</w:t>
      </w:r>
      <w:r>
        <w:rPr>
          <w:lang w:val="fr-FR"/>
        </w:rPr>
        <w:t>ha</w:t>
      </w:r>
      <w:r>
        <w:t>表示公顷</w:t>
      </w:r>
      <w:r>
        <w:rPr>
          <w:lang w:val="fr-FR"/>
        </w:rPr>
        <w:t>；</w:t>
      </w:r>
    </w:p>
    <w:p w14:paraId="2581D657">
      <w:pPr>
        <w:pStyle w:val="41"/>
        <w:bidi w:val="0"/>
        <w:rPr>
          <w:lang w:val="fr-FR"/>
        </w:rPr>
      </w:pPr>
      <w:r>
        <w:rPr>
          <w:lang w:val="fr-FR"/>
        </w:rPr>
        <w:t>P——</w:t>
      </w:r>
      <w:r>
        <w:t>重现期</w:t>
      </w:r>
      <w:r>
        <w:rPr>
          <w:lang w:val="fr-FR"/>
        </w:rPr>
        <w:t>，</w:t>
      </w:r>
      <w:r>
        <w:t>取</w:t>
      </w:r>
      <w:r>
        <w:rPr>
          <w:lang w:val="fr-FR"/>
        </w:rPr>
        <w:t>1</w:t>
      </w:r>
      <w:r>
        <w:t>年</w:t>
      </w:r>
      <w:r>
        <w:rPr>
          <w:lang w:val="fr-FR"/>
        </w:rPr>
        <w:t>；</w:t>
      </w:r>
    </w:p>
    <w:p w14:paraId="5D67F93A">
      <w:pPr>
        <w:pStyle w:val="41"/>
        <w:bidi w:val="0"/>
      </w:pPr>
      <w:r>
        <w:rPr>
          <w:rFonts w:hint="eastAsia"/>
        </w:rPr>
        <w:t xml:space="preserve">t </w:t>
      </w:r>
      <w:r>
        <w:t>——地面积水时间与管内流行时间之和</w:t>
      </w:r>
      <w:r>
        <w:rPr>
          <w:rFonts w:hint="eastAsia"/>
        </w:rPr>
        <w:t>，取15min</w:t>
      </w:r>
      <w:r>
        <w:t>。</w:t>
      </w:r>
    </w:p>
    <w:p w14:paraId="07BC0403">
      <w:pPr>
        <w:pStyle w:val="41"/>
        <w:bidi w:val="0"/>
      </w:pPr>
      <w:r>
        <w:t>则q=208.70L/s·ha</w:t>
      </w:r>
    </w:p>
    <w:p w14:paraId="1BBFA4FC">
      <w:pPr>
        <w:pStyle w:val="41"/>
        <w:bidi w:val="0"/>
      </w:pPr>
      <w:r>
        <w:rPr>
          <w:rFonts w:hint="eastAsia"/>
          <w:lang w:eastAsia="zh-CN"/>
        </w:rPr>
        <w:t>b.</w:t>
      </w:r>
      <w:r>
        <w:t>初期雨水</w:t>
      </w:r>
      <w:r>
        <w:rPr>
          <w:rFonts w:hint="eastAsia"/>
          <w:lang w:eastAsia="zh-CN"/>
        </w:rPr>
        <w:t>量</w:t>
      </w:r>
      <w:r>
        <w:t>估算公式如下：</w:t>
      </w:r>
    </w:p>
    <w:p w14:paraId="611554C9">
      <w:pPr>
        <w:pStyle w:val="41"/>
        <w:bidi w:val="0"/>
      </w:pPr>
      <w:r>
        <w:t>Q=qFψT</w:t>
      </w:r>
    </w:p>
    <w:p w14:paraId="6004FB91">
      <w:pPr>
        <w:pStyle w:val="41"/>
        <w:bidi w:val="0"/>
      </w:pPr>
      <w:r>
        <w:t>式中：Q——初期雨水排放量，单位为</w:t>
      </w:r>
      <w:r>
        <w:rPr>
          <w:rFonts w:hint="eastAsia"/>
          <w:lang w:eastAsia="zh-CN"/>
        </w:rPr>
        <w:t>m</w:t>
      </w:r>
      <w:r>
        <w:rPr>
          <w:rFonts w:hint="eastAsia"/>
          <w:vertAlign w:val="superscript"/>
          <w:lang w:eastAsia="zh-CN"/>
        </w:rPr>
        <w:t>3</w:t>
      </w:r>
      <w:r>
        <w:t>；</w:t>
      </w:r>
    </w:p>
    <w:p w14:paraId="2DBD0790">
      <w:pPr>
        <w:pStyle w:val="41"/>
        <w:bidi w:val="0"/>
      </w:pPr>
      <w:r>
        <w:t>F——汇水面积，单位为ha；</w:t>
      </w:r>
    </w:p>
    <w:p w14:paraId="3BA0FB76">
      <w:pPr>
        <w:pStyle w:val="41"/>
        <w:bidi w:val="0"/>
      </w:pPr>
      <w:r>
        <w:t>Ψ——年径流系数，根据云南省水文手册资料可知，项目所在区域取0.</w:t>
      </w:r>
      <w:r>
        <w:rPr>
          <w:rFonts w:hint="eastAsia"/>
        </w:rPr>
        <w:t>3</w:t>
      </w:r>
      <w:r>
        <w:t>；</w:t>
      </w:r>
    </w:p>
    <w:p w14:paraId="4149AACE">
      <w:pPr>
        <w:pStyle w:val="41"/>
        <w:bidi w:val="0"/>
      </w:pPr>
      <w:r>
        <w:t>T——为收水时间，一般取15min。</w:t>
      </w:r>
    </w:p>
    <w:p w14:paraId="50F7E55E">
      <w:pPr>
        <w:pStyle w:val="41"/>
        <w:bidi w:val="0"/>
      </w:pPr>
      <w:r>
        <w:rPr>
          <w:rFonts w:hint="eastAsia"/>
        </w:rPr>
        <w:t>根据项目实际情况，</w:t>
      </w:r>
      <w:r>
        <w:t>项目汇水面积约为</w:t>
      </w:r>
      <w:r>
        <w:rPr>
          <w:rFonts w:hint="eastAsia"/>
        </w:rPr>
        <w:t>3.04</w:t>
      </w:r>
      <w:r>
        <w:t>ha</w:t>
      </w:r>
      <w:r>
        <w:rPr>
          <w:rFonts w:hint="eastAsia"/>
        </w:rPr>
        <w:t>（汇水面积主要以生产加工区、砂石料堆场来核算）</w:t>
      </w:r>
      <w:r>
        <w:t>，</w:t>
      </w:r>
      <w:r>
        <w:rPr>
          <w:rFonts w:hint="eastAsia"/>
          <w:lang w:val="en-US" w:eastAsia="zh-CN"/>
        </w:rPr>
        <w:t>本次扩建，加工区堆料场面积不变，</w:t>
      </w:r>
      <w:r>
        <w:rPr>
          <w:rFonts w:hint="eastAsia"/>
        </w:rPr>
        <w:t>初期雨水量</w:t>
      </w:r>
      <w:r>
        <w:rPr>
          <w:rFonts w:hint="eastAsia"/>
          <w:lang w:val="en-US" w:eastAsia="zh-CN"/>
        </w:rPr>
        <w:t>产生量与原项目一致，均</w:t>
      </w:r>
      <w:r>
        <w:t>为</w:t>
      </w:r>
      <w:r>
        <w:rPr>
          <w:rFonts w:hint="eastAsia"/>
        </w:rPr>
        <w:t>171.30</w:t>
      </w:r>
      <w:r>
        <w:rPr>
          <w:rFonts w:hint="eastAsia"/>
          <w:lang w:eastAsia="zh-CN"/>
        </w:rPr>
        <w:t>m</w:t>
      </w:r>
      <w:r>
        <w:rPr>
          <w:rFonts w:hint="eastAsia"/>
          <w:vertAlign w:val="superscript"/>
          <w:lang w:eastAsia="zh-CN"/>
        </w:rPr>
        <w:t>3</w:t>
      </w:r>
      <w:r>
        <w:rPr>
          <w:rFonts w:hint="eastAsia"/>
        </w:rPr>
        <w:t>，</w:t>
      </w:r>
      <w:r>
        <w:rPr>
          <w:rFonts w:hint="default" w:ascii="Times New Roman" w:hAnsi="Times New Roman" w:cs="Times New Roman"/>
          <w:color w:val="000000" w:themeColor="text1"/>
          <w:highlight w:val="none"/>
          <w:lang w:val="en-US" w:eastAsia="zh-CN"/>
          <w14:textFill>
            <w14:solidFill>
              <w14:schemeClr w14:val="tx1"/>
            </w14:solidFill>
          </w14:textFill>
        </w:rPr>
        <w:t>平均年度降雨暴雨次数（形成初期地表径流）为15次</w:t>
      </w:r>
      <w:r>
        <w:rPr>
          <w:rFonts w:hint="eastAsia" w:ascii="Times New Roman" w:hAnsi="Times New Roman" w:cs="Times New Roman"/>
          <w:color w:val="000000" w:themeColor="text1"/>
          <w:highlight w:val="none"/>
          <w:lang w:val="en-US" w:eastAsia="zh-CN"/>
          <w14:textFill>
            <w14:solidFill>
              <w14:schemeClr w14:val="tx1"/>
            </w14:solidFill>
          </w14:textFill>
        </w:rPr>
        <w:t>/年，年收集初期雨水2569.5</w:t>
      </w:r>
      <w:r>
        <w:rPr>
          <w:rFonts w:hint="eastAsia" w:cs="Times New Roman"/>
          <w:color w:val="000000" w:themeColor="text1"/>
          <w:highlight w:val="none"/>
          <w:lang w:val="en-US" w:eastAsia="zh-CN"/>
          <w14:textFill>
            <w14:solidFill>
              <w14:schemeClr w14:val="tx1"/>
            </w14:solidFill>
          </w14:textFill>
        </w:rPr>
        <w:t>m</w:t>
      </w:r>
      <w:r>
        <w:rPr>
          <w:rFonts w:hint="eastAsia"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eastAsia"/>
        </w:rPr>
        <w:t>初期雨水由排水沟收集，经初期雨水收集池沉淀处理后，用于厂区洒水降尘及生产用水。</w:t>
      </w:r>
    </w:p>
    <w:p w14:paraId="6A733C96">
      <w:pPr>
        <w:pStyle w:val="41"/>
        <w:bidi w:val="0"/>
        <w:rPr>
          <w:rFonts w:hint="default"/>
          <w:b/>
          <w:bCs/>
          <w:lang w:val="en-US" w:eastAsia="zh-CN"/>
        </w:rPr>
      </w:pPr>
      <w:r>
        <w:rPr>
          <w:rFonts w:hint="default"/>
          <w:b/>
          <w:bCs/>
          <w:lang w:val="en-US" w:eastAsia="zh-CN"/>
        </w:rPr>
        <w:t>（</w:t>
      </w:r>
      <w:r>
        <w:rPr>
          <w:rFonts w:hint="eastAsia"/>
          <w:b/>
          <w:bCs/>
          <w:lang w:val="en-US" w:eastAsia="zh-CN"/>
        </w:rPr>
        <w:t>4</w:t>
      </w:r>
      <w:r>
        <w:rPr>
          <w:rFonts w:hint="default"/>
          <w:b/>
          <w:bCs/>
          <w:lang w:val="en-US" w:eastAsia="zh-CN"/>
        </w:rPr>
        <w:t>）生活用水</w:t>
      </w:r>
    </w:p>
    <w:p w14:paraId="7509650A">
      <w:pPr>
        <w:pStyle w:val="41"/>
        <w:bidi w:val="0"/>
        <w:rPr>
          <w:rFonts w:hint="default"/>
          <w:lang w:val="en-US" w:eastAsia="zh-CN"/>
        </w:rPr>
      </w:pPr>
      <w:r>
        <w:rPr>
          <w:rFonts w:hint="eastAsia"/>
          <w:lang w:val="en-US" w:eastAsia="zh-CN"/>
        </w:rPr>
        <w:t>原项目劳动定员</w:t>
      </w:r>
      <w:r>
        <w:rPr>
          <w:rFonts w:hint="default"/>
          <w:lang w:val="en-US" w:eastAsia="zh-CN"/>
        </w:rPr>
        <w:t>为</w:t>
      </w:r>
      <w:r>
        <w:rPr>
          <w:rFonts w:hint="eastAsia"/>
          <w:lang w:val="en-US" w:eastAsia="zh-CN"/>
        </w:rPr>
        <w:t>20</w:t>
      </w:r>
      <w:r>
        <w:rPr>
          <w:rFonts w:hint="default"/>
          <w:lang w:val="en-US" w:eastAsia="zh-CN"/>
        </w:rPr>
        <w:t>人，</w:t>
      </w:r>
      <w:r>
        <w:rPr>
          <w:rFonts w:hint="eastAsia"/>
          <w:lang w:val="en-US" w:eastAsia="zh-CN"/>
        </w:rPr>
        <w:t>在生活区食宿</w:t>
      </w:r>
      <w:r>
        <w:rPr>
          <w:rFonts w:hint="default"/>
          <w:lang w:val="en-US" w:eastAsia="zh-CN"/>
        </w:rPr>
        <w:t>，</w:t>
      </w:r>
      <w:r>
        <w:rPr>
          <w:rFonts w:hint="eastAsia"/>
          <w:lang w:val="en-US" w:eastAsia="zh-CN"/>
        </w:rPr>
        <w:t>本次扩建后，新增劳动定员8人，均不在项目内食宿，项目区生活用水主要是冲厕、洗手废水，</w:t>
      </w:r>
      <w:r>
        <w:rPr>
          <w:highlight w:val="none"/>
        </w:rPr>
        <w:t>按照《云南省地方标准 用水定额》（DB53/T168-201</w:t>
      </w:r>
      <w:r>
        <w:rPr>
          <w:rFonts w:hint="eastAsia"/>
          <w:highlight w:val="none"/>
          <w:lang w:val="en-US" w:eastAsia="zh-CN"/>
        </w:rPr>
        <w:t>9</w:t>
      </w:r>
      <w:r>
        <w:rPr>
          <w:highlight w:val="none"/>
        </w:rPr>
        <w:t>）标准及同类项目用水定额，</w:t>
      </w:r>
      <w:r>
        <w:rPr>
          <w:rFonts w:hint="eastAsia"/>
          <w:highlight w:val="none"/>
          <w:lang w:val="en-US" w:eastAsia="zh-CN"/>
        </w:rPr>
        <w:t>项目</w:t>
      </w:r>
      <w:r>
        <w:rPr>
          <w:rFonts w:hint="default"/>
          <w:lang w:val="en-US" w:eastAsia="zh-CN"/>
        </w:rPr>
        <w:t>洗手</w:t>
      </w:r>
      <w:r>
        <w:rPr>
          <w:rFonts w:hint="eastAsia"/>
          <w:lang w:val="en-US" w:eastAsia="zh-CN"/>
        </w:rPr>
        <w:t>冲厕等</w:t>
      </w:r>
      <w:r>
        <w:rPr>
          <w:rFonts w:hint="default"/>
          <w:lang w:val="en-US" w:eastAsia="zh-CN"/>
        </w:rPr>
        <w:t>用水量按</w:t>
      </w:r>
      <w:r>
        <w:rPr>
          <w:rFonts w:hint="eastAsia"/>
          <w:lang w:val="en-US" w:eastAsia="zh-CN"/>
        </w:rPr>
        <w:t>20</w:t>
      </w:r>
      <w:r>
        <w:rPr>
          <w:rFonts w:hint="default"/>
          <w:lang w:val="en-US" w:eastAsia="zh-CN"/>
        </w:rPr>
        <w:t>L/人·d计算，则总用水量</w:t>
      </w:r>
      <w:r>
        <w:rPr>
          <w:rFonts w:hint="eastAsia"/>
          <w:lang w:val="en-US" w:eastAsia="zh-CN"/>
        </w:rPr>
        <w:t>0.56m</w:t>
      </w:r>
      <w:r>
        <w:rPr>
          <w:rFonts w:hint="eastAsia"/>
          <w:vertAlign w:val="superscript"/>
          <w:lang w:val="en-US" w:eastAsia="zh-CN"/>
        </w:rPr>
        <w:t>3</w:t>
      </w:r>
      <w:r>
        <w:rPr>
          <w:rFonts w:hint="default"/>
          <w:lang w:val="en-US" w:eastAsia="zh-CN"/>
        </w:rPr>
        <w:t>/d，</w:t>
      </w:r>
      <w:r>
        <w:rPr>
          <w:rFonts w:hint="eastAsia"/>
          <w:lang w:val="en-US" w:eastAsia="zh-CN"/>
        </w:rPr>
        <w:t>168m</w:t>
      </w:r>
      <w:r>
        <w:rPr>
          <w:rFonts w:hint="eastAsia"/>
          <w:vertAlign w:val="superscript"/>
          <w:lang w:val="en-US" w:eastAsia="zh-CN"/>
        </w:rPr>
        <w:t>3</w:t>
      </w:r>
      <w:r>
        <w:rPr>
          <w:rFonts w:hint="default"/>
          <w:lang w:val="en-US" w:eastAsia="zh-CN"/>
        </w:rPr>
        <w:t>/a，废水产生量按用水量的0.8计，项目废水产生量为</w:t>
      </w:r>
      <w:r>
        <w:rPr>
          <w:rFonts w:hint="eastAsia"/>
          <w:lang w:val="en-US" w:eastAsia="zh-CN"/>
        </w:rPr>
        <w:t>0.45m</w:t>
      </w:r>
      <w:r>
        <w:rPr>
          <w:rFonts w:hint="eastAsia"/>
          <w:vertAlign w:val="superscript"/>
          <w:lang w:val="en-US" w:eastAsia="zh-CN"/>
        </w:rPr>
        <w:t>3</w:t>
      </w:r>
      <w:r>
        <w:rPr>
          <w:rFonts w:hint="default"/>
          <w:lang w:val="en-US" w:eastAsia="zh-CN"/>
        </w:rPr>
        <w:t>/d，</w:t>
      </w:r>
      <w:r>
        <w:rPr>
          <w:rFonts w:hint="eastAsia"/>
          <w:lang w:val="en-US" w:eastAsia="zh-CN"/>
        </w:rPr>
        <w:t>134.4m</w:t>
      </w:r>
      <w:r>
        <w:rPr>
          <w:rFonts w:hint="eastAsia"/>
          <w:vertAlign w:val="superscript"/>
          <w:lang w:val="en-US" w:eastAsia="zh-CN"/>
        </w:rPr>
        <w:t>3</w:t>
      </w:r>
      <w:r>
        <w:rPr>
          <w:rFonts w:hint="default"/>
          <w:lang w:val="en-US" w:eastAsia="zh-CN"/>
        </w:rPr>
        <w:t>/a</w:t>
      </w:r>
      <w:r>
        <w:rPr>
          <w:rFonts w:hint="eastAsia"/>
          <w:lang w:val="en-US" w:eastAsia="zh-CN"/>
        </w:rPr>
        <w:t>，进入粪便收集池后提供给周围农户做农肥，</w:t>
      </w:r>
      <w:r>
        <w:rPr>
          <w:rFonts w:hint="default"/>
          <w:lang w:val="en-US" w:eastAsia="zh-CN"/>
        </w:rPr>
        <w:t>不外排。</w:t>
      </w:r>
    </w:p>
    <w:p w14:paraId="572BBE67">
      <w:pPr>
        <w:pStyle w:val="41"/>
        <w:bidi w:val="0"/>
        <w:rPr>
          <w:rFonts w:hint="default"/>
          <w:b/>
          <w:bCs/>
          <w:lang w:val="en-US" w:eastAsia="zh-CN"/>
        </w:rPr>
      </w:pPr>
      <w:r>
        <w:rPr>
          <w:rFonts w:hint="eastAsia"/>
          <w:b/>
          <w:bCs/>
          <w:lang w:val="en-US" w:eastAsia="zh-CN"/>
        </w:rPr>
        <w:t>（5）项目用排水情况汇总</w:t>
      </w:r>
    </w:p>
    <w:p w14:paraId="5415C5D8">
      <w:pPr>
        <w:pStyle w:val="41"/>
        <w:bidi w:val="0"/>
        <w:rPr>
          <w:rFonts w:hint="default"/>
          <w:lang w:val="en-US" w:eastAsia="zh-CN"/>
        </w:rPr>
      </w:pPr>
      <w:r>
        <w:rPr>
          <w:rFonts w:hint="default"/>
          <w:lang w:val="en-US" w:eastAsia="zh-CN"/>
        </w:rPr>
        <w:t>本项目用水及废水产生汇总如下表所示：</w:t>
      </w:r>
    </w:p>
    <w:p w14:paraId="30F7F07F">
      <w:pPr>
        <w:pStyle w:val="45"/>
        <w:bidi w:val="0"/>
        <w:rPr>
          <w:rFonts w:hint="default"/>
          <w:lang w:val="en-US" w:eastAsia="zh-CN"/>
        </w:rPr>
      </w:pPr>
      <w:r>
        <w:rPr>
          <w:rFonts w:hint="default"/>
          <w:lang w:val="en-US" w:eastAsia="zh-CN"/>
        </w:rPr>
        <w:t>表</w:t>
      </w:r>
      <w:r>
        <w:rPr>
          <w:rFonts w:hint="eastAsia"/>
          <w:lang w:val="en-US" w:eastAsia="zh-CN"/>
        </w:rPr>
        <w:t>3.5</w:t>
      </w:r>
      <w:r>
        <w:rPr>
          <w:rFonts w:hint="default"/>
          <w:lang w:val="en-US" w:eastAsia="zh-CN"/>
        </w:rPr>
        <w:t>-</w:t>
      </w:r>
      <w:r>
        <w:rPr>
          <w:rFonts w:hint="eastAsia"/>
          <w:lang w:val="en-US" w:eastAsia="zh-CN"/>
        </w:rPr>
        <w:t>7</w:t>
      </w:r>
      <w:r>
        <w:rPr>
          <w:rFonts w:hint="default"/>
          <w:lang w:val="en-US" w:eastAsia="zh-CN"/>
        </w:rPr>
        <w:t xml:space="preserve">  项目用水及废水产生情况统计表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7"/>
        <w:gridCol w:w="1153"/>
        <w:gridCol w:w="1071"/>
        <w:gridCol w:w="1106"/>
        <w:gridCol w:w="1388"/>
        <w:gridCol w:w="1172"/>
        <w:gridCol w:w="1192"/>
      </w:tblGrid>
      <w:tr w14:paraId="0E58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2B142">
            <w:pPr>
              <w:pStyle w:val="43"/>
              <w:bidi w:val="0"/>
              <w:rPr>
                <w:rFonts w:hint="eastAsia"/>
                <w:b/>
                <w:bCs/>
              </w:rPr>
            </w:pPr>
            <w:r>
              <w:rPr>
                <w:rFonts w:hint="eastAsia"/>
                <w:b/>
                <w:bCs/>
                <w:lang w:val="en-US" w:eastAsia="zh-CN"/>
              </w:rPr>
              <w:t>用水项目</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0DE69">
            <w:pPr>
              <w:pStyle w:val="43"/>
              <w:bidi w:val="0"/>
              <w:rPr>
                <w:rFonts w:hint="eastAsia"/>
                <w:b/>
                <w:bCs/>
              </w:rPr>
            </w:pPr>
            <w:r>
              <w:rPr>
                <w:rFonts w:hint="eastAsia"/>
                <w:b/>
                <w:bCs/>
                <w:lang w:val="en-US" w:eastAsia="zh-CN"/>
              </w:rPr>
              <w:t>日用水量（m</w:t>
            </w:r>
            <w:r>
              <w:rPr>
                <w:rFonts w:hint="eastAsia"/>
                <w:b/>
                <w:bCs/>
                <w:vertAlign w:val="superscript"/>
                <w:lang w:val="en-US" w:eastAsia="zh-CN"/>
              </w:rPr>
              <w:t>3</w:t>
            </w:r>
            <w:r>
              <w:rPr>
                <w:rFonts w:hint="default"/>
                <w:b/>
                <w:bCs/>
                <w:lang w:val="en-US" w:eastAsia="zh-CN"/>
              </w:rPr>
              <w:t>/d</w:t>
            </w:r>
            <w:r>
              <w:rPr>
                <w:rFonts w:hint="eastAsia"/>
                <w:b/>
                <w:bCs/>
                <w:lang w:val="en-US" w:eastAsia="zh-CN"/>
              </w:rPr>
              <w:t>）</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BF052">
            <w:pPr>
              <w:pStyle w:val="43"/>
              <w:bidi w:val="0"/>
              <w:rPr>
                <w:rFonts w:hint="eastAsia"/>
                <w:b/>
                <w:bCs/>
              </w:rPr>
            </w:pPr>
            <w:r>
              <w:rPr>
                <w:rFonts w:hint="eastAsia"/>
                <w:b/>
                <w:bCs/>
                <w:lang w:val="en-US" w:eastAsia="zh-CN"/>
              </w:rPr>
              <w:t>年用水日（天）</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3329">
            <w:pPr>
              <w:pStyle w:val="43"/>
              <w:bidi w:val="0"/>
              <w:rPr>
                <w:rFonts w:hint="eastAsia"/>
                <w:b/>
                <w:bCs/>
              </w:rPr>
            </w:pPr>
            <w:r>
              <w:rPr>
                <w:rFonts w:hint="eastAsia"/>
                <w:b/>
                <w:bCs/>
                <w:lang w:val="en-US" w:eastAsia="zh-CN"/>
              </w:rPr>
              <w:t>年用水量（m</w:t>
            </w:r>
            <w:r>
              <w:rPr>
                <w:rFonts w:hint="eastAsia"/>
                <w:b/>
                <w:bCs/>
                <w:vertAlign w:val="superscript"/>
                <w:lang w:val="en-US" w:eastAsia="zh-CN"/>
              </w:rPr>
              <w:t>3</w:t>
            </w:r>
            <w:r>
              <w:rPr>
                <w:rFonts w:hint="default"/>
                <w:b/>
                <w:bCs/>
                <w:lang w:val="en-US" w:eastAsia="zh-CN"/>
              </w:rPr>
              <w:t>/a</w:t>
            </w:r>
            <w:r>
              <w:rPr>
                <w:rFonts w:hint="eastAsia"/>
                <w:b/>
                <w:bCs/>
                <w:lang w:val="en-US" w:eastAsia="zh-CN"/>
              </w:rPr>
              <w:t>）</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61176">
            <w:pPr>
              <w:pStyle w:val="43"/>
              <w:bidi w:val="0"/>
              <w:rPr>
                <w:rFonts w:hint="eastAsia"/>
                <w:b/>
                <w:bCs/>
              </w:rPr>
            </w:pPr>
            <w:r>
              <w:rPr>
                <w:rFonts w:hint="eastAsia"/>
                <w:b/>
                <w:bCs/>
                <w:lang w:val="en-US" w:eastAsia="zh-CN"/>
              </w:rPr>
              <w:t>日产废水量（m</w:t>
            </w:r>
            <w:r>
              <w:rPr>
                <w:rFonts w:hint="eastAsia"/>
                <w:b/>
                <w:bCs/>
                <w:vertAlign w:val="superscript"/>
                <w:lang w:val="en-US" w:eastAsia="zh-CN"/>
              </w:rPr>
              <w:t>3</w:t>
            </w:r>
            <w:r>
              <w:rPr>
                <w:rFonts w:hint="default"/>
                <w:b/>
                <w:bCs/>
                <w:lang w:val="en-US" w:eastAsia="zh-CN"/>
              </w:rPr>
              <w:t>/d</w:t>
            </w:r>
            <w:r>
              <w:rPr>
                <w:rFonts w:hint="eastAsia"/>
                <w:b/>
                <w:bCs/>
                <w:lang w:val="en-US" w:eastAsia="zh-CN"/>
              </w:rPr>
              <w:t>）</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9F419">
            <w:pPr>
              <w:pStyle w:val="43"/>
              <w:bidi w:val="0"/>
              <w:rPr>
                <w:rFonts w:hint="eastAsia"/>
                <w:b/>
                <w:bCs/>
              </w:rPr>
            </w:pPr>
            <w:r>
              <w:rPr>
                <w:rFonts w:hint="eastAsia"/>
                <w:b/>
                <w:bCs/>
                <w:lang w:val="en-US" w:eastAsia="zh-CN"/>
              </w:rPr>
              <w:t>年产废水量（m</w:t>
            </w:r>
            <w:r>
              <w:rPr>
                <w:rFonts w:hint="eastAsia"/>
                <w:b/>
                <w:bCs/>
                <w:vertAlign w:val="superscript"/>
                <w:lang w:val="en-US" w:eastAsia="zh-CN"/>
              </w:rPr>
              <w:t>3</w:t>
            </w:r>
            <w:r>
              <w:rPr>
                <w:rFonts w:hint="default"/>
                <w:b/>
                <w:bCs/>
                <w:lang w:val="en-US" w:eastAsia="zh-CN"/>
              </w:rPr>
              <w:t>/a</w:t>
            </w:r>
            <w:r>
              <w:rPr>
                <w:rFonts w:hint="eastAsia"/>
                <w:b/>
                <w:bCs/>
                <w:lang w:val="en-US" w:eastAsia="zh-CN"/>
              </w:rPr>
              <w:t>）</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1F556">
            <w:pPr>
              <w:pStyle w:val="43"/>
              <w:bidi w:val="0"/>
              <w:rPr>
                <w:rFonts w:hint="eastAsia"/>
                <w:b/>
                <w:bCs/>
              </w:rPr>
            </w:pPr>
            <w:r>
              <w:rPr>
                <w:rFonts w:hint="eastAsia"/>
                <w:b/>
                <w:bCs/>
                <w:lang w:val="en-US" w:eastAsia="zh-CN"/>
              </w:rPr>
              <w:t>处理去向</w:t>
            </w:r>
          </w:p>
        </w:tc>
      </w:tr>
      <w:tr w14:paraId="6547F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FCD0D">
            <w:pPr>
              <w:pStyle w:val="43"/>
              <w:bidi w:val="0"/>
              <w:rPr>
                <w:rFonts w:hint="eastAsia"/>
              </w:rPr>
            </w:pPr>
            <w:r>
              <w:rPr>
                <w:rFonts w:hint="eastAsia"/>
                <w:lang w:val="en-US" w:eastAsia="zh-CN"/>
              </w:rPr>
              <w:t>降尘用水</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3C37">
            <w:pPr>
              <w:pStyle w:val="43"/>
              <w:bidi w:val="0"/>
              <w:rPr>
                <w:rFonts w:hint="default"/>
              </w:rPr>
            </w:pPr>
            <w:r>
              <w:rPr>
                <w:rFonts w:hint="default"/>
                <w:lang w:val="en-US" w:eastAsia="zh-CN"/>
              </w:rPr>
              <w:t>68.4</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1548">
            <w:pPr>
              <w:pStyle w:val="43"/>
              <w:bidi w:val="0"/>
              <w:rPr>
                <w:rFonts w:hint="default"/>
              </w:rPr>
            </w:pPr>
            <w:r>
              <w:rPr>
                <w:rFonts w:hint="default"/>
                <w:lang w:val="en-US" w:eastAsia="zh-CN"/>
              </w:rPr>
              <w:t>180</w:t>
            </w:r>
            <w:r>
              <w:rPr>
                <w:rFonts w:hint="eastAsia"/>
                <w:lang w:val="en-US" w:eastAsia="zh-CN"/>
              </w:rPr>
              <w:t>（</w:t>
            </w:r>
            <w:r>
              <w:rPr>
                <w:rFonts w:hint="default"/>
                <w:lang w:val="en-US" w:eastAsia="zh-CN"/>
              </w:rPr>
              <w:t>300</w:t>
            </w:r>
            <w:r>
              <w:rPr>
                <w:rFonts w:hint="eastAsia"/>
                <w:lang w:val="en-US" w:eastAsia="zh-CN"/>
              </w:rPr>
              <w:t>)</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4EEE0">
            <w:pPr>
              <w:pStyle w:val="43"/>
              <w:bidi w:val="0"/>
              <w:rPr>
                <w:rFonts w:hint="default"/>
                <w:lang w:val="en-US"/>
              </w:rPr>
            </w:pPr>
            <w:r>
              <w:rPr>
                <w:rFonts w:hint="default"/>
                <w:lang w:val="en-US" w:eastAsia="zh-CN"/>
              </w:rPr>
              <w:t>18538</w:t>
            </w:r>
            <w:r>
              <w:rPr>
                <w:rFonts w:hint="eastAsia"/>
                <w:lang w:val="en-US" w:eastAsia="zh-CN"/>
              </w:rPr>
              <w:t>（自来水15968.5）</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F43E">
            <w:pPr>
              <w:pStyle w:val="43"/>
              <w:bidi w:val="0"/>
              <w:rPr>
                <w:rFonts w:hint="default"/>
              </w:rPr>
            </w:pPr>
            <w:r>
              <w:rPr>
                <w:rFonts w:hint="default"/>
                <w:lang w:val="en-US" w:eastAsia="zh-CN"/>
              </w:rPr>
              <w:t>0</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D438">
            <w:pPr>
              <w:pStyle w:val="43"/>
              <w:bidi w:val="0"/>
              <w:rPr>
                <w:rFonts w:hint="default"/>
              </w:rPr>
            </w:pPr>
            <w:r>
              <w:rPr>
                <w:rFonts w:hint="default"/>
                <w:lang w:val="en-US" w:eastAsia="zh-CN"/>
              </w:rPr>
              <w:t>0</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0948A">
            <w:pPr>
              <w:pStyle w:val="43"/>
              <w:bidi w:val="0"/>
              <w:rPr>
                <w:rFonts w:hint="default"/>
              </w:rPr>
            </w:pPr>
            <w:r>
              <w:rPr>
                <w:rFonts w:hint="default"/>
                <w:lang w:val="en-US" w:eastAsia="zh-CN"/>
              </w:rPr>
              <w:t>/</w:t>
            </w:r>
          </w:p>
        </w:tc>
      </w:tr>
      <w:tr w14:paraId="0E95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8B9EC">
            <w:pPr>
              <w:pStyle w:val="43"/>
              <w:bidi w:val="0"/>
              <w:rPr>
                <w:rFonts w:hint="eastAsia"/>
              </w:rPr>
            </w:pPr>
            <w:r>
              <w:rPr>
                <w:rFonts w:hint="eastAsia"/>
                <w:lang w:val="en-US" w:eastAsia="zh-CN"/>
              </w:rPr>
              <w:t>初期雨水</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68F93">
            <w:pPr>
              <w:pStyle w:val="43"/>
              <w:bidi w:val="0"/>
              <w:rPr>
                <w:rFonts w:hint="default"/>
              </w:rPr>
            </w:pPr>
            <w:r>
              <w:rPr>
                <w:rFonts w:hint="default"/>
                <w:lang w:val="en-US" w:eastAsia="zh-CN"/>
              </w:rPr>
              <w:t>/</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F25B">
            <w:pPr>
              <w:pStyle w:val="43"/>
              <w:bidi w:val="0"/>
              <w:rPr>
                <w:rFonts w:hint="default"/>
              </w:rPr>
            </w:pPr>
            <w:r>
              <w:rPr>
                <w:rFonts w:hint="default"/>
                <w:lang w:val="en-US" w:eastAsia="zh-CN"/>
              </w:rPr>
              <w:t>/</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58827">
            <w:pPr>
              <w:pStyle w:val="43"/>
              <w:bidi w:val="0"/>
              <w:rPr>
                <w:rFonts w:hint="default"/>
              </w:rPr>
            </w:pPr>
            <w:r>
              <w:rPr>
                <w:rFonts w:hint="default"/>
                <w:lang w:val="en-US" w:eastAsia="zh-CN"/>
              </w:rPr>
              <w:t>/</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E0CE">
            <w:pPr>
              <w:pStyle w:val="43"/>
              <w:bidi w:val="0"/>
              <w:rPr>
                <w:rFonts w:hint="default"/>
              </w:rPr>
            </w:pPr>
            <w:r>
              <w:rPr>
                <w:rFonts w:hint="default"/>
                <w:lang w:val="en-US" w:eastAsia="zh-CN"/>
              </w:rPr>
              <w:t>17</w:t>
            </w:r>
            <w:r>
              <w:rPr>
                <w:rFonts w:hint="eastAsia"/>
                <w:lang w:val="en-US" w:eastAsia="zh-CN"/>
              </w:rPr>
              <w:t>1</w:t>
            </w:r>
            <w:r>
              <w:rPr>
                <w:rFonts w:hint="default"/>
                <w:lang w:val="en-US" w:eastAsia="zh-CN"/>
              </w:rPr>
              <w:t>.3</w:t>
            </w:r>
            <w:r>
              <w:rPr>
                <w:rFonts w:hint="eastAsia"/>
                <w:lang w:val="en-US" w:eastAsia="zh-CN"/>
              </w:rPr>
              <w:t>（雨天）</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411D">
            <w:pPr>
              <w:pStyle w:val="43"/>
              <w:bidi w:val="0"/>
              <w:rPr>
                <w:rFonts w:hint="default"/>
              </w:rPr>
            </w:pPr>
            <w:r>
              <w:rPr>
                <w:rFonts w:hint="eastAsia"/>
                <w:lang w:val="en-US" w:eastAsia="zh-CN"/>
              </w:rPr>
              <w:t>2569.5</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2925E">
            <w:pPr>
              <w:pStyle w:val="43"/>
              <w:bidi w:val="0"/>
              <w:rPr>
                <w:rFonts w:hint="default"/>
                <w:lang w:val="en-US"/>
              </w:rPr>
            </w:pPr>
            <w:r>
              <w:rPr>
                <w:rFonts w:hint="eastAsia"/>
                <w:lang w:val="en-US" w:eastAsia="zh-CN"/>
              </w:rPr>
              <w:t>经初期雨水收集池收集后回用于项目区洒水降尘。</w:t>
            </w:r>
          </w:p>
        </w:tc>
      </w:tr>
      <w:tr w14:paraId="56B6A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2CC49">
            <w:pPr>
              <w:pStyle w:val="43"/>
              <w:bidi w:val="0"/>
              <w:rPr>
                <w:rFonts w:hint="eastAsia"/>
              </w:rPr>
            </w:pPr>
            <w:r>
              <w:rPr>
                <w:rFonts w:hint="eastAsia"/>
                <w:lang w:val="en-US" w:eastAsia="zh-CN"/>
              </w:rPr>
              <w:t>生活污水</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F507C">
            <w:pPr>
              <w:pStyle w:val="43"/>
              <w:bidi w:val="0"/>
              <w:rPr>
                <w:rFonts w:hint="default"/>
              </w:rPr>
            </w:pPr>
            <w:r>
              <w:rPr>
                <w:rFonts w:hint="default"/>
                <w:lang w:val="en-US" w:eastAsia="zh-CN"/>
              </w:rPr>
              <w:t>0.56</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4E32">
            <w:pPr>
              <w:pStyle w:val="43"/>
              <w:bidi w:val="0"/>
              <w:rPr>
                <w:rFonts w:hint="default"/>
              </w:rPr>
            </w:pPr>
            <w:r>
              <w:rPr>
                <w:rFonts w:hint="default"/>
                <w:lang w:val="en-US" w:eastAsia="zh-CN"/>
              </w:rPr>
              <w:t>300</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0E31">
            <w:pPr>
              <w:pStyle w:val="43"/>
              <w:bidi w:val="0"/>
              <w:rPr>
                <w:rFonts w:hint="default"/>
              </w:rPr>
            </w:pPr>
            <w:r>
              <w:rPr>
                <w:rFonts w:hint="default"/>
                <w:lang w:val="en-US" w:eastAsia="zh-CN"/>
              </w:rPr>
              <w:t>168</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9EA1">
            <w:pPr>
              <w:pStyle w:val="43"/>
              <w:bidi w:val="0"/>
              <w:rPr>
                <w:rFonts w:hint="default"/>
              </w:rPr>
            </w:pPr>
            <w:r>
              <w:rPr>
                <w:rFonts w:hint="default"/>
                <w:lang w:val="en-US" w:eastAsia="zh-CN"/>
              </w:rPr>
              <w:t>0.4</w:t>
            </w:r>
            <w:r>
              <w:rPr>
                <w:rFonts w:hint="eastAsia"/>
                <w:lang w:val="en-US" w:eastAsia="zh-CN"/>
              </w:rPr>
              <w:t>5</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9E72">
            <w:pPr>
              <w:pStyle w:val="43"/>
              <w:bidi w:val="0"/>
              <w:rPr>
                <w:rFonts w:hint="default"/>
              </w:rPr>
            </w:pPr>
            <w:r>
              <w:rPr>
                <w:rFonts w:hint="default"/>
                <w:lang w:val="en-US" w:eastAsia="zh-CN"/>
              </w:rPr>
              <w:t>134.4</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D63E">
            <w:pPr>
              <w:pStyle w:val="43"/>
              <w:bidi w:val="0"/>
              <w:rPr>
                <w:rFonts w:hint="eastAsia"/>
              </w:rPr>
            </w:pPr>
            <w:r>
              <w:rPr>
                <w:rFonts w:hint="eastAsia"/>
                <w:lang w:val="en-US" w:eastAsia="zh-CN"/>
              </w:rPr>
              <w:t>进入粪污收集池后用于周边农肥。</w:t>
            </w:r>
          </w:p>
        </w:tc>
      </w:tr>
      <w:tr w14:paraId="61B9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5C7BE">
            <w:pPr>
              <w:pStyle w:val="43"/>
              <w:bidi w:val="0"/>
              <w:rPr>
                <w:rFonts w:hint="eastAsia"/>
              </w:rPr>
            </w:pPr>
            <w:r>
              <w:rPr>
                <w:rFonts w:hint="eastAsia"/>
                <w:lang w:val="en-US" w:eastAsia="zh-CN"/>
              </w:rPr>
              <w:t>合计</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3E39">
            <w:pPr>
              <w:keepNext w:val="0"/>
              <w:keepLines w:val="0"/>
              <w:widowControl/>
              <w:suppressLineNumbers w:val="0"/>
              <w:jc w:val="center"/>
              <w:textAlignment w:val="center"/>
              <w:rPr>
                <w:rFonts w:hint="default"/>
              </w:rPr>
            </w:pPr>
            <w:r>
              <w:rPr>
                <w:rFonts w:hint="default" w:ascii="Times New Roman" w:hAnsi="Times New Roman" w:eastAsia="宋体" w:cs="Times New Roman"/>
                <w:i w:val="0"/>
                <w:iCs w:val="0"/>
                <w:color w:val="000000"/>
                <w:kern w:val="0"/>
                <w:sz w:val="21"/>
                <w:szCs w:val="21"/>
                <w:u w:val="none"/>
                <w:lang w:val="en-US" w:eastAsia="zh-CN" w:bidi="ar"/>
              </w:rPr>
              <w:t>68.96</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0E55">
            <w:pPr>
              <w:keepNext w:val="0"/>
              <w:keepLines w:val="0"/>
              <w:widowControl/>
              <w:suppressLineNumbers w:val="0"/>
              <w:jc w:val="center"/>
              <w:textAlignment w:val="center"/>
              <w:rPr>
                <w:rFonts w:hint="default"/>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A4E3">
            <w:pPr>
              <w:keepNext w:val="0"/>
              <w:keepLines w:val="0"/>
              <w:widowControl/>
              <w:suppressLineNumbers w:val="0"/>
              <w:jc w:val="center"/>
              <w:textAlignment w:val="center"/>
              <w:rPr>
                <w:rFonts w:hint="default"/>
              </w:rPr>
            </w:pPr>
            <w:r>
              <w:rPr>
                <w:rFonts w:hint="default" w:ascii="Times New Roman" w:hAnsi="Times New Roman" w:eastAsia="宋体" w:cs="Times New Roman"/>
                <w:i w:val="0"/>
                <w:iCs w:val="0"/>
                <w:color w:val="000000"/>
                <w:kern w:val="0"/>
                <w:sz w:val="21"/>
                <w:szCs w:val="21"/>
                <w:u w:val="none"/>
                <w:lang w:val="en-US" w:eastAsia="zh-CN" w:bidi="ar"/>
              </w:rPr>
              <w:t>18706</w:t>
            </w:r>
            <w:r>
              <w:rPr>
                <w:rFonts w:hint="eastAsia" w:ascii="Times New Roman" w:hAnsi="Times New Roman" w:eastAsia="宋体" w:cs="Times New Roman"/>
                <w:i w:val="0"/>
                <w:iCs w:val="0"/>
                <w:color w:val="000000"/>
                <w:kern w:val="0"/>
                <w:sz w:val="21"/>
                <w:szCs w:val="21"/>
                <w:u w:val="none"/>
                <w:lang w:val="en-US" w:eastAsia="zh-CN" w:bidi="ar"/>
              </w:rPr>
              <w:t>（自来水16136.5）</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1471">
            <w:pPr>
              <w:pStyle w:val="43"/>
              <w:bidi w:val="0"/>
              <w:rPr>
                <w:rFonts w:hint="default"/>
                <w:lang w:val="en-US" w:eastAsia="zh-CN"/>
              </w:rPr>
            </w:pPr>
            <w:r>
              <w:rPr>
                <w:rFonts w:hint="eastAsia"/>
                <w:lang w:val="en-US" w:eastAsia="zh-CN"/>
              </w:rPr>
              <w:t>晴天：</w:t>
            </w:r>
            <w:r>
              <w:rPr>
                <w:rFonts w:hint="default"/>
                <w:lang w:val="en-US" w:eastAsia="zh-CN"/>
              </w:rPr>
              <w:t>0.4</w:t>
            </w:r>
            <w:r>
              <w:rPr>
                <w:rFonts w:hint="eastAsia"/>
                <w:lang w:val="en-US" w:eastAsia="zh-CN"/>
              </w:rPr>
              <w:t>5</w:t>
            </w:r>
          </w:p>
          <w:p w14:paraId="5953EA00">
            <w:pPr>
              <w:pStyle w:val="43"/>
              <w:bidi w:val="0"/>
              <w:rPr>
                <w:rFonts w:hint="default"/>
                <w:lang w:val="en-US"/>
              </w:rPr>
            </w:pPr>
            <w:r>
              <w:rPr>
                <w:rFonts w:hint="eastAsia"/>
                <w:lang w:val="en-US" w:eastAsia="zh-CN"/>
              </w:rPr>
              <w:t>雨天：171.75</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2B2F">
            <w:pPr>
              <w:pStyle w:val="43"/>
              <w:bidi w:val="0"/>
              <w:rPr>
                <w:rFonts w:hint="default"/>
              </w:rPr>
            </w:pPr>
            <w:r>
              <w:rPr>
                <w:rFonts w:hint="default"/>
                <w:lang w:val="en-US" w:eastAsia="zh-CN"/>
              </w:rPr>
              <w:t>2703.9</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6BB1">
            <w:pPr>
              <w:pStyle w:val="43"/>
              <w:bidi w:val="0"/>
              <w:rPr>
                <w:rFonts w:hint="default"/>
              </w:rPr>
            </w:pPr>
            <w:r>
              <w:rPr>
                <w:rFonts w:hint="default"/>
                <w:lang w:val="en-US" w:eastAsia="zh-CN"/>
              </w:rPr>
              <w:t>/</w:t>
            </w:r>
          </w:p>
        </w:tc>
      </w:tr>
    </w:tbl>
    <w:p w14:paraId="5BE38870">
      <w:pPr>
        <w:pStyle w:val="41"/>
        <w:bidi w:val="0"/>
        <w:rPr>
          <w:rFonts w:hint="default"/>
          <w:b/>
          <w:bCs/>
          <w:lang w:val="en-US" w:eastAsia="zh-CN"/>
        </w:rPr>
      </w:pPr>
      <w:r>
        <w:rPr>
          <w:rFonts w:hint="default"/>
          <w:b/>
          <w:bCs/>
          <w:lang w:val="en-US" w:eastAsia="zh-CN"/>
        </w:rPr>
        <w:t>（</w:t>
      </w:r>
      <w:r>
        <w:rPr>
          <w:rFonts w:hint="eastAsia"/>
          <w:b/>
          <w:bCs/>
          <w:lang w:val="en-US" w:eastAsia="zh-CN"/>
        </w:rPr>
        <w:t>6</w:t>
      </w:r>
      <w:r>
        <w:rPr>
          <w:rFonts w:hint="default"/>
          <w:b/>
          <w:bCs/>
          <w:lang w:val="en-US" w:eastAsia="zh-CN"/>
        </w:rPr>
        <w:t>）水平衡</w:t>
      </w:r>
    </w:p>
    <w:p w14:paraId="28A8B8E9">
      <w:pPr>
        <w:pStyle w:val="41"/>
        <w:bidi w:val="0"/>
        <w:rPr>
          <w:rFonts w:hint="eastAsia"/>
          <w:lang w:val="en-US" w:eastAsia="zh-CN"/>
        </w:rPr>
      </w:pPr>
      <w:r>
        <w:rPr>
          <w:rFonts w:hint="default"/>
          <w:lang w:val="en-US" w:eastAsia="zh-CN"/>
        </w:rPr>
        <w:t>项目水平衡见下图</w:t>
      </w:r>
      <w:r>
        <w:rPr>
          <w:rFonts w:hint="eastAsia"/>
          <w:lang w:val="en-US" w:eastAsia="zh-CN"/>
        </w:rPr>
        <w:t>：</w:t>
      </w:r>
    </w:p>
    <w:p w14:paraId="71B59053">
      <w:pPr>
        <w:pStyle w:val="41"/>
        <w:bidi w:val="0"/>
        <w:ind w:left="0" w:leftChars="0" w:firstLine="0" w:firstLineChars="0"/>
        <w:rPr>
          <w:rFonts w:hint="default"/>
          <w:lang w:val="en-US" w:eastAsia="zh-CN"/>
        </w:rPr>
      </w:pPr>
      <w:r>
        <w:rPr>
          <w:rFonts w:hint="default"/>
          <w:lang w:val="en-US" w:eastAsia="zh-CN"/>
        </w:rPr>
        <w:drawing>
          <wp:inline distT="0" distB="0" distL="114300" distR="114300">
            <wp:extent cx="4886960" cy="2248535"/>
            <wp:effectExtent l="9525" t="9525" r="10795" b="12700"/>
            <wp:docPr id="107" name="图片 107" descr="扩建后水平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扩建后水平衡"/>
                    <pic:cNvPicPr>
                      <a:picLocks noChangeAspect="1"/>
                    </pic:cNvPicPr>
                  </pic:nvPicPr>
                  <pic:blipFill>
                    <a:blip r:embed="rId28"/>
                    <a:stretch>
                      <a:fillRect/>
                    </a:stretch>
                  </pic:blipFill>
                  <pic:spPr>
                    <a:xfrm>
                      <a:off x="0" y="0"/>
                      <a:ext cx="4886960" cy="2248535"/>
                    </a:xfrm>
                    <a:prstGeom prst="rect">
                      <a:avLst/>
                    </a:prstGeom>
                    <a:ln>
                      <a:solidFill>
                        <a:schemeClr val="tx1"/>
                      </a:solidFill>
                    </a:ln>
                  </pic:spPr>
                </pic:pic>
              </a:graphicData>
            </a:graphic>
          </wp:inline>
        </w:drawing>
      </w:r>
    </w:p>
    <w:p w14:paraId="466A7179">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图</w:t>
      </w:r>
      <w:r>
        <w:rPr>
          <w:rFonts w:hint="eastAsia" w:cs="Times New Roman"/>
          <w:b/>
          <w:bCs/>
          <w:color w:val="000000" w:themeColor="text1"/>
          <w:highlight w:val="none"/>
          <w:lang w:val="en-US" w:eastAsia="zh-CN"/>
          <w14:textFill>
            <w14:solidFill>
              <w14:schemeClr w14:val="tx1"/>
            </w14:solidFill>
          </w14:textFill>
        </w:rPr>
        <w:t>3.5</w:t>
      </w:r>
      <w:r>
        <w:rPr>
          <w:rFonts w:hint="default" w:ascii="Times New Roman" w:hAnsi="Times New Roman" w:cs="Times New Roman"/>
          <w:b/>
          <w:bCs/>
          <w:color w:val="000000" w:themeColor="text1"/>
          <w:highlight w:val="none"/>
          <w:lang w:val="en-US" w:eastAsia="zh-CN"/>
          <w14:textFill>
            <w14:solidFill>
              <w14:schemeClr w14:val="tx1"/>
            </w14:solidFill>
          </w14:textFill>
        </w:rPr>
        <w:t>-1</w:t>
      </w:r>
      <w:r>
        <w:rPr>
          <w:rFonts w:hint="default" w:ascii="Times New Roman" w:hAnsi="Times New Roman" w:cs="Times New Roman"/>
          <w:b/>
          <w:bCs/>
          <w:color w:val="000000" w:themeColor="text1"/>
          <w:highlight w:val="none"/>
          <w14:textFill>
            <w14:solidFill>
              <w14:schemeClr w14:val="tx1"/>
            </w14:solidFill>
          </w14:textFill>
        </w:rPr>
        <w:t xml:space="preserve"> </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 项目年水量平衡图</w:t>
      </w:r>
      <w:r>
        <w:rPr>
          <w:rFonts w:hint="default" w:ascii="Times New Roman" w:hAnsi="Times New Roman" w:cs="Times New Roman"/>
          <w:b/>
          <w:bCs/>
          <w:color w:val="000000" w:themeColor="text1"/>
          <w:highlight w:val="none"/>
          <w14:textFill>
            <w14:solidFill>
              <w14:schemeClr w14:val="tx1"/>
            </w14:solidFill>
          </w14:textFill>
        </w:rPr>
        <w:t xml:space="preserve">  </w:t>
      </w:r>
      <w:r>
        <w:rPr>
          <w:rFonts w:hint="default" w:ascii="Times New Roman" w:hAnsi="Times New Roman" w:cs="Times New Roman"/>
          <w:b/>
          <w:bCs/>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b/>
          <w:bCs/>
          <w:color w:val="000000" w:themeColor="text1"/>
          <w:highlight w:val="none"/>
          <w14:textFill>
            <w14:solidFill>
              <w14:schemeClr w14:val="tx1"/>
            </w14:solidFill>
          </w14:textFill>
        </w:rPr>
        <w:t>单位：</w:t>
      </w:r>
      <w:r>
        <w:rPr>
          <w:rFonts w:hint="eastAsia" w:cs="Times New Roman"/>
          <w:b/>
          <w:bCs/>
          <w:color w:val="000000" w:themeColor="text1"/>
          <w:highlight w:val="none"/>
          <w:lang w:eastAsia="zh-CN"/>
          <w14:textFill>
            <w14:solidFill>
              <w14:schemeClr w14:val="tx1"/>
            </w14:solidFill>
          </w14:textFill>
        </w:rPr>
        <w:t>m</w:t>
      </w:r>
      <w:r>
        <w:rPr>
          <w:rFonts w:hint="eastAsia" w:cs="Times New Roman"/>
          <w:b/>
          <w:bCs/>
          <w:color w:val="000000" w:themeColor="text1"/>
          <w:highlight w:val="none"/>
          <w:vertAlign w:val="superscript"/>
          <w:lang w:eastAsia="zh-CN"/>
          <w14:textFill>
            <w14:solidFill>
              <w14:schemeClr w14:val="tx1"/>
            </w14:solidFill>
          </w14:textFill>
        </w:rPr>
        <w:t>3</w:t>
      </w:r>
      <w:r>
        <w:rPr>
          <w:rFonts w:hint="default" w:ascii="Times New Roman" w:hAnsi="Times New Roman" w:cs="Times New Roman"/>
          <w:b/>
          <w:bCs/>
          <w:color w:val="000000" w:themeColor="text1"/>
          <w:highlight w:val="none"/>
          <w14:textFill>
            <w14:solidFill>
              <w14:schemeClr w14:val="tx1"/>
            </w14:solidFill>
          </w14:textFill>
        </w:rPr>
        <w:t>/</w:t>
      </w:r>
      <w:r>
        <w:rPr>
          <w:rFonts w:hint="default" w:ascii="Times New Roman" w:hAnsi="Times New Roman" w:cs="Times New Roman"/>
          <w:b/>
          <w:bCs/>
          <w:color w:val="000000" w:themeColor="text1"/>
          <w:highlight w:val="none"/>
          <w:lang w:val="en-US" w:eastAsia="zh-CN"/>
          <w14:textFill>
            <w14:solidFill>
              <w14:schemeClr w14:val="tx1"/>
            </w14:solidFill>
          </w14:textFill>
        </w:rPr>
        <w:t>a</w:t>
      </w:r>
    </w:p>
    <w:p w14:paraId="2A182539">
      <w:pPr>
        <w:pStyle w:val="5"/>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噪声排放情况</w:t>
      </w:r>
    </w:p>
    <w:p w14:paraId="4917D98B">
      <w:pPr>
        <w:pStyle w:val="41"/>
        <w:bidi w:val="0"/>
        <w:rPr>
          <w:rFonts w:hint="default"/>
          <w:lang w:val="en-US" w:eastAsia="zh-CN"/>
        </w:rPr>
      </w:pPr>
      <w:r>
        <w:rPr>
          <w:rFonts w:hint="default"/>
          <w:lang w:val="en-US" w:eastAsia="zh-CN"/>
        </w:rPr>
        <w:t>根据项目特点，运营期噪声可分为固定声源的稳态噪声、瞬时噪声和移动线声源噪声，其中固定声源的稳态噪声主要包括</w:t>
      </w:r>
      <w:r>
        <w:rPr>
          <w:rFonts w:hint="eastAsia"/>
          <w:lang w:val="en-US" w:eastAsia="zh-CN"/>
        </w:rPr>
        <w:t>采场挖掘机、空压机以及加工区内的</w:t>
      </w:r>
      <w:r>
        <w:rPr>
          <w:rFonts w:hint="default"/>
          <w:lang w:val="en-US" w:eastAsia="zh-CN"/>
        </w:rPr>
        <w:t>破碎机</w:t>
      </w:r>
      <w:r>
        <w:rPr>
          <w:rFonts w:hint="eastAsia"/>
          <w:lang w:val="en-US" w:eastAsia="zh-CN"/>
        </w:rPr>
        <w:t>、筛分机、传送带</w:t>
      </w:r>
      <w:r>
        <w:rPr>
          <w:rFonts w:hint="default"/>
          <w:lang w:val="en-US" w:eastAsia="zh-CN"/>
        </w:rPr>
        <w:t>等开采和加工设备，生产过程中其噪声的位置和声源大小相对固定，也是本项目的主要声环境影响源；瞬时噪声主要是爆破噪声，爆破噪声具有产生时间短，噪声源强大等特点；移动线声源噪声主要为运输车辆噪声，其影响主要集中在运输线路附近。</w:t>
      </w:r>
    </w:p>
    <w:p w14:paraId="1970BC4F">
      <w:pPr>
        <w:pStyle w:val="41"/>
        <w:bidi w:val="0"/>
        <w:rPr>
          <w:rFonts w:hint="default"/>
          <w:b/>
          <w:bCs/>
          <w:lang w:val="en-US" w:eastAsia="zh-CN"/>
        </w:rPr>
      </w:pPr>
      <w:r>
        <w:rPr>
          <w:rFonts w:hint="default"/>
          <w:b/>
          <w:bCs/>
          <w:lang w:val="en-US" w:eastAsia="zh-CN"/>
        </w:rPr>
        <w:t>（1）矿山开采爆破噪声及振动</w:t>
      </w:r>
    </w:p>
    <w:p w14:paraId="5F1DB407">
      <w:pPr>
        <w:pStyle w:val="41"/>
        <w:bidi w:val="0"/>
        <w:rPr>
          <w:rFonts w:hint="default"/>
          <w:lang w:val="en-US" w:eastAsia="zh-CN"/>
        </w:rPr>
      </w:pPr>
      <w:r>
        <w:rPr>
          <w:rFonts w:hint="default"/>
          <w:lang w:val="en-US" w:eastAsia="zh-CN"/>
        </w:rPr>
        <w:t>1）矿山开采爆破噪声</w:t>
      </w:r>
    </w:p>
    <w:p w14:paraId="6996CEF5">
      <w:pPr>
        <w:pStyle w:val="41"/>
        <w:bidi w:val="0"/>
        <w:rPr>
          <w:rFonts w:hint="default"/>
          <w:lang w:val="en-US" w:eastAsia="zh-CN"/>
        </w:rPr>
      </w:pPr>
      <w:r>
        <w:rPr>
          <w:rFonts w:hint="default"/>
          <w:lang w:val="en-US" w:eastAsia="zh-CN"/>
        </w:rPr>
        <w:t>爆破噪声为瞬间突发噪声，具有持续时间短，频率低，源强大等特点，随爆破声结束后即消失，其声功率高达120dB（A），</w:t>
      </w:r>
      <w:r>
        <w:rPr>
          <w:rFonts w:hint="eastAsia"/>
          <w:lang w:val="en-US" w:eastAsia="zh-CN"/>
        </w:rPr>
        <w:t>爆破过程产生的噪声</w:t>
      </w:r>
      <w:r>
        <w:rPr>
          <w:rFonts w:hint="default"/>
          <w:lang w:val="en-US" w:eastAsia="zh-CN"/>
        </w:rPr>
        <w:t>对采场周边地区有一定影响。</w:t>
      </w:r>
    </w:p>
    <w:p w14:paraId="71B00780">
      <w:pPr>
        <w:pStyle w:val="41"/>
        <w:bidi w:val="0"/>
        <w:rPr>
          <w:rFonts w:hint="default"/>
          <w:lang w:val="en-US" w:eastAsia="zh-CN"/>
        </w:rPr>
      </w:pPr>
      <w:r>
        <w:rPr>
          <w:rFonts w:hint="default"/>
          <w:lang w:val="en-US" w:eastAsia="zh-CN"/>
        </w:rPr>
        <w:t>2）爆破振动</w:t>
      </w:r>
    </w:p>
    <w:p w14:paraId="11590263">
      <w:pPr>
        <w:pStyle w:val="41"/>
        <w:bidi w:val="0"/>
        <w:rPr>
          <w:rFonts w:hint="default"/>
          <w:lang w:val="en-US" w:eastAsia="zh-CN"/>
        </w:rPr>
      </w:pPr>
      <w:r>
        <w:rPr>
          <w:rFonts w:hint="default"/>
          <w:lang w:val="en-US" w:eastAsia="zh-CN"/>
        </w:rPr>
        <w:t>项目生产爆破主要为采矿爆破，爆破存在于矿山的整个服务期限内，瞬间的采矿爆破作用形成的振动对岩体结构及矿区地层稳定有一定影响。爆破作用在振动区内所导致的现象和后果，称为爆破地振效应。爆破作用在振动区内所引起的振动强烈程度，随着一次爆破炸药量的多少而不同。大的振动将带来较大的危害，小的振动一般影响较小，若十分频繁亦将造成损害。这些危害包括：</w:t>
      </w:r>
      <w:r>
        <w:rPr>
          <w:rFonts w:hint="eastAsia"/>
          <w:lang w:val="en-US" w:eastAsia="zh-CN"/>
        </w:rPr>
        <w:t>爆破</w:t>
      </w:r>
      <w:r>
        <w:rPr>
          <w:rFonts w:hint="default"/>
          <w:lang w:val="en-US" w:eastAsia="zh-CN"/>
        </w:rPr>
        <w:t>警戒线（初步设计确定下坡方向爆破警戒范围为300m，其余方向爆破警戒范围为200m）范围内的建构筑物遭到破坏，诱发崩塌、地表沉陷等。本项目爆破振动为瞬时噪声，产生时间短，振动源强约为120dB（A）</w:t>
      </w:r>
      <w:r>
        <w:rPr>
          <w:rFonts w:hint="eastAsia"/>
          <w:lang w:val="en-US" w:eastAsia="zh-CN"/>
        </w:rPr>
        <w:t>。</w:t>
      </w:r>
    </w:p>
    <w:p w14:paraId="51B4CE0C">
      <w:pPr>
        <w:pStyle w:val="41"/>
        <w:bidi w:val="0"/>
        <w:rPr>
          <w:rFonts w:hint="default"/>
          <w:b/>
          <w:bCs/>
          <w:lang w:val="en-US" w:eastAsia="zh-CN"/>
        </w:rPr>
      </w:pPr>
      <w:r>
        <w:rPr>
          <w:rFonts w:hint="default"/>
          <w:b/>
          <w:bCs/>
          <w:lang w:val="en-US" w:eastAsia="zh-CN"/>
        </w:rPr>
        <w:t>（2）运输噪声</w:t>
      </w:r>
    </w:p>
    <w:p w14:paraId="4B45682E">
      <w:pPr>
        <w:pStyle w:val="41"/>
        <w:bidi w:val="0"/>
        <w:rPr>
          <w:rFonts w:hint="eastAsia"/>
          <w:lang w:val="en-US" w:eastAsia="zh-CN"/>
        </w:rPr>
      </w:pPr>
      <w:r>
        <w:rPr>
          <w:rFonts w:hint="default"/>
          <w:lang w:val="en-US" w:eastAsia="zh-CN"/>
        </w:rPr>
        <w:t>本矿山在矿区范围内运输矿石及废土石将产生</w:t>
      </w:r>
      <w:r>
        <w:rPr>
          <w:rFonts w:hint="eastAsia"/>
          <w:lang w:val="en-US" w:eastAsia="zh-CN"/>
        </w:rPr>
        <w:t>运输</w:t>
      </w:r>
      <w:r>
        <w:rPr>
          <w:rFonts w:hint="default"/>
          <w:lang w:val="en-US" w:eastAsia="zh-CN"/>
        </w:rPr>
        <w:t>噪声，</w:t>
      </w:r>
      <w:r>
        <w:rPr>
          <w:rFonts w:hint="eastAsia"/>
          <w:lang w:val="en-US" w:eastAsia="zh-CN"/>
        </w:rPr>
        <w:t>主要含自卸汽车、洒水车等车辆噪声，属于移动源强，车辆噪声值在</w:t>
      </w:r>
      <w:r>
        <w:rPr>
          <w:rFonts w:hint="default"/>
          <w:lang w:val="en-US" w:eastAsia="zh-CN"/>
        </w:rPr>
        <w:t>80~95dB</w:t>
      </w:r>
      <w:r>
        <w:rPr>
          <w:rFonts w:hint="eastAsia"/>
          <w:lang w:val="en-US" w:eastAsia="zh-CN"/>
        </w:rPr>
        <w:t>（</w:t>
      </w:r>
      <w:r>
        <w:rPr>
          <w:rFonts w:hint="default"/>
          <w:lang w:val="en-US" w:eastAsia="zh-CN"/>
        </w:rPr>
        <w:t>A</w:t>
      </w:r>
      <w:r>
        <w:rPr>
          <w:rFonts w:hint="eastAsia"/>
          <w:lang w:val="en-US" w:eastAsia="zh-CN"/>
        </w:rPr>
        <w:t>）</w:t>
      </w:r>
      <w:r>
        <w:rPr>
          <w:rFonts w:hint="default"/>
          <w:lang w:val="en-US" w:eastAsia="zh-CN"/>
        </w:rPr>
        <w:t>之间</w:t>
      </w:r>
      <w:r>
        <w:rPr>
          <w:rFonts w:hint="eastAsia"/>
          <w:lang w:val="en-US" w:eastAsia="zh-CN"/>
        </w:rPr>
        <w:t>。</w:t>
      </w:r>
    </w:p>
    <w:p w14:paraId="52581CC0">
      <w:pPr>
        <w:pStyle w:val="41"/>
        <w:bidi w:val="0"/>
        <w:rPr>
          <w:rFonts w:hint="default"/>
          <w:b/>
          <w:bCs/>
          <w:lang w:val="en-US" w:eastAsia="zh-CN"/>
        </w:rPr>
      </w:pPr>
      <w:r>
        <w:rPr>
          <w:rFonts w:hint="default"/>
          <w:b/>
          <w:bCs/>
          <w:lang w:val="en-US" w:eastAsia="zh-CN"/>
        </w:rPr>
        <w:t>（3）</w:t>
      </w:r>
      <w:r>
        <w:rPr>
          <w:rFonts w:hint="eastAsia"/>
          <w:b/>
          <w:bCs/>
          <w:lang w:val="en-US" w:eastAsia="zh-CN"/>
        </w:rPr>
        <w:t>采矿区、</w:t>
      </w:r>
      <w:r>
        <w:rPr>
          <w:rFonts w:hint="default"/>
          <w:b/>
          <w:bCs/>
          <w:lang w:val="en-US" w:eastAsia="zh-CN"/>
        </w:rPr>
        <w:t>加工区噪声源强</w:t>
      </w:r>
    </w:p>
    <w:p w14:paraId="27902A26">
      <w:pPr>
        <w:pStyle w:val="41"/>
        <w:bidi w:val="0"/>
        <w:rPr>
          <w:rFonts w:hint="default"/>
          <w:b/>
          <w:bCs/>
          <w:lang w:val="en-US" w:eastAsia="zh-CN"/>
        </w:rPr>
      </w:pPr>
      <w:r>
        <w:rPr>
          <w:rFonts w:hint="eastAsia"/>
          <w:b/>
          <w:bCs/>
          <w:lang w:val="en-US" w:eastAsia="zh-CN"/>
        </w:rPr>
        <w:t>1）采场噪声声源分析</w:t>
      </w:r>
    </w:p>
    <w:p w14:paraId="07F02232">
      <w:pPr>
        <w:pStyle w:val="41"/>
        <w:bidi w:val="0"/>
        <w:rPr>
          <w:rFonts w:hint="default"/>
          <w:lang w:val="en-US" w:eastAsia="zh-CN"/>
        </w:rPr>
      </w:pPr>
      <w:r>
        <w:rPr>
          <w:rFonts w:hint="default"/>
          <w:lang w:val="en-US" w:eastAsia="zh-CN"/>
        </w:rPr>
        <w:t>露天采场运营期噪声源主要来自采场的机械设备。根据开采工艺</w:t>
      </w:r>
      <w:r>
        <w:rPr>
          <w:rFonts w:hint="eastAsia"/>
          <w:lang w:val="en-US" w:eastAsia="zh-CN"/>
        </w:rPr>
        <w:t>以及生产设备清单</w:t>
      </w:r>
      <w:r>
        <w:rPr>
          <w:rFonts w:hint="default"/>
          <w:lang w:val="en-US" w:eastAsia="zh-CN"/>
        </w:rPr>
        <w:t>，机械噪声来自露天采场的</w:t>
      </w:r>
      <w:r>
        <w:rPr>
          <w:rFonts w:hint="eastAsia"/>
          <w:lang w:val="en-US" w:eastAsia="zh-CN"/>
        </w:rPr>
        <w:t>钻机、空压机、</w:t>
      </w:r>
      <w:r>
        <w:rPr>
          <w:rFonts w:hint="default"/>
          <w:lang w:val="en-US" w:eastAsia="zh-CN"/>
        </w:rPr>
        <w:t>装载机、</w:t>
      </w:r>
      <w:r>
        <w:rPr>
          <w:rFonts w:hint="eastAsia"/>
          <w:lang w:val="en-US" w:eastAsia="zh-CN"/>
        </w:rPr>
        <w:t>破碎锤</w:t>
      </w:r>
      <w:r>
        <w:rPr>
          <w:rFonts w:hint="default"/>
          <w:lang w:val="en-US" w:eastAsia="zh-CN"/>
        </w:rPr>
        <w:t>等，源强值在</w:t>
      </w:r>
      <w:r>
        <w:rPr>
          <w:rFonts w:hint="eastAsia"/>
          <w:lang w:val="en-US" w:eastAsia="zh-CN"/>
        </w:rPr>
        <w:t>85</w:t>
      </w:r>
      <w:r>
        <w:rPr>
          <w:rFonts w:hint="default"/>
          <w:lang w:val="en-US" w:eastAsia="zh-CN"/>
        </w:rPr>
        <w:t>~</w:t>
      </w:r>
      <w:r>
        <w:rPr>
          <w:rFonts w:hint="eastAsia"/>
          <w:lang w:val="en-US" w:eastAsia="zh-CN"/>
        </w:rPr>
        <w:t>100</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r>
        <w:rPr>
          <w:rFonts w:hint="default"/>
          <w:lang w:val="en-US" w:eastAsia="zh-CN"/>
        </w:rPr>
        <w:t>之间</w:t>
      </w:r>
      <w:r>
        <w:rPr>
          <w:rFonts w:hint="eastAsia"/>
          <w:lang w:val="en-US" w:eastAsia="zh-CN"/>
        </w:rPr>
        <w:t>。项目矿山采场设备噪声源强及拟采取的降噪措施如下：</w:t>
      </w:r>
    </w:p>
    <w:p w14:paraId="30969576">
      <w:pPr>
        <w:bidi w:val="0"/>
        <w:ind w:left="0" w:leftChars="0" w:firstLine="0" w:firstLineChars="0"/>
        <w:jc w:val="center"/>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eastAsia" w:ascii="Times New Roman" w:hAnsi="Times New Roman" w:cs="Times New Roman"/>
          <w:b/>
          <w:bCs/>
          <w:color w:val="000000" w:themeColor="text1"/>
          <w:highlight w:val="none"/>
          <w:lang w:val="en-US" w:eastAsia="zh-CN"/>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3.5</w:t>
      </w:r>
      <w:r>
        <w:rPr>
          <w:rFonts w:hint="eastAsia" w:ascii="Times New Roman" w:hAnsi="Times New Roman" w:cs="Times New Roman"/>
          <w:b/>
          <w:bCs/>
          <w:color w:val="000000" w:themeColor="text1"/>
          <w:highlight w:val="none"/>
          <w:lang w:val="en-US" w:eastAsia="zh-CN"/>
          <w14:textFill>
            <w14:solidFill>
              <w14:schemeClr w14:val="tx1"/>
            </w14:solidFill>
          </w14:textFill>
        </w:rPr>
        <w:t>-11  项目矿山采场设备噪声源强及降噪措施</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264"/>
        <w:gridCol w:w="836"/>
        <w:gridCol w:w="1475"/>
        <w:gridCol w:w="1150"/>
        <w:gridCol w:w="1700"/>
        <w:gridCol w:w="787"/>
        <w:gridCol w:w="642"/>
      </w:tblGrid>
      <w:tr w14:paraId="4805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restart"/>
            <w:vAlign w:val="center"/>
          </w:tcPr>
          <w:p w14:paraId="59266333">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序号</w:t>
            </w:r>
          </w:p>
        </w:tc>
        <w:tc>
          <w:tcPr>
            <w:tcW w:w="1264" w:type="dxa"/>
            <w:vMerge w:val="restart"/>
            <w:vAlign w:val="center"/>
          </w:tcPr>
          <w:p w14:paraId="363D0AAA">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声源名称</w:t>
            </w:r>
          </w:p>
        </w:tc>
        <w:tc>
          <w:tcPr>
            <w:tcW w:w="836" w:type="dxa"/>
            <w:vMerge w:val="restart"/>
            <w:vAlign w:val="center"/>
          </w:tcPr>
          <w:p w14:paraId="7333DDEE">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数量（台）</w:t>
            </w:r>
          </w:p>
        </w:tc>
        <w:tc>
          <w:tcPr>
            <w:tcW w:w="1475" w:type="dxa"/>
            <w:vMerge w:val="restart"/>
            <w:vAlign w:val="center"/>
          </w:tcPr>
          <w:p w14:paraId="45CA0E4D">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型号</w:t>
            </w:r>
          </w:p>
        </w:tc>
        <w:tc>
          <w:tcPr>
            <w:tcW w:w="1150" w:type="dxa"/>
            <w:vAlign w:val="center"/>
          </w:tcPr>
          <w:p w14:paraId="086259C0">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声源源强</w:t>
            </w:r>
          </w:p>
        </w:tc>
        <w:tc>
          <w:tcPr>
            <w:tcW w:w="1700" w:type="dxa"/>
            <w:vMerge w:val="restart"/>
            <w:vAlign w:val="center"/>
          </w:tcPr>
          <w:p w14:paraId="379461E2">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噪声削减措施</w:t>
            </w:r>
          </w:p>
        </w:tc>
        <w:tc>
          <w:tcPr>
            <w:tcW w:w="787" w:type="dxa"/>
            <w:vMerge w:val="restart"/>
            <w:vAlign w:val="center"/>
          </w:tcPr>
          <w:p w14:paraId="58AB6825">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运行时段</w:t>
            </w:r>
          </w:p>
        </w:tc>
        <w:tc>
          <w:tcPr>
            <w:tcW w:w="642" w:type="dxa"/>
            <w:vMerge w:val="restart"/>
            <w:vAlign w:val="center"/>
          </w:tcPr>
          <w:p w14:paraId="53E07A98">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备注</w:t>
            </w:r>
          </w:p>
        </w:tc>
      </w:tr>
      <w:tr w14:paraId="7D8C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Merge w:val="continue"/>
            <w:vAlign w:val="center"/>
          </w:tcPr>
          <w:p w14:paraId="5445ABA8">
            <w:pPr>
              <w:pStyle w:val="43"/>
              <w:widowControl w:val="0"/>
              <w:bidi w:val="0"/>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1264" w:type="dxa"/>
            <w:vMerge w:val="continue"/>
            <w:vAlign w:val="center"/>
          </w:tcPr>
          <w:p w14:paraId="2B608D64">
            <w:pPr>
              <w:pStyle w:val="43"/>
              <w:widowControl w:val="0"/>
              <w:bidi w:val="0"/>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836" w:type="dxa"/>
            <w:vMerge w:val="continue"/>
            <w:vAlign w:val="center"/>
          </w:tcPr>
          <w:p w14:paraId="10E66672">
            <w:pPr>
              <w:pStyle w:val="43"/>
              <w:widowControl w:val="0"/>
              <w:bidi w:val="0"/>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1475" w:type="dxa"/>
            <w:vMerge w:val="continue"/>
            <w:vAlign w:val="center"/>
          </w:tcPr>
          <w:p w14:paraId="5368B92B">
            <w:pPr>
              <w:pStyle w:val="43"/>
              <w:widowControl w:val="0"/>
              <w:bidi w:val="0"/>
              <w:rPr>
                <w:rFonts w:hint="default" w:ascii="Times New Roman" w:hAnsi="Times New Roman" w:cs="Times New Roman"/>
                <w:b/>
                <w:bCs/>
                <w:color w:val="000000" w:themeColor="text1"/>
                <w:sz w:val="21"/>
                <w:szCs w:val="21"/>
                <w:highlight w:val="none"/>
                <w14:textFill>
                  <w14:solidFill>
                    <w14:schemeClr w14:val="tx1"/>
                  </w14:solidFill>
                </w14:textFill>
              </w:rPr>
            </w:pPr>
          </w:p>
        </w:tc>
        <w:tc>
          <w:tcPr>
            <w:tcW w:w="1150" w:type="dxa"/>
            <w:vAlign w:val="center"/>
          </w:tcPr>
          <w:p w14:paraId="1A94ABE3">
            <w:pPr>
              <w:pStyle w:val="43"/>
              <w:widowControl w:val="0"/>
              <w:bidi w:val="0"/>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声功率级/dB（A）</w:t>
            </w:r>
          </w:p>
        </w:tc>
        <w:tc>
          <w:tcPr>
            <w:tcW w:w="1700" w:type="dxa"/>
            <w:vMerge w:val="continue"/>
            <w:vAlign w:val="center"/>
          </w:tcPr>
          <w:p w14:paraId="1C528193">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787" w:type="dxa"/>
            <w:vMerge w:val="continue"/>
            <w:vAlign w:val="center"/>
          </w:tcPr>
          <w:p w14:paraId="70E969D7">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642" w:type="dxa"/>
            <w:vMerge w:val="continue"/>
            <w:vAlign w:val="center"/>
          </w:tcPr>
          <w:p w14:paraId="3A33A35F">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r>
      <w:tr w14:paraId="7CFB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Align w:val="center"/>
          </w:tcPr>
          <w:p w14:paraId="573A478F">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1264" w:type="dxa"/>
            <w:vAlign w:val="center"/>
          </w:tcPr>
          <w:p w14:paraId="77AF925D">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高风压潜孔钻机</w:t>
            </w:r>
          </w:p>
        </w:tc>
        <w:tc>
          <w:tcPr>
            <w:tcW w:w="836" w:type="dxa"/>
            <w:vAlign w:val="center"/>
          </w:tcPr>
          <w:p w14:paraId="65B0A8E2">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w:t>
            </w:r>
          </w:p>
        </w:tc>
        <w:tc>
          <w:tcPr>
            <w:tcW w:w="1475" w:type="dxa"/>
            <w:shd w:val="clear" w:color="auto" w:fill="auto"/>
            <w:vAlign w:val="center"/>
          </w:tcPr>
          <w:p w14:paraId="7C6C816E">
            <w:pPr>
              <w:pStyle w:val="43"/>
              <w:widowControl w:val="0"/>
              <w:bidi w:val="0"/>
              <w:ind w:firstLine="0" w:firstLineChars="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CCM680</w:t>
            </w:r>
          </w:p>
        </w:tc>
        <w:tc>
          <w:tcPr>
            <w:tcW w:w="1150" w:type="dxa"/>
            <w:vAlign w:val="center"/>
          </w:tcPr>
          <w:p w14:paraId="67AAB78F">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95</w:t>
            </w:r>
          </w:p>
        </w:tc>
        <w:tc>
          <w:tcPr>
            <w:tcW w:w="1700" w:type="dxa"/>
            <w:vAlign w:val="center"/>
          </w:tcPr>
          <w:p w14:paraId="23D2C85B">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及时维修，保持良好工作状态</w:t>
            </w:r>
          </w:p>
        </w:tc>
        <w:tc>
          <w:tcPr>
            <w:tcW w:w="787" w:type="dxa"/>
            <w:vAlign w:val="center"/>
          </w:tcPr>
          <w:p w14:paraId="009AAEFA">
            <w:pPr>
              <w:pStyle w:val="43"/>
              <w:widowControl w:val="0"/>
              <w:bidi w:val="0"/>
              <w:ind w:firstLine="0" w:firstLine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昼间</w:t>
            </w:r>
          </w:p>
        </w:tc>
        <w:tc>
          <w:tcPr>
            <w:tcW w:w="642" w:type="dxa"/>
            <w:vAlign w:val="center"/>
          </w:tcPr>
          <w:p w14:paraId="5372AA77">
            <w:pPr>
              <w:pStyle w:val="43"/>
              <w:widowControl w:val="0"/>
              <w:bidi w:val="0"/>
              <w:ind w:firstLine="0" w:firstLineChars="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6233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Align w:val="center"/>
          </w:tcPr>
          <w:p w14:paraId="4E8B8849">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1264" w:type="dxa"/>
            <w:vAlign w:val="center"/>
          </w:tcPr>
          <w:p w14:paraId="636842DF">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液压挖掘机</w:t>
            </w:r>
          </w:p>
        </w:tc>
        <w:tc>
          <w:tcPr>
            <w:tcW w:w="836" w:type="dxa"/>
            <w:vAlign w:val="center"/>
          </w:tcPr>
          <w:p w14:paraId="03BA5458">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1475" w:type="dxa"/>
            <w:shd w:val="clear" w:color="auto" w:fill="auto"/>
            <w:vAlign w:val="center"/>
          </w:tcPr>
          <w:p w14:paraId="08E525B0">
            <w:pPr>
              <w:pStyle w:val="43"/>
              <w:widowControl w:val="0"/>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SY</w:t>
            </w:r>
          </w:p>
        </w:tc>
        <w:tc>
          <w:tcPr>
            <w:tcW w:w="1150" w:type="dxa"/>
            <w:vAlign w:val="center"/>
          </w:tcPr>
          <w:p w14:paraId="5BC1FC70">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100</w:t>
            </w:r>
          </w:p>
        </w:tc>
        <w:tc>
          <w:tcPr>
            <w:tcW w:w="1700" w:type="dxa"/>
            <w:vAlign w:val="center"/>
          </w:tcPr>
          <w:p w14:paraId="1329E221">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及时维修，保持良好工作状态</w:t>
            </w:r>
          </w:p>
        </w:tc>
        <w:tc>
          <w:tcPr>
            <w:tcW w:w="787" w:type="dxa"/>
            <w:vAlign w:val="center"/>
          </w:tcPr>
          <w:p w14:paraId="5974FE73">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昼间</w:t>
            </w:r>
          </w:p>
        </w:tc>
        <w:tc>
          <w:tcPr>
            <w:tcW w:w="642" w:type="dxa"/>
            <w:vAlign w:val="center"/>
          </w:tcPr>
          <w:p w14:paraId="44FE640F">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r w14:paraId="0F9A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8" w:type="dxa"/>
            <w:vAlign w:val="center"/>
          </w:tcPr>
          <w:p w14:paraId="7078E5E3">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3</w:t>
            </w:r>
          </w:p>
        </w:tc>
        <w:tc>
          <w:tcPr>
            <w:tcW w:w="1264" w:type="dxa"/>
            <w:vAlign w:val="center"/>
          </w:tcPr>
          <w:p w14:paraId="32DD5952">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装载机</w:t>
            </w:r>
          </w:p>
        </w:tc>
        <w:tc>
          <w:tcPr>
            <w:tcW w:w="836" w:type="dxa"/>
            <w:vAlign w:val="center"/>
          </w:tcPr>
          <w:p w14:paraId="7BB64B59">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4</w:t>
            </w:r>
          </w:p>
        </w:tc>
        <w:tc>
          <w:tcPr>
            <w:tcW w:w="1475" w:type="dxa"/>
            <w:vAlign w:val="center"/>
          </w:tcPr>
          <w:p w14:paraId="2E2F9851">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LG956L</w:t>
            </w:r>
          </w:p>
        </w:tc>
        <w:tc>
          <w:tcPr>
            <w:tcW w:w="1150" w:type="dxa"/>
            <w:vAlign w:val="center"/>
          </w:tcPr>
          <w:p w14:paraId="33049B76">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85</w:t>
            </w:r>
          </w:p>
        </w:tc>
        <w:tc>
          <w:tcPr>
            <w:tcW w:w="1700" w:type="dxa"/>
            <w:vAlign w:val="center"/>
          </w:tcPr>
          <w:p w14:paraId="148CE937">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及时维修，保持良好工作状态</w:t>
            </w:r>
          </w:p>
        </w:tc>
        <w:tc>
          <w:tcPr>
            <w:tcW w:w="787" w:type="dxa"/>
            <w:vAlign w:val="center"/>
          </w:tcPr>
          <w:p w14:paraId="4FE2FE59">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昼间</w:t>
            </w:r>
          </w:p>
        </w:tc>
        <w:tc>
          <w:tcPr>
            <w:tcW w:w="642" w:type="dxa"/>
            <w:vAlign w:val="center"/>
          </w:tcPr>
          <w:p w14:paraId="70C09D22">
            <w:pPr>
              <w:pStyle w:val="43"/>
              <w:widowControl w:val="0"/>
              <w:bidi w:val="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r>
    </w:tbl>
    <w:p w14:paraId="337C56BE">
      <w:pPr>
        <w:pStyle w:val="41"/>
        <w:bidi w:val="0"/>
        <w:rPr>
          <w:rFonts w:hint="default"/>
          <w:b/>
          <w:bCs/>
          <w:lang w:val="en-US" w:eastAsia="zh-CN"/>
        </w:rPr>
      </w:pPr>
      <w:r>
        <w:rPr>
          <w:rFonts w:hint="eastAsia"/>
          <w:b/>
          <w:bCs/>
          <w:lang w:val="en-US" w:eastAsia="zh-CN"/>
        </w:rPr>
        <w:t>2）加工区噪声声源分析</w:t>
      </w:r>
    </w:p>
    <w:p w14:paraId="2E798F84">
      <w:pPr>
        <w:pStyle w:val="41"/>
        <w:bidi w:val="0"/>
        <w:rPr>
          <w:rFonts w:hint="default"/>
          <w:lang w:val="en-US" w:eastAsia="zh-CN"/>
        </w:rPr>
      </w:pPr>
      <w:r>
        <w:rPr>
          <w:rFonts w:hint="eastAsia"/>
          <w:lang w:val="en-US" w:eastAsia="zh-CN"/>
        </w:rPr>
        <w:t>加工区以破碎加工各类设备噪声为主</w:t>
      </w:r>
      <w:r>
        <w:rPr>
          <w:rFonts w:hint="default"/>
          <w:lang w:val="en-US" w:eastAsia="zh-CN"/>
        </w:rPr>
        <w:t>，预计噪声源强约为</w:t>
      </w:r>
      <w:r>
        <w:rPr>
          <w:rFonts w:hint="eastAsia"/>
          <w:lang w:val="en-US" w:eastAsia="zh-CN"/>
        </w:rPr>
        <w:t>75</w:t>
      </w:r>
      <w:r>
        <w:rPr>
          <w:rFonts w:hint="default"/>
          <w:lang w:val="en-US" w:eastAsia="zh-CN"/>
        </w:rPr>
        <w:t>～</w:t>
      </w:r>
      <w:r>
        <w:rPr>
          <w:rFonts w:hint="eastAsia"/>
          <w:lang w:val="en-US" w:eastAsia="zh-CN"/>
        </w:rPr>
        <w:t>95</w:t>
      </w:r>
      <w:r>
        <w:rPr>
          <w:rFonts w:hint="default"/>
          <w:lang w:val="en-US" w:eastAsia="zh-CN"/>
        </w:rPr>
        <w:t>dB（A），</w:t>
      </w:r>
      <w:r>
        <w:rPr>
          <w:rFonts w:hint="eastAsia"/>
          <w:lang w:val="en-US" w:eastAsia="zh-CN"/>
        </w:rPr>
        <w:t>加工区设备噪声源强及拟采取的降噪措施如下：</w:t>
      </w:r>
    </w:p>
    <w:p w14:paraId="2AAFE467">
      <w:pPr>
        <w:pStyle w:val="45"/>
        <w:bidi w:val="0"/>
        <w:rPr>
          <w:rFonts w:hint="default"/>
        </w:rPr>
      </w:pPr>
      <w:r>
        <w:rPr>
          <w:rFonts w:hint="default"/>
        </w:rPr>
        <w:t>表</w:t>
      </w:r>
      <w:r>
        <w:rPr>
          <w:rFonts w:hint="eastAsia"/>
          <w:lang w:val="en-US" w:eastAsia="zh-CN"/>
        </w:rPr>
        <w:t>3.5</w:t>
      </w:r>
      <w:r>
        <w:rPr>
          <w:rFonts w:hint="default"/>
          <w:lang w:val="en-US" w:eastAsia="zh-CN"/>
        </w:rPr>
        <w:t>-</w:t>
      </w:r>
      <w:r>
        <w:rPr>
          <w:rFonts w:hint="eastAsia"/>
          <w:lang w:val="en-US" w:eastAsia="zh-CN"/>
        </w:rPr>
        <w:t>12</w:t>
      </w:r>
      <w:r>
        <w:rPr>
          <w:rFonts w:hint="default"/>
        </w:rPr>
        <w:t xml:space="preserve">  运营期项目主要声源一览表</w:t>
      </w:r>
      <w:r>
        <w:rPr>
          <w:rFonts w:hint="default"/>
          <w:lang w:val="en-US" w:eastAsia="zh-CN"/>
        </w:rPr>
        <w:t xml:space="preserve">     </w:t>
      </w:r>
      <w:r>
        <w:rPr>
          <w:rFonts w:hint="default"/>
        </w:rPr>
        <w:t>dB（A）</w:t>
      </w:r>
    </w:p>
    <w:tbl>
      <w:tblPr>
        <w:tblStyle w:val="3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9"/>
        <w:gridCol w:w="1259"/>
        <w:gridCol w:w="854"/>
        <w:gridCol w:w="1616"/>
        <w:gridCol w:w="1365"/>
        <w:gridCol w:w="1318"/>
        <w:gridCol w:w="800"/>
        <w:gridCol w:w="726"/>
      </w:tblGrid>
      <w:tr w14:paraId="37A8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89329">
            <w:pPr>
              <w:pStyle w:val="43"/>
              <w:bidi w:val="0"/>
              <w:rPr>
                <w:rFonts w:hint="eastAsia"/>
                <w:b/>
                <w:bCs/>
              </w:rPr>
            </w:pPr>
            <w:r>
              <w:rPr>
                <w:rFonts w:hint="eastAsia"/>
                <w:b/>
                <w:bCs/>
                <w:lang w:val="en-US" w:eastAsia="zh-CN"/>
              </w:rPr>
              <w:t>序号</w:t>
            </w:r>
          </w:p>
        </w:tc>
        <w:tc>
          <w:tcPr>
            <w:tcW w:w="7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D3093">
            <w:pPr>
              <w:pStyle w:val="43"/>
              <w:bidi w:val="0"/>
              <w:rPr>
                <w:rFonts w:hint="eastAsia"/>
                <w:b/>
                <w:bCs/>
              </w:rPr>
            </w:pPr>
            <w:r>
              <w:rPr>
                <w:rFonts w:hint="eastAsia"/>
                <w:b/>
                <w:bCs/>
                <w:lang w:val="en-US" w:eastAsia="zh-CN"/>
              </w:rPr>
              <w:t>声源名称</w:t>
            </w:r>
          </w:p>
        </w:tc>
        <w:tc>
          <w:tcPr>
            <w:tcW w:w="5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9896E">
            <w:pPr>
              <w:pStyle w:val="43"/>
              <w:bidi w:val="0"/>
              <w:rPr>
                <w:rFonts w:hint="eastAsia"/>
                <w:b/>
                <w:bCs/>
              </w:rPr>
            </w:pPr>
            <w:r>
              <w:rPr>
                <w:rFonts w:hint="eastAsia"/>
                <w:b/>
                <w:bCs/>
                <w:lang w:val="en-US" w:eastAsia="zh-CN"/>
              </w:rPr>
              <w:t>数量（台）</w:t>
            </w:r>
          </w:p>
        </w:tc>
        <w:tc>
          <w:tcPr>
            <w:tcW w:w="9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ABDD">
            <w:pPr>
              <w:pStyle w:val="43"/>
              <w:bidi w:val="0"/>
              <w:rPr>
                <w:rFonts w:hint="eastAsia"/>
                <w:b/>
                <w:bCs/>
              </w:rPr>
            </w:pPr>
            <w:r>
              <w:rPr>
                <w:rFonts w:hint="eastAsia"/>
                <w:b/>
                <w:bCs/>
                <w:lang w:val="en-US" w:eastAsia="zh-CN"/>
              </w:rPr>
              <w:t>型号</w:t>
            </w: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E95C">
            <w:pPr>
              <w:pStyle w:val="43"/>
              <w:bidi w:val="0"/>
              <w:rPr>
                <w:rFonts w:hint="eastAsia"/>
                <w:b/>
                <w:bCs/>
              </w:rPr>
            </w:pPr>
            <w:r>
              <w:rPr>
                <w:rFonts w:hint="eastAsia"/>
                <w:b/>
                <w:bCs/>
                <w:lang w:val="en-US" w:eastAsia="zh-CN"/>
              </w:rPr>
              <w:t>声源源强</w:t>
            </w:r>
          </w:p>
        </w:tc>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7E6BD">
            <w:pPr>
              <w:pStyle w:val="43"/>
              <w:bidi w:val="0"/>
              <w:rPr>
                <w:rFonts w:hint="eastAsia"/>
                <w:b/>
                <w:bCs/>
              </w:rPr>
            </w:pPr>
            <w:r>
              <w:rPr>
                <w:rFonts w:hint="eastAsia"/>
                <w:b/>
                <w:bCs/>
                <w:lang w:val="en-US" w:eastAsia="zh-CN"/>
              </w:rPr>
              <w:t>噪声削减措施</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7A997">
            <w:pPr>
              <w:pStyle w:val="43"/>
              <w:bidi w:val="0"/>
              <w:rPr>
                <w:rFonts w:hint="eastAsia"/>
                <w:b/>
                <w:bCs/>
              </w:rPr>
            </w:pPr>
            <w:r>
              <w:rPr>
                <w:rFonts w:hint="eastAsia"/>
                <w:b/>
                <w:bCs/>
                <w:lang w:val="en-US" w:eastAsia="zh-CN"/>
              </w:rPr>
              <w:t>运行时段</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0E197">
            <w:pPr>
              <w:pStyle w:val="43"/>
              <w:bidi w:val="0"/>
              <w:rPr>
                <w:rFonts w:hint="eastAsia"/>
                <w:b/>
                <w:bCs/>
              </w:rPr>
            </w:pPr>
            <w:r>
              <w:rPr>
                <w:rFonts w:hint="eastAsia"/>
                <w:b/>
                <w:bCs/>
                <w:lang w:val="en-US" w:eastAsia="zh-CN"/>
              </w:rPr>
              <w:t>备注</w:t>
            </w:r>
          </w:p>
        </w:tc>
      </w:tr>
      <w:tr w14:paraId="253AB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441C2">
            <w:pPr>
              <w:pStyle w:val="43"/>
              <w:bidi w:val="0"/>
              <w:rPr>
                <w:rFonts w:hint="eastAsia"/>
              </w:rPr>
            </w:pPr>
          </w:p>
        </w:tc>
        <w:tc>
          <w:tcPr>
            <w:tcW w:w="7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BA36">
            <w:pPr>
              <w:pStyle w:val="43"/>
              <w:bidi w:val="0"/>
              <w:rPr>
                <w:rFonts w:hint="eastAsia"/>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0DD7C">
            <w:pPr>
              <w:pStyle w:val="43"/>
              <w:bidi w:val="0"/>
              <w:rPr>
                <w:rFonts w:hint="eastAsia"/>
              </w:rPr>
            </w:pPr>
          </w:p>
        </w:tc>
        <w:tc>
          <w:tcPr>
            <w:tcW w:w="9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1D0DD">
            <w:pPr>
              <w:pStyle w:val="43"/>
              <w:bidi w:val="0"/>
              <w:rPr>
                <w:rFonts w:hint="eastAsia"/>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EA4D">
            <w:pPr>
              <w:pStyle w:val="43"/>
              <w:bidi w:val="0"/>
              <w:rPr>
                <w:rFonts w:hint="eastAsia"/>
              </w:rPr>
            </w:pPr>
            <w:r>
              <w:rPr>
                <w:rFonts w:hint="eastAsia"/>
                <w:b/>
                <w:bCs/>
                <w:lang w:val="en-US" w:eastAsia="zh-CN"/>
              </w:rPr>
              <w:t>声功率级</w:t>
            </w:r>
            <w:r>
              <w:rPr>
                <w:rFonts w:hint="default"/>
                <w:b/>
                <w:bCs/>
                <w:lang w:val="en-US" w:eastAsia="zh-CN"/>
              </w:rPr>
              <w:t>/dB</w:t>
            </w:r>
            <w:r>
              <w:rPr>
                <w:rFonts w:hint="eastAsia"/>
                <w:b/>
                <w:bCs/>
                <w:lang w:val="en-US" w:eastAsia="zh-CN"/>
              </w:rPr>
              <w:t>（</w:t>
            </w:r>
            <w:r>
              <w:rPr>
                <w:rFonts w:hint="default"/>
                <w:b/>
                <w:bCs/>
                <w:lang w:val="en-US" w:eastAsia="zh-CN"/>
              </w:rPr>
              <w:t>A</w:t>
            </w:r>
            <w:r>
              <w:rPr>
                <w:rFonts w:hint="eastAsia"/>
                <w:b/>
                <w:bCs/>
                <w:lang w:val="en-US" w:eastAsia="zh-CN"/>
              </w:rPr>
              <w:t>）</w:t>
            </w:r>
          </w:p>
        </w:tc>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4C923">
            <w:pPr>
              <w:pStyle w:val="43"/>
              <w:bidi w:val="0"/>
              <w:rPr>
                <w:rFonts w:hint="eastAsia"/>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DF46D">
            <w:pPr>
              <w:pStyle w:val="43"/>
              <w:bidi w:val="0"/>
              <w:rPr>
                <w:rFonts w:hint="eastAsia"/>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056E8">
            <w:pPr>
              <w:pStyle w:val="43"/>
              <w:bidi w:val="0"/>
              <w:rPr>
                <w:rFonts w:hint="eastAsia"/>
              </w:rPr>
            </w:pPr>
          </w:p>
        </w:tc>
      </w:tr>
      <w:tr w14:paraId="5B5F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C436">
            <w:pPr>
              <w:pStyle w:val="43"/>
              <w:bidi w:val="0"/>
              <w:rPr>
                <w:rFonts w:hint="default"/>
              </w:rPr>
            </w:pPr>
            <w:r>
              <w:rPr>
                <w:rFonts w:hint="default"/>
                <w:lang w:val="en-US" w:eastAsia="zh-CN"/>
              </w:rPr>
              <w:t>1</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37716">
            <w:pPr>
              <w:pStyle w:val="43"/>
              <w:bidi w:val="0"/>
              <w:rPr>
                <w:rFonts w:hint="eastAsia"/>
              </w:rPr>
            </w:pPr>
            <w:r>
              <w:rPr>
                <w:rFonts w:hint="eastAsia"/>
                <w:lang w:val="en-US" w:eastAsia="zh-CN"/>
              </w:rPr>
              <w:t>颚式破碎机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37D4">
            <w:pPr>
              <w:pStyle w:val="43"/>
              <w:bidi w:val="0"/>
              <w:rPr>
                <w:rFonts w:hint="default"/>
              </w:rPr>
            </w:pPr>
            <w:r>
              <w:rPr>
                <w:rFonts w:hint="default"/>
                <w:lang w:val="en-US" w:eastAsia="zh-CN"/>
              </w:rPr>
              <w:t>1</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014D">
            <w:pPr>
              <w:pStyle w:val="43"/>
              <w:bidi w:val="0"/>
              <w:rPr>
                <w:rFonts w:hint="default"/>
              </w:rPr>
            </w:pPr>
            <w:r>
              <w:rPr>
                <w:rFonts w:hint="default"/>
                <w:lang w:val="en-US" w:eastAsia="zh-CN"/>
              </w:rPr>
              <w:t>PE800*1060H-001</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D0C2">
            <w:pPr>
              <w:pStyle w:val="43"/>
              <w:bidi w:val="0"/>
              <w:rPr>
                <w:rFonts w:hint="eastAsia"/>
              </w:rPr>
            </w:pPr>
            <w:r>
              <w:rPr>
                <w:rFonts w:hint="eastAsia"/>
                <w:lang w:val="en-US" w:eastAsia="zh-CN"/>
              </w:rPr>
              <w:t>95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65DB">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1381C">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AF29D">
            <w:pPr>
              <w:pStyle w:val="43"/>
              <w:bidi w:val="0"/>
              <w:rPr>
                <w:rFonts w:hint="default"/>
              </w:rPr>
            </w:pPr>
            <w:r>
              <w:rPr>
                <w:rFonts w:hint="default"/>
                <w:lang w:val="en-US" w:eastAsia="zh-CN"/>
              </w:rPr>
              <w:t>/</w:t>
            </w:r>
          </w:p>
        </w:tc>
      </w:tr>
      <w:tr w14:paraId="4200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8ABB">
            <w:pPr>
              <w:pStyle w:val="43"/>
              <w:bidi w:val="0"/>
              <w:rPr>
                <w:rFonts w:hint="default"/>
              </w:rPr>
            </w:pPr>
            <w:r>
              <w:rPr>
                <w:rFonts w:hint="default"/>
                <w:lang w:val="en-US" w:eastAsia="zh-CN"/>
              </w:rPr>
              <w:t>2</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A11DB">
            <w:pPr>
              <w:pStyle w:val="43"/>
              <w:bidi w:val="0"/>
              <w:rPr>
                <w:rFonts w:hint="eastAsia"/>
              </w:rPr>
            </w:pPr>
            <w:r>
              <w:rPr>
                <w:rFonts w:hint="eastAsia"/>
                <w:lang w:val="en-US" w:eastAsia="zh-CN"/>
              </w:rPr>
              <w:t>重型锤式破碎机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D065">
            <w:pPr>
              <w:pStyle w:val="43"/>
              <w:bidi w:val="0"/>
              <w:rPr>
                <w:rFonts w:hint="default"/>
              </w:rPr>
            </w:pPr>
            <w:r>
              <w:rPr>
                <w:rFonts w:hint="default"/>
                <w:lang w:val="en-US" w:eastAsia="zh-CN"/>
              </w:rPr>
              <w:t>1</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A549">
            <w:pPr>
              <w:pStyle w:val="43"/>
              <w:bidi w:val="0"/>
              <w:rPr>
                <w:rFonts w:hint="default"/>
              </w:rPr>
            </w:pPr>
            <w:r>
              <w:rPr>
                <w:rFonts w:hint="default"/>
                <w:lang w:val="en-US" w:eastAsia="zh-CN"/>
              </w:rPr>
              <w:t>XGN-Z1815</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544D">
            <w:pPr>
              <w:pStyle w:val="43"/>
              <w:bidi w:val="0"/>
              <w:rPr>
                <w:rFonts w:hint="eastAsia"/>
              </w:rPr>
            </w:pPr>
            <w:r>
              <w:rPr>
                <w:rFonts w:hint="eastAsia"/>
                <w:lang w:val="en-US" w:eastAsia="zh-CN"/>
              </w:rPr>
              <w:t>95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3E49">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03066">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8AFF">
            <w:pPr>
              <w:pStyle w:val="43"/>
              <w:bidi w:val="0"/>
              <w:rPr>
                <w:rFonts w:hint="default"/>
              </w:rPr>
            </w:pPr>
            <w:r>
              <w:rPr>
                <w:rFonts w:hint="default"/>
                <w:lang w:val="en-US" w:eastAsia="zh-CN"/>
              </w:rPr>
              <w:t>/</w:t>
            </w:r>
          </w:p>
        </w:tc>
      </w:tr>
      <w:tr w14:paraId="0C06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2FD8F">
            <w:pPr>
              <w:pStyle w:val="43"/>
              <w:bidi w:val="0"/>
              <w:rPr>
                <w:rFonts w:hint="default"/>
              </w:rPr>
            </w:pPr>
            <w:r>
              <w:rPr>
                <w:rFonts w:hint="default"/>
                <w:lang w:val="en-US" w:eastAsia="zh-CN"/>
              </w:rPr>
              <w:t>3</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DA0E">
            <w:pPr>
              <w:pStyle w:val="43"/>
              <w:bidi w:val="0"/>
              <w:rPr>
                <w:rFonts w:hint="eastAsia"/>
              </w:rPr>
            </w:pPr>
            <w:r>
              <w:rPr>
                <w:rFonts w:hint="eastAsia"/>
                <w:lang w:val="en-US" w:eastAsia="zh-CN"/>
              </w:rPr>
              <w:t>锤式反击破碎机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BDEC">
            <w:pPr>
              <w:pStyle w:val="43"/>
              <w:bidi w:val="0"/>
              <w:rPr>
                <w:rFonts w:hint="default"/>
              </w:rPr>
            </w:pPr>
            <w:r>
              <w:rPr>
                <w:rFonts w:hint="default"/>
                <w:lang w:val="en-US" w:eastAsia="zh-CN"/>
              </w:rPr>
              <w:t>1</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315AC">
            <w:pPr>
              <w:pStyle w:val="43"/>
              <w:bidi w:val="0"/>
              <w:rPr>
                <w:rFonts w:hint="default"/>
              </w:rPr>
            </w:pPr>
            <w:r>
              <w:rPr>
                <w:rFonts w:hint="default"/>
                <w:lang w:val="en-US" w:eastAsia="zh-CN"/>
              </w:rPr>
              <w:t>ZG-1520</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DA4E">
            <w:pPr>
              <w:pStyle w:val="43"/>
              <w:bidi w:val="0"/>
              <w:rPr>
                <w:rFonts w:hint="eastAsia"/>
              </w:rPr>
            </w:pPr>
            <w:r>
              <w:rPr>
                <w:rFonts w:hint="eastAsia"/>
                <w:lang w:val="en-US" w:eastAsia="zh-CN"/>
              </w:rPr>
              <w:t>95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718E4">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CD4FA">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D0B8">
            <w:pPr>
              <w:pStyle w:val="43"/>
              <w:bidi w:val="0"/>
              <w:rPr>
                <w:rFonts w:hint="default"/>
              </w:rPr>
            </w:pPr>
            <w:r>
              <w:rPr>
                <w:rFonts w:hint="default"/>
                <w:lang w:val="en-US" w:eastAsia="zh-CN"/>
              </w:rPr>
              <w:t>/</w:t>
            </w:r>
          </w:p>
        </w:tc>
      </w:tr>
      <w:tr w14:paraId="416E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3AFEE">
            <w:pPr>
              <w:pStyle w:val="43"/>
              <w:bidi w:val="0"/>
              <w:rPr>
                <w:rFonts w:hint="default"/>
              </w:rPr>
            </w:pPr>
            <w:r>
              <w:rPr>
                <w:rFonts w:hint="default"/>
                <w:lang w:val="en-US" w:eastAsia="zh-CN"/>
              </w:rPr>
              <w:t>4</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27BF4">
            <w:pPr>
              <w:pStyle w:val="43"/>
              <w:bidi w:val="0"/>
              <w:rPr>
                <w:rFonts w:hint="eastAsia"/>
              </w:rPr>
            </w:pPr>
            <w:r>
              <w:rPr>
                <w:rFonts w:hint="eastAsia"/>
                <w:lang w:val="en-US" w:eastAsia="zh-CN"/>
              </w:rPr>
              <w:t>制砂机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3542">
            <w:pPr>
              <w:pStyle w:val="43"/>
              <w:bidi w:val="0"/>
              <w:rPr>
                <w:rFonts w:hint="default"/>
              </w:rPr>
            </w:pPr>
            <w:r>
              <w:rPr>
                <w:rFonts w:hint="default"/>
                <w:lang w:val="en-US" w:eastAsia="zh-CN"/>
              </w:rPr>
              <w:t>3</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B1E9">
            <w:pPr>
              <w:pStyle w:val="43"/>
              <w:bidi w:val="0"/>
              <w:rPr>
                <w:rFonts w:hint="default"/>
              </w:rPr>
            </w:pPr>
            <w:r>
              <w:rPr>
                <w:rFonts w:hint="default"/>
                <w:lang w:val="en-US" w:eastAsia="zh-CN"/>
              </w:rPr>
              <w:t>PFK-1312</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28A7">
            <w:pPr>
              <w:pStyle w:val="43"/>
              <w:bidi w:val="0"/>
              <w:rPr>
                <w:rFonts w:hint="eastAsia"/>
              </w:rPr>
            </w:pPr>
            <w:r>
              <w:rPr>
                <w:rFonts w:hint="eastAsia"/>
                <w:lang w:val="en-US" w:eastAsia="zh-CN"/>
              </w:rPr>
              <w:t>95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728E">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1FD00">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400E">
            <w:pPr>
              <w:pStyle w:val="43"/>
              <w:bidi w:val="0"/>
              <w:rPr>
                <w:rFonts w:hint="default"/>
              </w:rPr>
            </w:pPr>
            <w:r>
              <w:rPr>
                <w:rFonts w:hint="default"/>
                <w:lang w:val="en-US" w:eastAsia="zh-CN"/>
              </w:rPr>
              <w:t>/</w:t>
            </w:r>
          </w:p>
        </w:tc>
      </w:tr>
      <w:tr w14:paraId="71B7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87AEB">
            <w:pPr>
              <w:pStyle w:val="43"/>
              <w:bidi w:val="0"/>
              <w:rPr>
                <w:rFonts w:hint="default"/>
              </w:rPr>
            </w:pPr>
            <w:r>
              <w:rPr>
                <w:rFonts w:hint="default"/>
                <w:lang w:val="en-US" w:eastAsia="zh-CN"/>
              </w:rPr>
              <w:t>5</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2FFF">
            <w:pPr>
              <w:pStyle w:val="43"/>
              <w:bidi w:val="0"/>
              <w:rPr>
                <w:rFonts w:hint="eastAsia"/>
              </w:rPr>
            </w:pPr>
            <w:r>
              <w:rPr>
                <w:rFonts w:hint="eastAsia"/>
                <w:lang w:val="en-US" w:eastAsia="zh-CN"/>
              </w:rPr>
              <w:t>振动筛</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2471">
            <w:pPr>
              <w:pStyle w:val="43"/>
              <w:bidi w:val="0"/>
              <w:rPr>
                <w:rFonts w:hint="default"/>
              </w:rPr>
            </w:pPr>
            <w:r>
              <w:rPr>
                <w:rFonts w:hint="default"/>
                <w:lang w:val="en-US" w:eastAsia="zh-CN"/>
              </w:rPr>
              <w:t>3</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68B2C">
            <w:pPr>
              <w:pStyle w:val="43"/>
              <w:bidi w:val="0"/>
              <w:rPr>
                <w:rFonts w:hint="default"/>
              </w:rPr>
            </w:pPr>
            <w:r>
              <w:rPr>
                <w:rFonts w:hint="default"/>
                <w:lang w:val="en-US" w:eastAsia="zh-CN"/>
              </w:rPr>
              <w:t>BSYZ2460</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A0F3">
            <w:pPr>
              <w:pStyle w:val="43"/>
              <w:bidi w:val="0"/>
              <w:rPr>
                <w:rFonts w:hint="eastAsia"/>
              </w:rPr>
            </w:pPr>
            <w:r>
              <w:rPr>
                <w:rFonts w:hint="eastAsia"/>
                <w:lang w:val="en-US" w:eastAsia="zh-CN"/>
              </w:rPr>
              <w:t>90</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37D1">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CF8E">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C1642">
            <w:pPr>
              <w:pStyle w:val="43"/>
              <w:bidi w:val="0"/>
              <w:rPr>
                <w:rFonts w:hint="default"/>
              </w:rPr>
            </w:pPr>
            <w:r>
              <w:rPr>
                <w:rFonts w:hint="default"/>
                <w:lang w:val="en-US" w:eastAsia="zh-CN"/>
              </w:rPr>
              <w:t>/</w:t>
            </w:r>
          </w:p>
        </w:tc>
      </w:tr>
      <w:tr w14:paraId="487F9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4D9B">
            <w:pPr>
              <w:pStyle w:val="43"/>
              <w:bidi w:val="0"/>
              <w:rPr>
                <w:rFonts w:hint="default"/>
              </w:rPr>
            </w:pPr>
            <w:r>
              <w:rPr>
                <w:rFonts w:hint="default"/>
                <w:lang w:val="en-US" w:eastAsia="zh-CN"/>
              </w:rPr>
              <w:t>6</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4AAED">
            <w:pPr>
              <w:pStyle w:val="43"/>
              <w:bidi w:val="0"/>
              <w:rPr>
                <w:rFonts w:hint="eastAsia"/>
              </w:rPr>
            </w:pPr>
            <w:r>
              <w:rPr>
                <w:rFonts w:hint="eastAsia"/>
                <w:lang w:val="en-US" w:eastAsia="zh-CN"/>
              </w:rPr>
              <w:t>振动筛电机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576C">
            <w:pPr>
              <w:pStyle w:val="43"/>
              <w:bidi w:val="0"/>
              <w:rPr>
                <w:rFonts w:hint="default"/>
              </w:rPr>
            </w:pPr>
            <w:r>
              <w:rPr>
                <w:rFonts w:hint="default"/>
                <w:lang w:val="en-US" w:eastAsia="zh-CN"/>
              </w:rPr>
              <w:t>3</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4DCD">
            <w:pPr>
              <w:pStyle w:val="43"/>
              <w:bidi w:val="0"/>
              <w:rPr>
                <w:rFonts w:hint="default"/>
              </w:rPr>
            </w:pPr>
            <w:r>
              <w:rPr>
                <w:rFonts w:hint="default"/>
                <w:lang w:val="en-US" w:eastAsia="zh-CN"/>
              </w:rPr>
              <w:t>Y225M-6-30</w:t>
            </w:r>
            <w:r>
              <w:rPr>
                <w:rFonts w:hint="eastAsia"/>
                <w:lang w:val="en-US" w:eastAsia="zh-CN"/>
              </w:rPr>
              <w:t>kW</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2C89">
            <w:pPr>
              <w:pStyle w:val="43"/>
              <w:bidi w:val="0"/>
              <w:rPr>
                <w:rFonts w:hint="eastAsia"/>
              </w:rPr>
            </w:pPr>
            <w:r>
              <w:rPr>
                <w:rFonts w:hint="eastAsia"/>
                <w:lang w:val="en-US" w:eastAsia="zh-CN"/>
              </w:rPr>
              <w:t>90</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53257">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CF3EA">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9E32B">
            <w:pPr>
              <w:pStyle w:val="43"/>
              <w:bidi w:val="0"/>
              <w:rPr>
                <w:rFonts w:hint="default"/>
              </w:rPr>
            </w:pPr>
            <w:r>
              <w:rPr>
                <w:rFonts w:hint="default"/>
                <w:lang w:val="en-US" w:eastAsia="zh-CN"/>
              </w:rPr>
              <w:t>/</w:t>
            </w:r>
          </w:p>
        </w:tc>
      </w:tr>
      <w:tr w14:paraId="5CF3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9340">
            <w:pPr>
              <w:pStyle w:val="43"/>
              <w:bidi w:val="0"/>
              <w:rPr>
                <w:rFonts w:hint="default"/>
              </w:rPr>
            </w:pPr>
            <w:r>
              <w:rPr>
                <w:rFonts w:hint="default"/>
                <w:lang w:val="en-US" w:eastAsia="zh-CN"/>
              </w:rPr>
              <w:t>7</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F5F59">
            <w:pPr>
              <w:pStyle w:val="43"/>
              <w:bidi w:val="0"/>
              <w:rPr>
                <w:rFonts w:hint="eastAsia"/>
              </w:rPr>
            </w:pPr>
            <w:r>
              <w:rPr>
                <w:rFonts w:hint="eastAsia"/>
                <w:lang w:val="en-US" w:eastAsia="zh-CN"/>
              </w:rPr>
              <w:t>输送皮带电机</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A1A95">
            <w:pPr>
              <w:pStyle w:val="43"/>
              <w:bidi w:val="0"/>
              <w:rPr>
                <w:rFonts w:hint="default"/>
              </w:rPr>
            </w:pPr>
            <w:r>
              <w:rPr>
                <w:rFonts w:hint="default"/>
                <w:lang w:val="en-US" w:eastAsia="zh-CN"/>
              </w:rPr>
              <w:t>9</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436DA">
            <w:pPr>
              <w:pStyle w:val="43"/>
              <w:bidi w:val="0"/>
              <w:rPr>
                <w:rFonts w:hint="default"/>
              </w:rPr>
            </w:pPr>
            <w:r>
              <w:rPr>
                <w:rFonts w:hint="default"/>
                <w:lang w:val="en-US" w:eastAsia="zh-CN"/>
              </w:rPr>
              <w:t>YZX132M-4-7.5</w:t>
            </w:r>
            <w:r>
              <w:rPr>
                <w:rFonts w:hint="eastAsia"/>
                <w:lang w:val="en-US" w:eastAsia="zh-CN"/>
              </w:rPr>
              <w:t>kW</w:t>
            </w:r>
          </w:p>
        </w:tc>
        <w:tc>
          <w:tcPr>
            <w:tcW w:w="8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565E">
            <w:pPr>
              <w:pStyle w:val="43"/>
              <w:bidi w:val="0"/>
              <w:rPr>
                <w:rFonts w:hint="eastAsia"/>
              </w:rPr>
            </w:pPr>
            <w:r>
              <w:rPr>
                <w:rFonts w:hint="eastAsia"/>
                <w:lang w:val="en-US" w:eastAsia="zh-CN"/>
              </w:rPr>
              <w:t>75</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4BCD3">
            <w:pPr>
              <w:pStyle w:val="43"/>
              <w:bidi w:val="0"/>
              <w:rPr>
                <w:rFonts w:hint="eastAsia"/>
              </w:rPr>
            </w:pPr>
            <w:r>
              <w:rPr>
                <w:rFonts w:hint="eastAsia"/>
                <w:lang w:val="en-US" w:eastAsia="zh-CN"/>
              </w:rPr>
              <w:t>厂房隔声，基础减震</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BB179">
            <w:pPr>
              <w:pStyle w:val="43"/>
              <w:bidi w:val="0"/>
              <w:rPr>
                <w:rFonts w:hint="eastAsia"/>
              </w:rPr>
            </w:pPr>
            <w:r>
              <w:rPr>
                <w:rFonts w:hint="eastAsia"/>
                <w:lang w:val="en-US" w:eastAsia="zh-CN"/>
              </w:rPr>
              <w:t>昼间</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6E0AE">
            <w:pPr>
              <w:pStyle w:val="43"/>
              <w:bidi w:val="0"/>
              <w:rPr>
                <w:rFonts w:hint="default"/>
              </w:rPr>
            </w:pPr>
            <w:r>
              <w:rPr>
                <w:rFonts w:hint="default"/>
                <w:lang w:val="en-US" w:eastAsia="zh-CN"/>
              </w:rPr>
              <w:t>/</w:t>
            </w:r>
          </w:p>
        </w:tc>
      </w:tr>
    </w:tbl>
    <w:p w14:paraId="685D01BE">
      <w:pPr>
        <w:pStyle w:val="5"/>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固体废物产污分析</w:t>
      </w:r>
    </w:p>
    <w:p w14:paraId="5D609F7F">
      <w:pPr>
        <w:pStyle w:val="41"/>
        <w:bidi w:val="0"/>
        <w:rPr>
          <w:rFonts w:hint="default"/>
          <w:b/>
          <w:bCs/>
          <w:lang w:val="en-US" w:eastAsia="zh-CN"/>
        </w:rPr>
      </w:pPr>
      <w:r>
        <w:rPr>
          <w:rFonts w:hint="default"/>
          <w:b/>
          <w:bCs/>
          <w:lang w:val="en-US" w:eastAsia="zh-CN"/>
        </w:rPr>
        <w:t>（1）废土石</w:t>
      </w:r>
    </w:p>
    <w:p w14:paraId="07FF4741">
      <w:pPr>
        <w:pStyle w:val="41"/>
        <w:bidi w:val="0"/>
        <w:rPr>
          <w:rFonts w:hint="default" w:eastAsia="宋体"/>
          <w:lang w:val="en-US" w:eastAsia="zh-CN"/>
        </w:rPr>
      </w:pPr>
      <w:r>
        <w:rPr>
          <w:rFonts w:hint="eastAsia"/>
        </w:rPr>
        <w:t>矿山存在部分覆土，厚度0~1.3m，覆土量约7.6万</w:t>
      </w:r>
      <w:r>
        <w:rPr>
          <w:rFonts w:hint="eastAsia"/>
          <w:lang w:eastAsia="zh-CN"/>
        </w:rPr>
        <w:t>m</w:t>
      </w:r>
      <w:r>
        <w:rPr>
          <w:rFonts w:hint="eastAsia"/>
          <w:vertAlign w:val="superscript"/>
          <w:lang w:eastAsia="zh-CN"/>
        </w:rPr>
        <w:t>3</w:t>
      </w:r>
      <w:r>
        <w:rPr>
          <w:rFonts w:hint="eastAsia"/>
        </w:rPr>
        <w:t>，</w:t>
      </w:r>
      <w:r>
        <w:rPr>
          <w:rFonts w:hint="eastAsia"/>
          <w:lang w:val="en-US" w:eastAsia="zh-CN"/>
        </w:rPr>
        <w:t>则每年产生量约为2165m</w:t>
      </w:r>
      <w:r>
        <w:rPr>
          <w:rFonts w:hint="eastAsia"/>
          <w:vertAlign w:val="superscript"/>
          <w:lang w:val="en-US" w:eastAsia="zh-CN"/>
        </w:rPr>
        <w:t>3</w:t>
      </w:r>
      <w:r>
        <w:rPr>
          <w:rFonts w:hint="eastAsia"/>
          <w:lang w:val="en-US" w:eastAsia="zh-CN"/>
        </w:rPr>
        <w:t>，5850t/a，</w:t>
      </w:r>
      <w:r>
        <w:rPr>
          <w:rFonts w:hint="eastAsia"/>
        </w:rPr>
        <w:t>设计在矿区内南侧设置一个临时表土堆场，矿山剥离覆土运至临时表土堆场堆存，待上部台阶靠帮后，将堆存表土用于矿区生态修复使用。</w:t>
      </w:r>
      <w:r>
        <w:rPr>
          <w:rFonts w:hint="eastAsia"/>
          <w:lang w:val="en-US" w:eastAsia="zh-CN"/>
        </w:rPr>
        <w:t>根据项目开采多年经验，项目基本无废石产生。</w:t>
      </w:r>
    </w:p>
    <w:p w14:paraId="68076C6F">
      <w:pPr>
        <w:pStyle w:val="41"/>
        <w:bidi w:val="0"/>
        <w:rPr>
          <w:rFonts w:hint="default"/>
          <w:b/>
          <w:bCs/>
          <w:lang w:val="en-US" w:eastAsia="zh-CN"/>
        </w:rPr>
      </w:pPr>
      <w:r>
        <w:rPr>
          <w:rFonts w:hint="eastAsia"/>
          <w:b/>
          <w:bCs/>
          <w:lang w:eastAsia="zh-CN"/>
        </w:rPr>
        <w:t>（</w:t>
      </w:r>
      <w:r>
        <w:rPr>
          <w:rFonts w:hint="eastAsia"/>
          <w:b/>
          <w:bCs/>
          <w:lang w:val="en-US" w:eastAsia="zh-CN"/>
        </w:rPr>
        <w:t>2）除尘系统收集粉尘</w:t>
      </w:r>
    </w:p>
    <w:p w14:paraId="525F779F">
      <w:pPr>
        <w:pStyle w:val="41"/>
        <w:bidi w:val="0"/>
        <w:rPr>
          <w:rFonts w:hint="eastAsia"/>
          <w:lang w:val="en-US" w:eastAsia="zh-CN"/>
        </w:rPr>
      </w:pPr>
      <w:r>
        <w:rPr>
          <w:rFonts w:hint="eastAsia"/>
          <w:lang w:val="en-US" w:eastAsia="zh-CN"/>
        </w:rPr>
        <w:t>根据废气核算章节，除尘系统收集的粉尘约为240t/a，收集后回掺项目制砂工段后外售。</w:t>
      </w:r>
    </w:p>
    <w:p w14:paraId="05F8493F">
      <w:pPr>
        <w:pStyle w:val="41"/>
        <w:bidi w:val="0"/>
        <w:rPr>
          <w:b/>
          <w:bCs/>
        </w:rPr>
      </w:pPr>
      <w:r>
        <w:rPr>
          <w:rFonts w:hint="eastAsia"/>
          <w:b/>
          <w:bCs/>
        </w:rPr>
        <w:t>（</w:t>
      </w:r>
      <w:r>
        <w:rPr>
          <w:rFonts w:hint="eastAsia"/>
          <w:b/>
          <w:bCs/>
          <w:lang w:val="en-US" w:eastAsia="zh-CN"/>
        </w:rPr>
        <w:t>3</w:t>
      </w:r>
      <w:r>
        <w:rPr>
          <w:rFonts w:hint="eastAsia"/>
          <w:b/>
          <w:bCs/>
        </w:rPr>
        <w:t>）初期雨水收集池底泥</w:t>
      </w:r>
    </w:p>
    <w:p w14:paraId="3B52AEEF">
      <w:pPr>
        <w:pStyle w:val="41"/>
        <w:bidi w:val="0"/>
        <w:rPr>
          <w:rFonts w:hint="default"/>
          <w:lang w:val="en-US" w:eastAsia="zh-CN"/>
        </w:rPr>
      </w:pPr>
      <w:r>
        <w:rPr>
          <w:rFonts w:hint="eastAsia"/>
        </w:rPr>
        <w:t>项目初期雨水由排水沟收集，经初期雨水收集池处理后，用于厂区洒水降尘，初期雨水收集池会产生底泥，项目初期雨水收集池产生的底泥量约为</w:t>
      </w:r>
      <w:r>
        <w:rPr>
          <w:rFonts w:hint="eastAsia"/>
          <w:lang w:val="en-US" w:eastAsia="zh-CN"/>
        </w:rPr>
        <w:t>40</w:t>
      </w:r>
      <w:r>
        <w:rPr>
          <w:rFonts w:hint="eastAsia"/>
        </w:rPr>
        <w:t>t/a。这部分底泥定期清掏后，用作项目场区低洼处回填</w:t>
      </w:r>
      <w:r>
        <w:t>。</w:t>
      </w:r>
    </w:p>
    <w:p w14:paraId="4B6D625E">
      <w:pPr>
        <w:pStyle w:val="41"/>
        <w:bidi w:val="0"/>
        <w:rPr>
          <w:rFonts w:hint="default"/>
          <w:b/>
          <w:bCs/>
        </w:rPr>
      </w:pPr>
      <w:r>
        <w:rPr>
          <w:rFonts w:hint="eastAsia"/>
          <w:b/>
          <w:bCs/>
          <w:lang w:eastAsia="zh-CN"/>
        </w:rPr>
        <w:t>（</w:t>
      </w:r>
      <w:r>
        <w:rPr>
          <w:rFonts w:hint="eastAsia"/>
          <w:b/>
          <w:bCs/>
          <w:lang w:val="en-US" w:eastAsia="zh-CN"/>
        </w:rPr>
        <w:t>4）</w:t>
      </w:r>
      <w:r>
        <w:rPr>
          <w:rFonts w:hint="default"/>
          <w:b/>
          <w:bCs/>
        </w:rPr>
        <w:t>生活垃圾</w:t>
      </w:r>
    </w:p>
    <w:p w14:paraId="7F7DCC3C">
      <w:pPr>
        <w:pStyle w:val="41"/>
        <w:bidi w:val="0"/>
      </w:pPr>
      <w:r>
        <w:rPr>
          <w:rFonts w:hint="eastAsia"/>
          <w:lang w:val="en-US" w:eastAsia="zh-CN"/>
        </w:rPr>
        <w:t>扩建后</w:t>
      </w:r>
      <w:r>
        <w:rPr>
          <w:rFonts w:hint="default"/>
        </w:rPr>
        <w:t>，</w:t>
      </w:r>
      <w:r>
        <w:rPr>
          <w:rFonts w:hint="eastAsia"/>
          <w:lang w:val="en-US" w:eastAsia="zh-CN"/>
        </w:rPr>
        <w:t>项目新增</w:t>
      </w:r>
      <w:r>
        <w:rPr>
          <w:rFonts w:hint="default"/>
        </w:rPr>
        <w:t>劳动定员</w:t>
      </w:r>
      <w:r>
        <w:rPr>
          <w:rFonts w:hint="eastAsia"/>
          <w:lang w:val="en-US" w:eastAsia="zh-CN"/>
        </w:rPr>
        <w:t>8</w:t>
      </w:r>
      <w:r>
        <w:rPr>
          <w:rFonts w:hint="default"/>
          <w:lang w:eastAsia="zh-CN"/>
        </w:rPr>
        <w:t>人</w:t>
      </w:r>
      <w:r>
        <w:rPr>
          <w:rFonts w:hint="default"/>
          <w:lang w:val="en-US" w:eastAsia="zh-CN"/>
        </w:rPr>
        <w:t>，</w:t>
      </w:r>
      <w:r>
        <w:rPr>
          <w:rFonts w:hint="eastAsia"/>
          <w:lang w:val="en-US" w:eastAsia="zh-CN"/>
        </w:rPr>
        <w:t>原项目人员在项目内食宿，生活垃圾产生约1kg/人·d，</w:t>
      </w:r>
      <w:r>
        <w:rPr>
          <w:rFonts w:hint="eastAsia"/>
        </w:rPr>
        <w:t>项目运营期生活垃圾产生量为20kg/d，6.0t/a。</w:t>
      </w:r>
      <w:r>
        <w:rPr>
          <w:rFonts w:hint="eastAsia"/>
          <w:lang w:val="en-US" w:eastAsia="zh-CN"/>
        </w:rPr>
        <w:t>扩建后拟不在项目区食宿，人员</w:t>
      </w:r>
      <w:r>
        <w:rPr>
          <w:rFonts w:hint="default"/>
        </w:rPr>
        <w:t>生活垃圾的产生按0.</w:t>
      </w:r>
      <w:r>
        <w:rPr>
          <w:rFonts w:hint="eastAsia"/>
          <w:lang w:val="en-US" w:eastAsia="zh-CN"/>
        </w:rPr>
        <w:t>5</w:t>
      </w:r>
      <w:r>
        <w:rPr>
          <w:rFonts w:hint="default"/>
        </w:rPr>
        <w:t>kg/d·人计算，则生活垃圾的产生量为</w:t>
      </w:r>
      <w:r>
        <w:rPr>
          <w:rFonts w:hint="eastAsia"/>
          <w:lang w:val="en-US" w:eastAsia="zh-CN"/>
        </w:rPr>
        <w:t>14</w:t>
      </w:r>
      <w:r>
        <w:rPr>
          <w:rFonts w:hint="default"/>
        </w:rPr>
        <w:t>kg/d，</w:t>
      </w:r>
      <w:r>
        <w:rPr>
          <w:rFonts w:hint="eastAsia"/>
          <w:lang w:val="en-US" w:eastAsia="zh-CN"/>
        </w:rPr>
        <w:t>4.2</w:t>
      </w:r>
      <w:r>
        <w:rPr>
          <w:rFonts w:hint="default"/>
        </w:rPr>
        <w:t>t/a。</w:t>
      </w:r>
      <w:r>
        <w:rPr>
          <w:rFonts w:hint="eastAsia"/>
        </w:rPr>
        <w:t>这部分生活垃圾集中收集后清运至云南普阳煤化工有限责任公司垃圾收集点，与云南普阳煤化工有限责任公司生活垃圾一同处理。</w:t>
      </w:r>
    </w:p>
    <w:p w14:paraId="48BB8717">
      <w:pPr>
        <w:pStyle w:val="41"/>
        <w:bidi w:val="0"/>
        <w:rPr>
          <w:rFonts w:hint="default"/>
          <w:b/>
          <w:bCs/>
          <w:lang w:val="en-US" w:eastAsia="zh-CN"/>
        </w:rPr>
      </w:pPr>
      <w:r>
        <w:rPr>
          <w:rFonts w:hint="default"/>
          <w:b/>
          <w:bCs/>
          <w:lang w:val="en-US" w:eastAsia="zh-CN"/>
        </w:rPr>
        <w:t>（</w:t>
      </w:r>
      <w:r>
        <w:rPr>
          <w:rFonts w:hint="eastAsia"/>
          <w:b/>
          <w:bCs/>
          <w:lang w:val="en-US" w:eastAsia="zh-CN"/>
        </w:rPr>
        <w:t>5）机修废物</w:t>
      </w:r>
    </w:p>
    <w:p w14:paraId="75A85B00">
      <w:pPr>
        <w:pStyle w:val="41"/>
        <w:bidi w:val="0"/>
        <w:rPr>
          <w:rFonts w:hint="default"/>
          <w:lang w:val="en-US" w:eastAsia="zh-CN"/>
        </w:rPr>
      </w:pPr>
      <w:r>
        <w:rPr>
          <w:rFonts w:hint="eastAsia"/>
          <w:lang w:val="en-US" w:eastAsia="zh-CN"/>
        </w:rPr>
        <w:t>项目</w:t>
      </w:r>
      <w:r>
        <w:rPr>
          <w:rFonts w:hint="default"/>
          <w:lang w:val="en-US" w:eastAsia="zh-CN"/>
        </w:rPr>
        <w:t>日常保养维护中会产生少量危险废物，如废机油、废润滑油等，根据</w:t>
      </w:r>
      <w:r>
        <w:rPr>
          <w:rFonts w:hint="eastAsia"/>
          <w:lang w:val="en-US" w:eastAsia="zh-CN"/>
        </w:rPr>
        <w:t>《</w:t>
      </w:r>
      <w:r>
        <w:rPr>
          <w:rFonts w:hint="default"/>
          <w:lang w:val="en-US" w:eastAsia="zh-CN"/>
        </w:rPr>
        <w:t>国家危险废物名录》（2025版），废机油、废润滑油等属于名录中</w:t>
      </w:r>
      <w:r>
        <w:rPr>
          <w:rFonts w:hint="eastAsia"/>
          <w:lang w:val="en-US" w:eastAsia="zh-CN"/>
        </w:rPr>
        <w:t>“</w:t>
      </w:r>
      <w:r>
        <w:rPr>
          <w:rFonts w:hint="default"/>
          <w:lang w:val="en-US" w:eastAsia="zh-CN"/>
        </w:rPr>
        <w:t>HW08废矿物油与含废矿物油废物</w:t>
      </w:r>
      <w:r>
        <w:rPr>
          <w:rFonts w:hint="eastAsia"/>
          <w:lang w:val="en-US" w:eastAsia="zh-CN"/>
        </w:rPr>
        <w:t>”</w:t>
      </w:r>
      <w:r>
        <w:rPr>
          <w:rFonts w:hint="default"/>
          <w:lang w:val="en-US" w:eastAsia="zh-CN"/>
        </w:rPr>
        <w:t>类中非特定行业</w:t>
      </w:r>
      <w:r>
        <w:rPr>
          <w:rFonts w:hint="eastAsia"/>
          <w:lang w:val="en-US" w:eastAsia="zh-CN"/>
        </w:rPr>
        <w:t>“</w:t>
      </w:r>
      <w:r>
        <w:rPr>
          <w:rFonts w:hint="default"/>
          <w:lang w:val="en-US" w:eastAsia="zh-CN"/>
        </w:rPr>
        <w:t>900-214-08车辆、轮船及其他机械维修过程中产生的废发动机油、制动器油、自动变速器油、齿轮油等废润滑油</w:t>
      </w:r>
      <w:r>
        <w:rPr>
          <w:rFonts w:hint="eastAsia"/>
          <w:lang w:val="en-US" w:eastAsia="zh-CN"/>
        </w:rPr>
        <w:t>”</w:t>
      </w:r>
      <w:r>
        <w:rPr>
          <w:rFonts w:hint="default"/>
          <w:lang w:val="en-US" w:eastAsia="zh-CN"/>
        </w:rPr>
        <w:t>类废物，属于危险废物</w:t>
      </w:r>
      <w:r>
        <w:rPr>
          <w:rFonts w:hint="eastAsia"/>
          <w:lang w:val="en-US" w:eastAsia="zh-CN"/>
        </w:rPr>
        <w:t>，</w:t>
      </w:r>
      <w:r>
        <w:rPr>
          <w:rFonts w:hint="default"/>
          <w:lang w:val="en-US" w:eastAsia="zh-CN"/>
        </w:rPr>
        <w:t>产生量约为</w:t>
      </w:r>
      <w:r>
        <w:rPr>
          <w:rFonts w:hint="eastAsia"/>
          <w:lang w:val="en-US" w:eastAsia="zh-CN"/>
        </w:rPr>
        <w:t>0.1t</w:t>
      </w:r>
      <w:r>
        <w:rPr>
          <w:rFonts w:hint="default"/>
          <w:lang w:val="en-US" w:eastAsia="zh-CN"/>
        </w:rPr>
        <w:t>/a。</w:t>
      </w:r>
      <w:r>
        <w:rPr>
          <w:rFonts w:hint="eastAsia"/>
          <w:lang w:val="en-US" w:eastAsia="zh-CN"/>
        </w:rPr>
        <w:t>项目依托电石厂内危废暂存间</w:t>
      </w:r>
      <w:r>
        <w:rPr>
          <w:rFonts w:hint="default"/>
          <w:lang w:val="en-US" w:eastAsia="zh-CN"/>
        </w:rPr>
        <w:t>，项目产生的废机油、废润滑油使用油桶收集后暂存于危废间后，定期委托有资质的单位清运处置。</w:t>
      </w:r>
    </w:p>
    <w:p w14:paraId="3740CCB2">
      <w:pPr>
        <w:pStyle w:val="41"/>
        <w:bidi w:val="0"/>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rPr>
        <w:t>项目运营期的固体废物产生量见表</w:t>
      </w:r>
      <w:r>
        <w:rPr>
          <w:rFonts w:hint="eastAsia"/>
          <w:lang w:val="en-US" w:eastAsia="zh-CN"/>
        </w:rPr>
        <w:t>3.5-13</w:t>
      </w:r>
      <w:r>
        <w:rPr>
          <w:rFonts w:hint="default"/>
        </w:rPr>
        <w:t>。</w:t>
      </w:r>
    </w:p>
    <w:p w14:paraId="377798D7">
      <w:pPr>
        <w:pStyle w:val="45"/>
        <w:bidi w:val="0"/>
        <w:rPr>
          <w:rFonts w:hint="default"/>
          <w:lang w:val="en-US" w:eastAsia="zh-CN"/>
        </w:rPr>
      </w:pPr>
      <w:r>
        <w:rPr>
          <w:rFonts w:hint="default"/>
        </w:rPr>
        <w:t>表</w:t>
      </w:r>
      <w:r>
        <w:rPr>
          <w:rFonts w:hint="eastAsia"/>
          <w:lang w:val="en-US" w:eastAsia="zh-CN"/>
        </w:rPr>
        <w:t>3.5-13</w:t>
      </w:r>
      <w:r>
        <w:rPr>
          <w:rFonts w:hint="default"/>
          <w:lang w:val="en-US" w:eastAsia="zh-CN"/>
        </w:rPr>
        <w:t xml:space="preserve">  项目固体废物产生及处置一览表</w:t>
      </w:r>
    </w:p>
    <w:tbl>
      <w:tblPr>
        <w:tblStyle w:val="34"/>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57"/>
        <w:gridCol w:w="1178"/>
        <w:gridCol w:w="992"/>
        <w:gridCol w:w="966"/>
        <w:gridCol w:w="753"/>
        <w:gridCol w:w="1040"/>
        <w:gridCol w:w="1136"/>
        <w:gridCol w:w="1198"/>
        <w:gridCol w:w="1255"/>
        <w:gridCol w:w="2213"/>
        <w:gridCol w:w="1140"/>
        <w:gridCol w:w="1141"/>
      </w:tblGrid>
      <w:tr w14:paraId="6313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1056" w:type="dxa"/>
            <w:noWrap w:val="0"/>
            <w:vAlign w:val="center"/>
          </w:tcPr>
          <w:p w14:paraId="2B66516F">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废物名称</w:t>
            </w:r>
          </w:p>
        </w:tc>
        <w:tc>
          <w:tcPr>
            <w:tcW w:w="1177" w:type="dxa"/>
            <w:noWrap w:val="0"/>
            <w:vAlign w:val="center"/>
          </w:tcPr>
          <w:p w14:paraId="38BD6F30">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产污环节</w:t>
            </w:r>
          </w:p>
        </w:tc>
        <w:tc>
          <w:tcPr>
            <w:tcW w:w="991" w:type="dxa"/>
            <w:noWrap w:val="0"/>
            <w:vAlign w:val="center"/>
          </w:tcPr>
          <w:p w14:paraId="05D14D8E">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产量t/a</w:t>
            </w:r>
          </w:p>
        </w:tc>
        <w:tc>
          <w:tcPr>
            <w:tcW w:w="965" w:type="dxa"/>
            <w:noWrap w:val="0"/>
            <w:vAlign w:val="center"/>
          </w:tcPr>
          <w:p w14:paraId="5C72F018">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主要有毒有害物质</w:t>
            </w:r>
          </w:p>
        </w:tc>
        <w:tc>
          <w:tcPr>
            <w:tcW w:w="753" w:type="dxa"/>
            <w:noWrap w:val="0"/>
            <w:vAlign w:val="center"/>
          </w:tcPr>
          <w:p w14:paraId="1F65F10C">
            <w:pPr>
              <w:pStyle w:val="43"/>
              <w:bidi w:val="0"/>
              <w:rPr>
                <w:rFonts w:hint="default"/>
                <w:b/>
                <w:bCs/>
                <w:color w:val="000000" w:themeColor="text1"/>
                <w:highlight w:val="none"/>
                <w:lang w:val="zh-CN"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物理形态</w:t>
            </w:r>
          </w:p>
        </w:tc>
        <w:tc>
          <w:tcPr>
            <w:tcW w:w="1039" w:type="dxa"/>
            <w:noWrap w:val="0"/>
            <w:vAlign w:val="center"/>
          </w:tcPr>
          <w:p w14:paraId="65F2B7C3">
            <w:pPr>
              <w:pStyle w:val="43"/>
              <w:bidi w:val="0"/>
              <w:rPr>
                <w:rFonts w:hint="default"/>
                <w:b/>
                <w:bCs/>
                <w:color w:val="000000" w:themeColor="text1"/>
                <w:highlight w:val="none"/>
                <w:lang w:val="zh-CN"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危险特性</w:t>
            </w:r>
          </w:p>
        </w:tc>
        <w:tc>
          <w:tcPr>
            <w:tcW w:w="1135" w:type="dxa"/>
            <w:noWrap w:val="0"/>
            <w:vAlign w:val="center"/>
          </w:tcPr>
          <w:p w14:paraId="2E644C7A">
            <w:pPr>
              <w:pStyle w:val="43"/>
              <w:bidi w:val="0"/>
              <w:rPr>
                <w:rFonts w:hint="default"/>
                <w:b/>
                <w:bCs/>
                <w:color w:val="000000" w:themeColor="text1"/>
                <w:highlight w:val="none"/>
                <w:lang w:val="zh-CN"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废物种类</w:t>
            </w:r>
          </w:p>
        </w:tc>
        <w:tc>
          <w:tcPr>
            <w:tcW w:w="1197" w:type="dxa"/>
            <w:noWrap w:val="0"/>
            <w:vAlign w:val="center"/>
          </w:tcPr>
          <w:p w14:paraId="4BB97D85">
            <w:pPr>
              <w:pStyle w:val="43"/>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废物代码</w:t>
            </w:r>
          </w:p>
        </w:tc>
        <w:tc>
          <w:tcPr>
            <w:tcW w:w="1254" w:type="dxa"/>
            <w:noWrap w:val="0"/>
            <w:vAlign w:val="center"/>
          </w:tcPr>
          <w:p w14:paraId="1847597F">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储存方式</w:t>
            </w:r>
          </w:p>
        </w:tc>
        <w:tc>
          <w:tcPr>
            <w:tcW w:w="2212" w:type="dxa"/>
            <w:noWrap w:val="0"/>
            <w:vAlign w:val="center"/>
          </w:tcPr>
          <w:p w14:paraId="1F305868">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利用处置方式和去向</w:t>
            </w:r>
          </w:p>
        </w:tc>
        <w:tc>
          <w:tcPr>
            <w:tcW w:w="1139" w:type="dxa"/>
            <w:noWrap w:val="0"/>
            <w:vAlign w:val="center"/>
          </w:tcPr>
          <w:p w14:paraId="48EE592E">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利用或处置量（t/a）</w:t>
            </w:r>
          </w:p>
        </w:tc>
        <w:tc>
          <w:tcPr>
            <w:tcW w:w="1140" w:type="dxa"/>
            <w:noWrap w:val="0"/>
            <w:vAlign w:val="center"/>
          </w:tcPr>
          <w:p w14:paraId="76DB0D92">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环境管理要求</w:t>
            </w:r>
          </w:p>
        </w:tc>
      </w:tr>
      <w:tr w14:paraId="4124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4C9E71D4">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废土石</w:t>
            </w:r>
          </w:p>
        </w:tc>
        <w:tc>
          <w:tcPr>
            <w:tcW w:w="1177" w:type="dxa"/>
            <w:noWrap w:val="0"/>
            <w:vAlign w:val="center"/>
          </w:tcPr>
          <w:p w14:paraId="04ED4F96">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表土剥离</w:t>
            </w:r>
          </w:p>
        </w:tc>
        <w:tc>
          <w:tcPr>
            <w:tcW w:w="991" w:type="dxa"/>
            <w:noWrap w:val="0"/>
            <w:vAlign w:val="center"/>
          </w:tcPr>
          <w:p w14:paraId="5E637D07">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5850</w:t>
            </w:r>
          </w:p>
        </w:tc>
        <w:tc>
          <w:tcPr>
            <w:tcW w:w="965" w:type="dxa"/>
            <w:shd w:val="clear" w:color="auto" w:fill="auto"/>
            <w:noWrap w:val="0"/>
            <w:vAlign w:val="center"/>
          </w:tcPr>
          <w:p w14:paraId="78FB397F">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shd w:val="clear" w:color="auto" w:fill="auto"/>
            <w:noWrap w:val="0"/>
            <w:vAlign w:val="center"/>
          </w:tcPr>
          <w:p w14:paraId="55B9A779">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3E521BB5">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noWrap w:val="0"/>
            <w:vAlign w:val="center"/>
          </w:tcPr>
          <w:p w14:paraId="435C6A9F">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SW05尾矿</w:t>
            </w:r>
          </w:p>
        </w:tc>
        <w:tc>
          <w:tcPr>
            <w:tcW w:w="1197" w:type="dxa"/>
            <w:noWrap w:val="0"/>
            <w:vAlign w:val="center"/>
          </w:tcPr>
          <w:p w14:paraId="7679532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900-099-S05</w:t>
            </w:r>
          </w:p>
        </w:tc>
        <w:tc>
          <w:tcPr>
            <w:tcW w:w="1254" w:type="dxa"/>
            <w:noWrap w:val="0"/>
            <w:vAlign w:val="center"/>
          </w:tcPr>
          <w:p w14:paraId="46BB86D7">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表土堆场</w:t>
            </w:r>
          </w:p>
        </w:tc>
        <w:tc>
          <w:tcPr>
            <w:tcW w:w="2212" w:type="dxa"/>
            <w:noWrap w:val="0"/>
            <w:vAlign w:val="center"/>
          </w:tcPr>
          <w:p w14:paraId="4BC65A4C">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表土收存于表土堆场，闭矿复垦用作绿化覆土</w:t>
            </w:r>
          </w:p>
        </w:tc>
        <w:tc>
          <w:tcPr>
            <w:tcW w:w="1139" w:type="dxa"/>
            <w:shd w:val="clear" w:color="auto" w:fill="auto"/>
            <w:noWrap w:val="0"/>
            <w:vAlign w:val="center"/>
          </w:tcPr>
          <w:p w14:paraId="3C4B731F">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5850</w:t>
            </w:r>
          </w:p>
        </w:tc>
        <w:tc>
          <w:tcPr>
            <w:tcW w:w="1140" w:type="dxa"/>
            <w:noWrap w:val="0"/>
            <w:vAlign w:val="center"/>
          </w:tcPr>
          <w:p w14:paraId="3B39ADFA">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2500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shd w:val="clear" w:color="auto" w:fill="auto"/>
            <w:noWrap w:val="0"/>
            <w:vAlign w:val="center"/>
          </w:tcPr>
          <w:p w14:paraId="55B69ACF">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除尘系统收集粉尘</w:t>
            </w:r>
          </w:p>
        </w:tc>
        <w:tc>
          <w:tcPr>
            <w:tcW w:w="1177" w:type="dxa"/>
            <w:shd w:val="clear" w:color="auto" w:fill="auto"/>
            <w:noWrap w:val="0"/>
            <w:vAlign w:val="center"/>
          </w:tcPr>
          <w:p w14:paraId="4A40E1EF">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布袋除尘器</w:t>
            </w:r>
          </w:p>
        </w:tc>
        <w:tc>
          <w:tcPr>
            <w:tcW w:w="991" w:type="dxa"/>
            <w:shd w:val="clear" w:color="auto" w:fill="auto"/>
            <w:noWrap w:val="0"/>
            <w:vAlign w:val="center"/>
          </w:tcPr>
          <w:p w14:paraId="1B6CE2E5">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240</w:t>
            </w:r>
          </w:p>
        </w:tc>
        <w:tc>
          <w:tcPr>
            <w:tcW w:w="965" w:type="dxa"/>
            <w:shd w:val="clear" w:color="auto" w:fill="auto"/>
            <w:noWrap w:val="0"/>
            <w:vAlign w:val="center"/>
          </w:tcPr>
          <w:p w14:paraId="6960B37F">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753" w:type="dxa"/>
            <w:shd w:val="clear" w:color="auto" w:fill="auto"/>
            <w:noWrap w:val="0"/>
            <w:vAlign w:val="center"/>
          </w:tcPr>
          <w:p w14:paraId="5C9D4940">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固态</w:t>
            </w:r>
          </w:p>
        </w:tc>
        <w:tc>
          <w:tcPr>
            <w:tcW w:w="1039" w:type="dxa"/>
            <w:shd w:val="clear" w:color="auto" w:fill="auto"/>
            <w:noWrap w:val="0"/>
            <w:vAlign w:val="center"/>
          </w:tcPr>
          <w:p w14:paraId="70FA82B0">
            <w:pPr>
              <w:pStyle w:val="43"/>
              <w:bidi w:val="0"/>
              <w:rPr>
                <w:rFonts w:hint="default"/>
                <w:color w:val="000000" w:themeColor="text1"/>
                <w:highlight w:val="none"/>
                <w:lang w:val="en-US" w:eastAsia="zh-CN"/>
                <w14:textFill>
                  <w14:solidFill>
                    <w14:schemeClr w14:val="tx1"/>
                  </w14:solidFill>
                </w14:textFill>
              </w:rPr>
            </w:pPr>
          </w:p>
        </w:tc>
        <w:tc>
          <w:tcPr>
            <w:tcW w:w="1135" w:type="dxa"/>
            <w:shd w:val="clear" w:color="auto" w:fill="auto"/>
            <w:noWrap w:val="0"/>
            <w:vAlign w:val="center"/>
          </w:tcPr>
          <w:p w14:paraId="035C5ED4">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SW17可再生类废物</w:t>
            </w:r>
          </w:p>
        </w:tc>
        <w:tc>
          <w:tcPr>
            <w:tcW w:w="1197" w:type="dxa"/>
            <w:shd w:val="clear" w:color="auto" w:fill="auto"/>
            <w:noWrap w:val="0"/>
            <w:vAlign w:val="center"/>
          </w:tcPr>
          <w:p w14:paraId="29D8ED85">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900-099-S17</w:t>
            </w:r>
          </w:p>
        </w:tc>
        <w:tc>
          <w:tcPr>
            <w:tcW w:w="1254" w:type="dxa"/>
            <w:shd w:val="clear" w:color="auto" w:fill="auto"/>
            <w:noWrap w:val="0"/>
            <w:vAlign w:val="center"/>
          </w:tcPr>
          <w:p w14:paraId="4F32D4B8">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系统自带储灰罐</w:t>
            </w:r>
          </w:p>
        </w:tc>
        <w:tc>
          <w:tcPr>
            <w:tcW w:w="2212" w:type="dxa"/>
            <w:shd w:val="clear" w:color="auto" w:fill="auto"/>
            <w:noWrap w:val="0"/>
            <w:vAlign w:val="center"/>
          </w:tcPr>
          <w:p w14:paraId="12CB15F0">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收集后回掺项目制砂后外售。</w:t>
            </w:r>
          </w:p>
        </w:tc>
        <w:tc>
          <w:tcPr>
            <w:tcW w:w="1139" w:type="dxa"/>
            <w:shd w:val="clear" w:color="auto" w:fill="auto"/>
            <w:noWrap w:val="0"/>
            <w:vAlign w:val="center"/>
          </w:tcPr>
          <w:p w14:paraId="4FF41909">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425.7</w:t>
            </w:r>
          </w:p>
        </w:tc>
        <w:tc>
          <w:tcPr>
            <w:tcW w:w="1140" w:type="dxa"/>
            <w:shd w:val="clear" w:color="auto" w:fill="auto"/>
            <w:noWrap w:val="0"/>
            <w:vAlign w:val="center"/>
          </w:tcPr>
          <w:p w14:paraId="6E26CBCC">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0891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197758D6">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14:textFill>
                  <w14:solidFill>
                    <w14:schemeClr w14:val="tx1"/>
                  </w14:solidFill>
                </w14:textFill>
              </w:rPr>
              <w:t>生活垃圾</w:t>
            </w:r>
          </w:p>
        </w:tc>
        <w:tc>
          <w:tcPr>
            <w:tcW w:w="1177" w:type="dxa"/>
            <w:noWrap w:val="0"/>
            <w:vAlign w:val="center"/>
          </w:tcPr>
          <w:p w14:paraId="1A1D2BC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员工生活</w:t>
            </w:r>
          </w:p>
        </w:tc>
        <w:tc>
          <w:tcPr>
            <w:tcW w:w="991" w:type="dxa"/>
            <w:noWrap w:val="0"/>
            <w:vAlign w:val="center"/>
          </w:tcPr>
          <w:p w14:paraId="01E1C5A0">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w:t>
            </w:r>
          </w:p>
        </w:tc>
        <w:tc>
          <w:tcPr>
            <w:tcW w:w="965" w:type="dxa"/>
            <w:noWrap w:val="0"/>
            <w:vAlign w:val="center"/>
          </w:tcPr>
          <w:p w14:paraId="5D23747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noWrap w:val="0"/>
            <w:vAlign w:val="center"/>
          </w:tcPr>
          <w:p w14:paraId="1A77583D">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14AA95D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noWrap w:val="0"/>
            <w:vAlign w:val="center"/>
          </w:tcPr>
          <w:p w14:paraId="3A84AC1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SW64其他垃圾</w:t>
            </w:r>
          </w:p>
        </w:tc>
        <w:tc>
          <w:tcPr>
            <w:tcW w:w="1197" w:type="dxa"/>
            <w:noWrap w:val="0"/>
            <w:vAlign w:val="center"/>
          </w:tcPr>
          <w:p w14:paraId="371DB8CE">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w:t>
            </w:r>
            <w:r>
              <w:rPr>
                <w:rFonts w:hint="eastAsia"/>
                <w:color w:val="000000" w:themeColor="text1"/>
                <w:highlight w:val="none"/>
                <w:lang w:val="en-US" w:eastAsia="zh-CN"/>
                <w14:textFill>
                  <w14:solidFill>
                    <w14:schemeClr w14:val="tx1"/>
                  </w14:solidFill>
                </w14:textFill>
              </w:rPr>
              <w:t>99</w:t>
            </w:r>
            <w:r>
              <w:rPr>
                <w:rFonts w:hint="default"/>
                <w:color w:val="000000" w:themeColor="text1"/>
                <w:highlight w:val="none"/>
                <w:lang w:val="en-US" w:eastAsia="zh-CN"/>
                <w14:textFill>
                  <w14:solidFill>
                    <w14:schemeClr w14:val="tx1"/>
                  </w14:solidFill>
                </w14:textFill>
              </w:rPr>
              <w:t>-S64</w:t>
            </w:r>
          </w:p>
        </w:tc>
        <w:tc>
          <w:tcPr>
            <w:tcW w:w="1254" w:type="dxa"/>
            <w:noWrap w:val="0"/>
            <w:vAlign w:val="center"/>
          </w:tcPr>
          <w:p w14:paraId="4CFA0A77">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生活垃圾桶</w:t>
            </w:r>
          </w:p>
        </w:tc>
        <w:tc>
          <w:tcPr>
            <w:tcW w:w="2212" w:type="dxa"/>
            <w:noWrap w:val="0"/>
            <w:vAlign w:val="center"/>
          </w:tcPr>
          <w:p w14:paraId="1F853337">
            <w:pPr>
              <w:pStyle w:val="43"/>
              <w:bidi w:val="0"/>
              <w:rPr>
                <w:rFonts w:hint="default" w:eastAsia="宋体"/>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与电石厂生活垃圾一同处置。</w:t>
            </w:r>
          </w:p>
        </w:tc>
        <w:tc>
          <w:tcPr>
            <w:tcW w:w="1139" w:type="dxa"/>
            <w:shd w:val="clear" w:color="auto" w:fill="auto"/>
            <w:noWrap w:val="0"/>
            <w:vAlign w:val="center"/>
          </w:tcPr>
          <w:p w14:paraId="04C65B6F">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8.7</w:t>
            </w:r>
          </w:p>
        </w:tc>
        <w:tc>
          <w:tcPr>
            <w:tcW w:w="1140" w:type="dxa"/>
            <w:noWrap w:val="0"/>
            <w:vAlign w:val="center"/>
          </w:tcPr>
          <w:p w14:paraId="6F216B6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27A4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3918CD1C">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底泥</w:t>
            </w:r>
          </w:p>
        </w:tc>
        <w:tc>
          <w:tcPr>
            <w:tcW w:w="1177" w:type="dxa"/>
            <w:noWrap w:val="0"/>
            <w:vAlign w:val="center"/>
          </w:tcPr>
          <w:p w14:paraId="452C7DBD">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初期雨水沉淀</w:t>
            </w:r>
          </w:p>
        </w:tc>
        <w:tc>
          <w:tcPr>
            <w:tcW w:w="991" w:type="dxa"/>
            <w:noWrap w:val="0"/>
            <w:vAlign w:val="center"/>
          </w:tcPr>
          <w:p w14:paraId="086A83E7">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40</w:t>
            </w:r>
          </w:p>
        </w:tc>
        <w:tc>
          <w:tcPr>
            <w:tcW w:w="965" w:type="dxa"/>
            <w:noWrap w:val="0"/>
            <w:vAlign w:val="center"/>
          </w:tcPr>
          <w:p w14:paraId="7FFF2AC3">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noWrap w:val="0"/>
            <w:vAlign w:val="center"/>
          </w:tcPr>
          <w:p w14:paraId="1A631EF6">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600557A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shd w:val="clear" w:color="auto" w:fill="auto"/>
            <w:noWrap w:val="0"/>
            <w:vAlign w:val="center"/>
          </w:tcPr>
          <w:p w14:paraId="1C5C932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SW64其他垃圾</w:t>
            </w:r>
          </w:p>
        </w:tc>
        <w:tc>
          <w:tcPr>
            <w:tcW w:w="1197" w:type="dxa"/>
            <w:shd w:val="clear" w:color="auto" w:fill="auto"/>
            <w:noWrap w:val="0"/>
            <w:vAlign w:val="center"/>
          </w:tcPr>
          <w:p w14:paraId="3C4183AD">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w:t>
            </w:r>
            <w:r>
              <w:rPr>
                <w:rFonts w:hint="eastAsia"/>
                <w:color w:val="000000" w:themeColor="text1"/>
                <w:highlight w:val="none"/>
                <w:lang w:val="en-US" w:eastAsia="zh-CN"/>
                <w14:textFill>
                  <w14:solidFill>
                    <w14:schemeClr w14:val="tx1"/>
                  </w14:solidFill>
                </w14:textFill>
              </w:rPr>
              <w:t>002</w:t>
            </w:r>
            <w:r>
              <w:rPr>
                <w:rFonts w:hint="default"/>
                <w:color w:val="000000" w:themeColor="text1"/>
                <w:highlight w:val="none"/>
                <w:lang w:val="en-US" w:eastAsia="zh-CN"/>
                <w14:textFill>
                  <w14:solidFill>
                    <w14:schemeClr w14:val="tx1"/>
                  </w14:solidFill>
                </w14:textFill>
              </w:rPr>
              <w:t>-S64</w:t>
            </w:r>
          </w:p>
        </w:tc>
        <w:tc>
          <w:tcPr>
            <w:tcW w:w="1254" w:type="dxa"/>
            <w:noWrap w:val="0"/>
            <w:vAlign w:val="center"/>
          </w:tcPr>
          <w:p w14:paraId="031F82BA">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2212" w:type="dxa"/>
            <w:noWrap w:val="0"/>
            <w:vAlign w:val="center"/>
          </w:tcPr>
          <w:p w14:paraId="4C3D0E8A">
            <w:pPr>
              <w:pStyle w:val="43"/>
              <w:bidi w:val="0"/>
              <w:rPr>
                <w:rFonts w:hint="eastAsia" w:eastAsia="宋体"/>
                <w:color w:val="000000" w:themeColor="text1"/>
                <w:highlight w:val="none"/>
                <w:lang w:val="en-US" w:eastAsia="zh-CN"/>
                <w14:textFill>
                  <w14:solidFill>
                    <w14:schemeClr w14:val="tx1"/>
                  </w14:solidFill>
                </w14:textFill>
              </w:rPr>
            </w:pPr>
            <w:r>
              <w:rPr>
                <w:rFonts w:hint="eastAsia"/>
              </w:rPr>
              <w:t>定期清掏后，用作项目场区低洼处回填</w:t>
            </w:r>
            <w:r>
              <w:rPr>
                <w:rFonts w:hint="eastAsia"/>
                <w:lang w:eastAsia="zh-CN"/>
              </w:rPr>
              <w:t>。</w:t>
            </w:r>
          </w:p>
        </w:tc>
        <w:tc>
          <w:tcPr>
            <w:tcW w:w="1139" w:type="dxa"/>
            <w:shd w:val="clear" w:color="auto" w:fill="auto"/>
            <w:noWrap w:val="0"/>
            <w:vAlign w:val="center"/>
          </w:tcPr>
          <w:p w14:paraId="1B933B63">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0.24</w:t>
            </w:r>
          </w:p>
        </w:tc>
        <w:tc>
          <w:tcPr>
            <w:tcW w:w="1140" w:type="dxa"/>
            <w:noWrap w:val="0"/>
            <w:vAlign w:val="center"/>
          </w:tcPr>
          <w:p w14:paraId="6EE755E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6618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9" w:hRule="atLeast"/>
          <w:jc w:val="center"/>
        </w:trPr>
        <w:tc>
          <w:tcPr>
            <w:tcW w:w="1056" w:type="dxa"/>
            <w:noWrap w:val="0"/>
            <w:vAlign w:val="center"/>
          </w:tcPr>
          <w:p w14:paraId="71EA49B1">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机修废物</w:t>
            </w:r>
          </w:p>
        </w:tc>
        <w:tc>
          <w:tcPr>
            <w:tcW w:w="1177" w:type="dxa"/>
            <w:noWrap w:val="0"/>
            <w:vAlign w:val="center"/>
          </w:tcPr>
          <w:p w14:paraId="293FB313">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设备维修</w:t>
            </w:r>
          </w:p>
        </w:tc>
        <w:tc>
          <w:tcPr>
            <w:tcW w:w="991" w:type="dxa"/>
            <w:noWrap w:val="0"/>
            <w:vAlign w:val="center"/>
          </w:tcPr>
          <w:p w14:paraId="6AF4BA20">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0.1</w:t>
            </w:r>
          </w:p>
        </w:tc>
        <w:tc>
          <w:tcPr>
            <w:tcW w:w="965" w:type="dxa"/>
            <w:noWrap w:val="0"/>
            <w:vAlign w:val="center"/>
          </w:tcPr>
          <w:p w14:paraId="208F7E6E">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含废矿物油</w:t>
            </w:r>
          </w:p>
        </w:tc>
        <w:tc>
          <w:tcPr>
            <w:tcW w:w="753" w:type="dxa"/>
            <w:noWrap w:val="0"/>
            <w:vAlign w:val="center"/>
          </w:tcPr>
          <w:p w14:paraId="089E5F7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固态</w:t>
            </w:r>
          </w:p>
        </w:tc>
        <w:tc>
          <w:tcPr>
            <w:tcW w:w="1039" w:type="dxa"/>
            <w:noWrap w:val="0"/>
            <w:vAlign w:val="center"/>
          </w:tcPr>
          <w:p w14:paraId="2043CBD0">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T</w:t>
            </w:r>
            <w:r>
              <w:rPr>
                <w:rFonts w:hint="eastAsia"/>
                <w:color w:val="000000" w:themeColor="text1"/>
                <w:highlight w:val="none"/>
                <w:lang w:val="en-US" w:eastAsia="zh-CN"/>
                <w14:textFill>
                  <w14:solidFill>
                    <w14:schemeClr w14:val="tx1"/>
                  </w14:solidFill>
                </w14:textFill>
              </w:rPr>
              <w:t xml:space="preserve">, </w:t>
            </w:r>
            <w:r>
              <w:rPr>
                <w:rFonts w:hint="default"/>
                <w:color w:val="000000" w:themeColor="text1"/>
                <w:highlight w:val="none"/>
                <w:lang w:val="en-US" w:eastAsia="zh-CN"/>
                <w14:textFill>
                  <w14:solidFill>
                    <w14:schemeClr w14:val="tx1"/>
                  </w14:solidFill>
                </w14:textFill>
              </w:rPr>
              <w:t>I</w:t>
            </w:r>
          </w:p>
        </w:tc>
        <w:tc>
          <w:tcPr>
            <w:tcW w:w="1135" w:type="dxa"/>
            <w:noWrap w:val="0"/>
            <w:vAlign w:val="center"/>
          </w:tcPr>
          <w:p w14:paraId="26DFC5C3">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HW08废矿物油与含矿物油废物</w:t>
            </w:r>
          </w:p>
        </w:tc>
        <w:tc>
          <w:tcPr>
            <w:tcW w:w="1197" w:type="dxa"/>
            <w:noWrap w:val="0"/>
            <w:vAlign w:val="center"/>
          </w:tcPr>
          <w:p w14:paraId="6267FB9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900-214-08</w:t>
            </w:r>
          </w:p>
        </w:tc>
        <w:tc>
          <w:tcPr>
            <w:tcW w:w="1254" w:type="dxa"/>
            <w:shd w:val="clear" w:color="auto" w:fill="auto"/>
            <w:noWrap w:val="0"/>
            <w:vAlign w:val="center"/>
          </w:tcPr>
          <w:p w14:paraId="4888504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桶装，危废间暂存</w:t>
            </w:r>
          </w:p>
        </w:tc>
        <w:tc>
          <w:tcPr>
            <w:tcW w:w="2212" w:type="dxa"/>
            <w:shd w:val="clear" w:color="auto" w:fill="auto"/>
            <w:noWrap w:val="0"/>
            <w:vAlign w:val="center"/>
          </w:tcPr>
          <w:p w14:paraId="1E3F7CF1">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委托</w:t>
            </w:r>
            <w:r>
              <w:rPr>
                <w:rFonts w:hint="default"/>
                <w:color w:val="000000" w:themeColor="text1"/>
                <w:highlight w:val="none"/>
                <w:lang w:val="en-US" w:eastAsia="zh-CN"/>
                <w14:textFill>
                  <w14:solidFill>
                    <w14:schemeClr w14:val="tx1"/>
                  </w14:solidFill>
                </w14:textFill>
              </w:rPr>
              <w:t>有资质的单位清运</w:t>
            </w:r>
            <w:r>
              <w:rPr>
                <w:rFonts w:hint="default"/>
                <w:color w:val="000000" w:themeColor="text1"/>
                <w:highlight w:val="none"/>
                <w14:textFill>
                  <w14:solidFill>
                    <w14:schemeClr w14:val="tx1"/>
                  </w14:solidFill>
                </w14:textFill>
              </w:rPr>
              <w:t>处理</w:t>
            </w:r>
          </w:p>
        </w:tc>
        <w:tc>
          <w:tcPr>
            <w:tcW w:w="1139" w:type="dxa"/>
            <w:shd w:val="clear" w:color="auto" w:fill="auto"/>
            <w:noWrap w:val="0"/>
            <w:vAlign w:val="center"/>
          </w:tcPr>
          <w:p w14:paraId="532D6894">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0.1</w:t>
            </w:r>
          </w:p>
        </w:tc>
        <w:tc>
          <w:tcPr>
            <w:tcW w:w="1140" w:type="dxa"/>
            <w:shd w:val="clear" w:color="auto" w:fill="auto"/>
            <w:noWrap w:val="0"/>
            <w:vAlign w:val="center"/>
          </w:tcPr>
          <w:p w14:paraId="42971E8C">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bl>
    <w:p w14:paraId="56A78275">
      <w:pPr>
        <w:rPr>
          <w:rFonts w:hint="default" w:ascii="Times New Roman" w:hAnsi="Times New Roman" w:cs="Times New Roman"/>
          <w:color w:val="000000" w:themeColor="text1"/>
          <w:sz w:val="24"/>
          <w:szCs w:val="24"/>
          <w:highlight w:val="none"/>
          <w:lang w:eastAsia="zh-CN"/>
          <w14:textFill>
            <w14:solidFill>
              <w14:schemeClr w14:val="tx1"/>
            </w14:solidFill>
          </w14:textFill>
        </w:rPr>
      </w:pPr>
    </w:p>
    <w:p w14:paraId="29E91A2C">
      <w:pPr>
        <w:rPr>
          <w:rFonts w:hint="default" w:ascii="Times New Roman" w:hAnsi="Times New Roman" w:cs="Times New Roman"/>
          <w:color w:val="000000" w:themeColor="text1"/>
          <w:sz w:val="24"/>
          <w:szCs w:val="24"/>
          <w:highlight w:val="none"/>
          <w:lang w:eastAsia="zh-CN"/>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17ABEC">
      <w:pPr>
        <w:pStyle w:val="4"/>
        <w:bidi w:val="0"/>
        <w:rPr>
          <w:rFonts w:hint="default"/>
          <w:lang w:val="en-US" w:eastAsia="zh-CN"/>
        </w:rPr>
      </w:pPr>
      <w:bookmarkStart w:id="249" w:name="_Toc21299"/>
      <w:r>
        <w:rPr>
          <w:rFonts w:hint="eastAsia"/>
          <w:lang w:val="en-US" w:eastAsia="zh-CN"/>
        </w:rPr>
        <w:t>非正常排放</w:t>
      </w:r>
    </w:p>
    <w:p w14:paraId="20F1BDF2">
      <w:pPr>
        <w:pStyle w:val="41"/>
        <w:ind w:firstLine="480"/>
        <w:rPr>
          <w:color w:val="auto"/>
          <w:highlight w:val="none"/>
        </w:rPr>
      </w:pPr>
      <w:r>
        <w:rPr>
          <w:rFonts w:hint="eastAsia"/>
          <w:color w:val="auto"/>
          <w:highlight w:val="none"/>
        </w:rPr>
        <w:t>项目无生产废水外排、固废100%处置，本次</w:t>
      </w:r>
      <w:r>
        <w:rPr>
          <w:rFonts w:hint="eastAsia"/>
          <w:color w:val="auto"/>
          <w:highlight w:val="none"/>
          <w:lang w:eastAsia="zh-CN"/>
        </w:rPr>
        <w:t>废水</w:t>
      </w:r>
      <w:r>
        <w:rPr>
          <w:rFonts w:hint="eastAsia"/>
          <w:color w:val="auto"/>
          <w:highlight w:val="none"/>
        </w:rPr>
        <w:t>正常排放主要考虑大气污染质量设施处理效率下降造成的非正常排放。</w:t>
      </w:r>
    </w:p>
    <w:p w14:paraId="6DADFB1E">
      <w:pPr>
        <w:pStyle w:val="41"/>
        <w:bidi w:val="0"/>
        <w:rPr>
          <w:color w:val="auto"/>
          <w:highlight w:val="none"/>
        </w:rPr>
      </w:pPr>
      <w:r>
        <w:t>非正常工况是指系统开停车、停电、设备检修、系统出现异常以及管道泄漏、密封环损坏等情况，主要源于环保设施达不到设计要求。本项目</w:t>
      </w:r>
      <w:r>
        <w:rPr>
          <w:rFonts w:hint="eastAsia"/>
          <w:lang w:val="en-US" w:eastAsia="zh-CN"/>
        </w:rPr>
        <w:t>主要考虑破碎、筛分、制砂收集的粉尘进入布袋除尘器处理时，由于</w:t>
      </w:r>
      <w:r>
        <w:rPr>
          <w:rFonts w:hint="eastAsia" w:ascii="宋体" w:hAnsi="宋体" w:eastAsia="宋体" w:cs="宋体"/>
          <w:sz w:val="24"/>
          <w:szCs w:val="24"/>
          <w:lang w:val="en-US" w:eastAsia="zh-CN"/>
        </w:rPr>
        <w:t>布袋</w:t>
      </w:r>
      <w:r>
        <w:rPr>
          <w:rFonts w:ascii="宋体" w:hAnsi="宋体" w:eastAsia="宋体" w:cs="宋体"/>
          <w:sz w:val="24"/>
          <w:szCs w:val="24"/>
        </w:rPr>
        <w:t>破损、清灰故障、压差异常</w:t>
      </w:r>
      <w:r>
        <w:rPr>
          <w:rFonts w:hint="eastAsia"/>
          <w:lang w:val="en-US" w:eastAsia="zh-CN"/>
        </w:rPr>
        <w:t>等原因导致处理效率降低至40%</w:t>
      </w:r>
      <w:r>
        <w:t>。</w:t>
      </w:r>
      <w:r>
        <w:rPr>
          <w:color w:val="auto"/>
          <w:highlight w:val="none"/>
        </w:rPr>
        <w:t>非正常排放发生频次为1次/年，持续时间为1h。项目应采取加强环保管理、加强职工环保意识培训等措施避免非正常排放，发生非正常排放时停产检修</w:t>
      </w:r>
      <w:r>
        <w:rPr>
          <w:rFonts w:hint="eastAsia"/>
          <w:color w:val="auto"/>
          <w:highlight w:val="none"/>
          <w:lang w:eastAsia="zh-CN"/>
        </w:rPr>
        <w:t>，</w:t>
      </w:r>
      <w:r>
        <w:rPr>
          <w:rFonts w:hint="eastAsia"/>
          <w:color w:val="auto"/>
          <w:highlight w:val="none"/>
          <w:lang w:val="en-US" w:eastAsia="zh-CN"/>
        </w:rPr>
        <w:t>排查原因</w:t>
      </w:r>
      <w:r>
        <w:rPr>
          <w:color w:val="auto"/>
          <w:highlight w:val="none"/>
        </w:rPr>
        <w:t>。非正常排放条件及源强见表4.</w:t>
      </w:r>
      <w:r>
        <w:rPr>
          <w:rFonts w:hint="eastAsia"/>
          <w:color w:val="auto"/>
          <w:highlight w:val="none"/>
          <w:lang w:val="en-US" w:eastAsia="zh-CN"/>
        </w:rPr>
        <w:t>5</w:t>
      </w:r>
      <w:r>
        <w:rPr>
          <w:color w:val="auto"/>
          <w:highlight w:val="none"/>
        </w:rPr>
        <w:t>-</w:t>
      </w:r>
      <w:r>
        <w:rPr>
          <w:rFonts w:hint="eastAsia"/>
          <w:color w:val="auto"/>
          <w:highlight w:val="none"/>
          <w:lang w:val="en-US" w:eastAsia="zh-CN"/>
        </w:rPr>
        <w:t>12</w:t>
      </w:r>
      <w:r>
        <w:rPr>
          <w:color w:val="auto"/>
          <w:highlight w:val="none"/>
        </w:rPr>
        <w:t>。</w:t>
      </w:r>
    </w:p>
    <w:p w14:paraId="613C8699">
      <w:pPr>
        <w:pStyle w:val="45"/>
        <w:rPr>
          <w:color w:val="auto"/>
          <w:highlight w:val="none"/>
        </w:rPr>
      </w:pPr>
      <w:r>
        <w:rPr>
          <w:rFonts w:hint="eastAsia"/>
          <w:color w:val="auto"/>
          <w:highlight w:val="none"/>
        </w:rPr>
        <w:t>表4.</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12</w:t>
      </w:r>
      <w:r>
        <w:rPr>
          <w:rFonts w:hint="eastAsia"/>
          <w:color w:val="auto"/>
          <w:highlight w:val="none"/>
        </w:rPr>
        <w:t>项目废气非正常排放情况</w:t>
      </w:r>
    </w:p>
    <w:tbl>
      <w:tblPr>
        <w:tblStyle w:val="34"/>
        <w:tblW w:w="4998" w:type="pct"/>
        <w:tblInd w:w="0" w:type="dxa"/>
        <w:tblLayout w:type="autofit"/>
        <w:tblCellMar>
          <w:top w:w="0" w:type="dxa"/>
          <w:left w:w="108" w:type="dxa"/>
          <w:bottom w:w="0" w:type="dxa"/>
          <w:right w:w="108" w:type="dxa"/>
        </w:tblCellMar>
      </w:tblPr>
      <w:tblGrid>
        <w:gridCol w:w="4364"/>
        <w:gridCol w:w="1237"/>
        <w:gridCol w:w="1487"/>
        <w:gridCol w:w="1438"/>
      </w:tblGrid>
      <w:tr w14:paraId="6E7F09DB">
        <w:tblPrEx>
          <w:tblCellMar>
            <w:top w:w="0" w:type="dxa"/>
            <w:left w:w="108" w:type="dxa"/>
            <w:bottom w:w="0" w:type="dxa"/>
            <w:right w:w="108" w:type="dxa"/>
          </w:tblCellMar>
        </w:tblPrEx>
        <w:trPr>
          <w:trHeight w:val="454" w:hRule="atLeast"/>
        </w:trPr>
        <w:tc>
          <w:tcPr>
            <w:tcW w:w="2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51C9">
            <w:pPr>
              <w:pStyle w:val="43"/>
              <w:rPr>
                <w:b/>
                <w:bCs/>
                <w:color w:val="auto"/>
                <w:highlight w:val="none"/>
              </w:rPr>
            </w:pPr>
            <w:r>
              <w:rPr>
                <w:rFonts w:hint="eastAsia"/>
                <w:b/>
                <w:bCs/>
                <w:color w:val="auto"/>
                <w:highlight w:val="none"/>
              </w:rPr>
              <w:t>非正常排放条件设定</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D5276">
            <w:pPr>
              <w:pStyle w:val="43"/>
              <w:rPr>
                <w:b/>
                <w:bCs/>
                <w:color w:val="auto"/>
                <w:highlight w:val="none"/>
              </w:rPr>
            </w:pPr>
            <w:r>
              <w:rPr>
                <w:rFonts w:hint="eastAsia"/>
                <w:b/>
                <w:bCs/>
                <w:color w:val="auto"/>
                <w:highlight w:val="none"/>
              </w:rPr>
              <w:t>污染物种类</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E16B">
            <w:pPr>
              <w:pStyle w:val="43"/>
              <w:rPr>
                <w:b/>
                <w:bCs/>
                <w:color w:val="auto"/>
                <w:highlight w:val="none"/>
              </w:rPr>
            </w:pPr>
            <w:r>
              <w:rPr>
                <w:rFonts w:hint="eastAsia"/>
                <w:b/>
                <w:bCs/>
                <w:color w:val="auto"/>
                <w:highlight w:val="none"/>
              </w:rPr>
              <w:t>排放速率（</w:t>
            </w:r>
            <w:r>
              <w:rPr>
                <w:b/>
                <w:bCs/>
                <w:color w:val="auto"/>
                <w:highlight w:val="none"/>
              </w:rPr>
              <w:t>kg/h</w:t>
            </w:r>
            <w:r>
              <w:rPr>
                <w:rFonts w:hint="eastAsia"/>
                <w:b/>
                <w:bCs/>
                <w:color w:val="auto"/>
                <w:highlight w:val="none"/>
              </w:rPr>
              <w:t>）</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E1253">
            <w:pPr>
              <w:pStyle w:val="43"/>
              <w:rPr>
                <w:b/>
                <w:bCs/>
                <w:color w:val="auto"/>
                <w:highlight w:val="none"/>
              </w:rPr>
            </w:pPr>
            <w:r>
              <w:rPr>
                <w:rFonts w:hint="eastAsia"/>
                <w:b/>
                <w:bCs/>
                <w:color w:val="auto"/>
                <w:highlight w:val="none"/>
              </w:rPr>
              <w:t>排放浓度（</w:t>
            </w:r>
            <w:r>
              <w:rPr>
                <w:b/>
                <w:bCs/>
                <w:color w:val="auto"/>
                <w:highlight w:val="none"/>
              </w:rPr>
              <w:t>mg/</w:t>
            </w:r>
            <w:r>
              <w:rPr>
                <w:rFonts w:hint="eastAsia"/>
                <w:b/>
                <w:bCs/>
                <w:color w:val="auto"/>
                <w:highlight w:val="none"/>
                <w:lang w:eastAsia="zh-CN"/>
              </w:rPr>
              <w:t>m</w:t>
            </w:r>
            <w:r>
              <w:rPr>
                <w:rFonts w:hint="eastAsia"/>
                <w:b/>
                <w:bCs/>
                <w:color w:val="auto"/>
                <w:highlight w:val="none"/>
                <w:vertAlign w:val="superscript"/>
                <w:lang w:eastAsia="zh-CN"/>
              </w:rPr>
              <w:t>3</w:t>
            </w:r>
            <w:r>
              <w:rPr>
                <w:rFonts w:hint="eastAsia"/>
                <w:b/>
                <w:bCs/>
                <w:color w:val="auto"/>
                <w:highlight w:val="none"/>
              </w:rPr>
              <w:t>）</w:t>
            </w:r>
          </w:p>
        </w:tc>
      </w:tr>
      <w:tr w14:paraId="0CD7F383">
        <w:tblPrEx>
          <w:tblCellMar>
            <w:top w:w="0" w:type="dxa"/>
            <w:left w:w="108" w:type="dxa"/>
            <w:bottom w:w="0" w:type="dxa"/>
            <w:right w:w="108" w:type="dxa"/>
          </w:tblCellMar>
        </w:tblPrEx>
        <w:trPr>
          <w:trHeight w:val="454" w:hRule="atLeast"/>
        </w:trPr>
        <w:tc>
          <w:tcPr>
            <w:tcW w:w="2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72E6">
            <w:pPr>
              <w:pStyle w:val="43"/>
              <w:rPr>
                <w:rFonts w:hint="default"/>
                <w:color w:val="auto"/>
                <w:highlight w:val="none"/>
                <w:lang w:val="en-US"/>
              </w:rPr>
            </w:pPr>
            <w:r>
              <w:rPr>
                <w:rFonts w:hint="eastAsia" w:ascii="宋体" w:hAnsi="宋体" w:eastAsia="宋体" w:cs="宋体"/>
                <w:sz w:val="24"/>
                <w:szCs w:val="24"/>
                <w:lang w:val="en-US" w:eastAsia="zh-CN"/>
              </w:rPr>
              <w:t>布袋</w:t>
            </w:r>
            <w:r>
              <w:rPr>
                <w:rFonts w:ascii="宋体" w:hAnsi="宋体" w:eastAsia="宋体" w:cs="宋体"/>
                <w:sz w:val="24"/>
                <w:szCs w:val="24"/>
              </w:rPr>
              <w:t>破损、清灰故障、压差异常</w:t>
            </w:r>
            <w:r>
              <w:rPr>
                <w:rFonts w:hint="eastAsia"/>
                <w:lang w:val="en-US" w:eastAsia="zh-CN"/>
              </w:rPr>
              <w:t>等原因导致处理效率降低至40%</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C4B6">
            <w:pPr>
              <w:pStyle w:val="43"/>
              <w:rPr>
                <w:rFonts w:hint="default" w:eastAsia="宋体"/>
                <w:color w:val="auto"/>
                <w:highlight w:val="none"/>
                <w:lang w:val="en-US" w:eastAsia="zh-CN"/>
              </w:rPr>
            </w:pPr>
            <w:r>
              <w:rPr>
                <w:rFonts w:hint="eastAsia"/>
                <w:color w:val="auto"/>
                <w:highlight w:val="none"/>
                <w:lang w:val="en-US" w:eastAsia="zh-CN"/>
              </w:rPr>
              <w:t>颗粒物</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46A40">
            <w:pPr>
              <w:pStyle w:val="43"/>
              <w:bidi w:val="0"/>
              <w:rPr>
                <w:rFonts w:hint="default" w:eastAsia="宋体"/>
                <w:color w:val="auto"/>
                <w:highlight w:val="none"/>
                <w:lang w:val="en-US" w:eastAsia="zh-CN"/>
              </w:rPr>
            </w:pPr>
            <w:r>
              <w:rPr>
                <w:rFonts w:hint="eastAsia"/>
                <w:color w:val="auto"/>
                <w:highlight w:val="none"/>
                <w:lang w:val="en-US" w:eastAsia="zh-CN"/>
              </w:rPr>
              <w:t>46.67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33F7">
            <w:pPr>
              <w:pStyle w:val="43"/>
              <w:bidi w:val="0"/>
              <w:rPr>
                <w:rFonts w:hint="default"/>
                <w:color w:val="auto"/>
                <w:highlight w:val="none"/>
                <w:lang w:val="en-US"/>
              </w:rPr>
            </w:pPr>
            <w:r>
              <w:rPr>
                <w:rFonts w:hint="eastAsia"/>
                <w:color w:val="auto"/>
                <w:highlight w:val="none"/>
                <w:lang w:val="en-US" w:eastAsia="zh-CN"/>
              </w:rPr>
              <w:t>2333.5</w:t>
            </w:r>
          </w:p>
        </w:tc>
      </w:tr>
    </w:tbl>
    <w:p w14:paraId="67BD3236">
      <w:pPr>
        <w:pStyle w:val="41"/>
        <w:ind w:firstLine="480"/>
        <w:rPr>
          <w:color w:val="auto"/>
          <w:highlight w:val="none"/>
        </w:rPr>
      </w:pPr>
      <w:r>
        <w:rPr>
          <w:rFonts w:hint="eastAsia"/>
          <w:color w:val="auto"/>
          <w:highlight w:val="none"/>
          <w:lang w:val="en-US" w:eastAsia="zh-CN"/>
        </w:rPr>
        <w:t>非正常工况下</w:t>
      </w:r>
      <w:r>
        <w:rPr>
          <w:rFonts w:hint="eastAsia"/>
          <w:color w:val="auto"/>
          <w:highlight w:val="none"/>
        </w:rPr>
        <w:t>，</w:t>
      </w:r>
      <w:r>
        <w:rPr>
          <w:rFonts w:hint="eastAsia"/>
          <w:color w:val="auto"/>
          <w:highlight w:val="none"/>
          <w:lang w:val="en-US" w:eastAsia="zh-CN"/>
        </w:rPr>
        <w:t>颗粒物</w:t>
      </w:r>
      <w:r>
        <w:rPr>
          <w:rFonts w:hint="eastAsia"/>
          <w:color w:val="auto"/>
          <w:highlight w:val="none"/>
        </w:rPr>
        <w:t>排放浓度最大可达</w:t>
      </w:r>
      <w:r>
        <w:rPr>
          <w:rFonts w:hint="eastAsia"/>
          <w:color w:val="auto"/>
          <w:highlight w:val="none"/>
          <w:lang w:val="en-US" w:eastAsia="zh-CN"/>
        </w:rPr>
        <w:t>2333.5</w:t>
      </w:r>
      <w:r>
        <w:rPr>
          <w:rFonts w:hint="eastAsia"/>
          <w:color w:val="auto"/>
          <w:highlight w:val="none"/>
        </w:rPr>
        <w:t>mg/</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rPr>
        <w:t>，出现排放</w:t>
      </w:r>
      <w:r>
        <w:rPr>
          <w:rFonts w:hint="eastAsia"/>
          <w:color w:val="auto"/>
          <w:highlight w:val="none"/>
          <w:lang w:val="en-US" w:eastAsia="zh-CN"/>
        </w:rPr>
        <w:t>大幅</w:t>
      </w:r>
      <w:r>
        <w:rPr>
          <w:rFonts w:hint="eastAsia"/>
          <w:color w:val="auto"/>
          <w:highlight w:val="none"/>
        </w:rPr>
        <w:t>超标，项目运行过程中应加强监管，</w:t>
      </w:r>
      <w:r>
        <w:rPr>
          <w:rFonts w:hint="eastAsia"/>
          <w:color w:val="auto"/>
          <w:highlight w:val="none"/>
          <w:lang w:eastAsia="zh-CN"/>
        </w:rPr>
        <w:t>增强</w:t>
      </w:r>
      <w:r>
        <w:rPr>
          <w:rFonts w:hint="eastAsia"/>
          <w:color w:val="auto"/>
          <w:highlight w:val="none"/>
        </w:rPr>
        <w:t>员工环保意识，减少非正常排放情况。</w:t>
      </w:r>
    </w:p>
    <w:p w14:paraId="389472FC">
      <w:pPr>
        <w:pStyle w:val="4"/>
        <w:bidi w:val="0"/>
        <w:ind w:left="4080" w:leftChars="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项目污染物排放汇总</w:t>
      </w:r>
      <w:bookmarkEnd w:id="249"/>
    </w:p>
    <w:p w14:paraId="759B41BA">
      <w:pPr>
        <w:pStyle w:val="45"/>
        <w:bidi w:val="0"/>
        <w:rPr>
          <w:rFonts w:hint="default"/>
        </w:rPr>
      </w:pPr>
      <w:r>
        <w:rPr>
          <w:rFonts w:hint="default"/>
        </w:rPr>
        <w:t>表</w:t>
      </w:r>
      <w:r>
        <w:rPr>
          <w:rFonts w:hint="eastAsia"/>
          <w:lang w:val="en-US" w:eastAsia="zh-CN"/>
        </w:rPr>
        <w:t>4.5</w:t>
      </w:r>
      <w:r>
        <w:rPr>
          <w:rFonts w:hint="default"/>
          <w:lang w:val="en-US" w:eastAsia="zh-CN"/>
        </w:rPr>
        <w:t>-</w:t>
      </w:r>
      <w:r>
        <w:rPr>
          <w:rFonts w:hint="eastAsia"/>
          <w:lang w:val="en-US" w:eastAsia="zh-CN"/>
        </w:rPr>
        <w:t>13</w:t>
      </w:r>
      <w:r>
        <w:rPr>
          <w:rFonts w:hint="default"/>
          <w:lang w:val="en-US" w:eastAsia="zh-CN"/>
        </w:rPr>
        <w:t xml:space="preserve">  </w:t>
      </w:r>
      <w:r>
        <w:rPr>
          <w:rFonts w:hint="default"/>
        </w:rPr>
        <w:t>项目</w:t>
      </w:r>
      <w:r>
        <w:rPr>
          <w:rFonts w:hint="default"/>
          <w:lang w:val="en-US" w:eastAsia="zh-CN"/>
        </w:rPr>
        <w:t>运营期</w:t>
      </w:r>
      <w:r>
        <w:rPr>
          <w:rFonts w:hint="default"/>
        </w:rPr>
        <w:t>污染物</w:t>
      </w:r>
      <w:r>
        <w:rPr>
          <w:rFonts w:hint="default"/>
          <w:lang w:val="en-US" w:eastAsia="zh-CN"/>
        </w:rPr>
        <w:t>排放</w:t>
      </w:r>
      <w:r>
        <w:rPr>
          <w:rFonts w:hint="default"/>
        </w:rPr>
        <w:t>汇总表</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6"/>
        <w:gridCol w:w="1378"/>
        <w:gridCol w:w="1552"/>
        <w:gridCol w:w="1240"/>
        <w:gridCol w:w="2296"/>
        <w:gridCol w:w="1164"/>
      </w:tblGrid>
      <w:tr w14:paraId="4756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64EC8">
            <w:pPr>
              <w:pStyle w:val="43"/>
              <w:bidi w:val="0"/>
              <w:rPr>
                <w:rFonts w:hint="eastAsia"/>
                <w:b/>
                <w:bCs/>
              </w:rPr>
            </w:pPr>
            <w:r>
              <w:rPr>
                <w:rFonts w:hint="eastAsia"/>
                <w:b/>
                <w:bCs/>
                <w:lang w:val="en-US" w:eastAsia="zh-CN"/>
              </w:rPr>
              <w:t>内容类型</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B83A">
            <w:pPr>
              <w:pStyle w:val="43"/>
              <w:bidi w:val="0"/>
              <w:rPr>
                <w:rFonts w:hint="eastAsia"/>
                <w:b/>
                <w:bCs/>
              </w:rPr>
            </w:pPr>
            <w:r>
              <w:rPr>
                <w:rFonts w:hint="eastAsia"/>
                <w:b/>
                <w:bCs/>
                <w:lang w:val="en-US" w:eastAsia="zh-CN"/>
              </w:rPr>
              <w:t>排放源</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E5E6">
            <w:pPr>
              <w:pStyle w:val="43"/>
              <w:bidi w:val="0"/>
              <w:rPr>
                <w:rFonts w:hint="eastAsia"/>
                <w:b/>
                <w:bCs/>
              </w:rPr>
            </w:pPr>
            <w:r>
              <w:rPr>
                <w:rFonts w:hint="eastAsia"/>
                <w:b/>
                <w:bCs/>
                <w:lang w:val="en-US" w:eastAsia="zh-CN"/>
              </w:rPr>
              <w:t>主要污染物名称</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37FC0">
            <w:pPr>
              <w:pStyle w:val="43"/>
              <w:bidi w:val="0"/>
              <w:rPr>
                <w:rFonts w:hint="eastAsia"/>
                <w:b/>
                <w:bCs/>
              </w:rPr>
            </w:pPr>
            <w:r>
              <w:rPr>
                <w:rFonts w:hint="eastAsia"/>
                <w:b/>
                <w:bCs/>
                <w:lang w:val="en-US" w:eastAsia="zh-CN"/>
              </w:rPr>
              <w:t>污染物产生量（</w:t>
            </w:r>
            <w:r>
              <w:rPr>
                <w:rFonts w:hint="default"/>
                <w:b/>
                <w:bCs/>
                <w:lang w:val="en-US" w:eastAsia="zh-CN"/>
              </w:rPr>
              <w:t>t/a</w:t>
            </w:r>
            <w:r>
              <w:rPr>
                <w:rFonts w:hint="eastAsia"/>
                <w:b/>
                <w:bCs/>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2220">
            <w:pPr>
              <w:pStyle w:val="43"/>
              <w:bidi w:val="0"/>
              <w:rPr>
                <w:rFonts w:hint="eastAsia"/>
                <w:b/>
                <w:bCs/>
              </w:rPr>
            </w:pPr>
            <w:r>
              <w:rPr>
                <w:rFonts w:hint="eastAsia"/>
                <w:b/>
                <w:bCs/>
                <w:lang w:val="en-US" w:eastAsia="zh-CN"/>
              </w:rPr>
              <w:t>治理措施</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BBF5C">
            <w:pPr>
              <w:pStyle w:val="43"/>
              <w:bidi w:val="0"/>
              <w:rPr>
                <w:rFonts w:hint="eastAsia"/>
                <w:b/>
                <w:bCs/>
              </w:rPr>
            </w:pPr>
            <w:r>
              <w:rPr>
                <w:rFonts w:hint="eastAsia"/>
                <w:b/>
                <w:bCs/>
                <w:lang w:val="en-US" w:eastAsia="zh-CN"/>
              </w:rPr>
              <w:t>污染物排放量（</w:t>
            </w:r>
            <w:r>
              <w:rPr>
                <w:rFonts w:hint="default"/>
                <w:b/>
                <w:bCs/>
                <w:lang w:val="en-US" w:eastAsia="zh-CN"/>
              </w:rPr>
              <w:t>t/a</w:t>
            </w:r>
            <w:r>
              <w:rPr>
                <w:rFonts w:hint="eastAsia"/>
                <w:b/>
                <w:bCs/>
                <w:lang w:val="en-US" w:eastAsia="zh-CN"/>
              </w:rPr>
              <w:t>）</w:t>
            </w:r>
          </w:p>
        </w:tc>
      </w:tr>
      <w:tr w14:paraId="153B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BF3DA">
            <w:pPr>
              <w:pStyle w:val="43"/>
              <w:bidi w:val="0"/>
              <w:rPr>
                <w:rFonts w:hint="eastAsia"/>
              </w:rPr>
            </w:pPr>
            <w:r>
              <w:rPr>
                <w:rFonts w:hint="eastAsia"/>
                <w:lang w:val="en-US" w:eastAsia="zh-CN"/>
              </w:rPr>
              <w:t>大气污染物</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85E1B">
            <w:pPr>
              <w:pStyle w:val="43"/>
              <w:bidi w:val="0"/>
              <w:rPr>
                <w:rFonts w:hint="default"/>
              </w:rPr>
            </w:pPr>
            <w:r>
              <w:rPr>
                <w:rFonts w:hint="default"/>
                <w:lang w:val="en-US" w:eastAsia="zh-CN"/>
              </w:rPr>
              <w:t>DA001</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2F4F2">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CE55F">
            <w:pPr>
              <w:pStyle w:val="43"/>
              <w:bidi w:val="0"/>
              <w:rPr>
                <w:rFonts w:hint="default"/>
              </w:rPr>
            </w:pPr>
            <w:r>
              <w:rPr>
                <w:rFonts w:hint="default"/>
                <w:lang w:val="en-US" w:eastAsia="zh-CN"/>
              </w:rPr>
              <w:t>186.68</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3179">
            <w:pPr>
              <w:pStyle w:val="43"/>
              <w:bidi w:val="0"/>
              <w:rPr>
                <w:rFonts w:hint="eastAsia"/>
              </w:rPr>
            </w:pPr>
            <w:r>
              <w:rPr>
                <w:rFonts w:hint="eastAsia"/>
                <w:lang w:val="en-US" w:eastAsia="zh-CN"/>
              </w:rPr>
              <w:t>厂房密封</w:t>
            </w:r>
            <w:r>
              <w:rPr>
                <w:rFonts w:hint="default"/>
                <w:lang w:val="en-US" w:eastAsia="zh-CN"/>
              </w:rPr>
              <w:t>+</w:t>
            </w:r>
            <w:r>
              <w:rPr>
                <w:rFonts w:hint="eastAsia"/>
                <w:lang w:val="en-US" w:eastAsia="zh-CN"/>
              </w:rPr>
              <w:t>集气收集</w:t>
            </w:r>
            <w:r>
              <w:rPr>
                <w:rFonts w:hint="default"/>
                <w:lang w:val="en-US" w:eastAsia="zh-CN"/>
              </w:rPr>
              <w:t>+1</w:t>
            </w:r>
            <w:r>
              <w:rPr>
                <w:rFonts w:hint="eastAsia"/>
                <w:lang w:val="en-US" w:eastAsia="zh-CN"/>
              </w:rPr>
              <w:t>套布袋除尘处理系统</w:t>
            </w:r>
            <w:r>
              <w:rPr>
                <w:rFonts w:hint="default"/>
                <w:lang w:val="en-US" w:eastAsia="zh-CN"/>
              </w:rPr>
              <w:t>+1</w:t>
            </w:r>
            <w:r>
              <w:rPr>
                <w:rFonts w:hint="eastAsia"/>
                <w:lang w:val="en-US" w:eastAsia="zh-CN"/>
              </w:rPr>
              <w:t>根</w:t>
            </w:r>
            <w:r>
              <w:rPr>
                <w:rFonts w:hint="default"/>
                <w:lang w:val="en-US" w:eastAsia="zh-CN"/>
              </w:rPr>
              <w:t>15m</w:t>
            </w:r>
            <w:r>
              <w:rPr>
                <w:rFonts w:hint="eastAsia"/>
                <w:lang w:val="en-US" w:eastAsia="zh-CN"/>
              </w:rPr>
              <w:t>高排气筒排放</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4FAF">
            <w:pPr>
              <w:pStyle w:val="43"/>
              <w:bidi w:val="0"/>
              <w:rPr>
                <w:rFonts w:hint="default"/>
              </w:rPr>
            </w:pPr>
            <w:r>
              <w:rPr>
                <w:rFonts w:hint="default"/>
                <w:lang w:val="en-US" w:eastAsia="zh-CN"/>
              </w:rPr>
              <w:t>0.56</w:t>
            </w:r>
          </w:p>
        </w:tc>
      </w:tr>
      <w:tr w14:paraId="2EB3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F3266">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44630">
            <w:pPr>
              <w:pStyle w:val="43"/>
              <w:bidi w:val="0"/>
              <w:rPr>
                <w:rFonts w:hint="eastAsia"/>
              </w:rPr>
            </w:pPr>
            <w:r>
              <w:rPr>
                <w:rFonts w:hint="eastAsia"/>
                <w:lang w:val="en-US" w:eastAsia="zh-CN"/>
              </w:rPr>
              <w:t>露天采场作业及装卸</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3A5A">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B64EA">
            <w:pPr>
              <w:pStyle w:val="43"/>
              <w:bidi w:val="0"/>
              <w:rPr>
                <w:rFonts w:hint="default"/>
              </w:rPr>
            </w:pPr>
            <w:r>
              <w:rPr>
                <w:rFonts w:hint="default"/>
                <w:lang w:val="en-US" w:eastAsia="zh-CN"/>
              </w:rPr>
              <w:t>7.1</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B46D3">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1BDB1">
            <w:pPr>
              <w:pStyle w:val="43"/>
              <w:bidi w:val="0"/>
              <w:rPr>
                <w:rFonts w:hint="default"/>
              </w:rPr>
            </w:pPr>
            <w:r>
              <w:rPr>
                <w:rFonts w:hint="default"/>
                <w:lang w:val="en-US" w:eastAsia="zh-CN"/>
              </w:rPr>
              <w:t>1.42</w:t>
            </w:r>
          </w:p>
        </w:tc>
      </w:tr>
      <w:tr w14:paraId="5819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06BCC">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FFF3">
            <w:pPr>
              <w:pStyle w:val="43"/>
              <w:bidi w:val="0"/>
              <w:rPr>
                <w:rFonts w:hint="eastAsia"/>
              </w:rPr>
            </w:pPr>
            <w:r>
              <w:rPr>
                <w:rFonts w:hint="eastAsia"/>
                <w:lang w:val="en-US" w:eastAsia="zh-CN"/>
              </w:rPr>
              <w:t>表土堆场风蚀</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2A270">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5B5B">
            <w:pPr>
              <w:pStyle w:val="43"/>
              <w:bidi w:val="0"/>
              <w:rPr>
                <w:rFonts w:hint="default"/>
              </w:rPr>
            </w:pPr>
            <w:r>
              <w:rPr>
                <w:rFonts w:hint="default"/>
                <w:lang w:val="en-US" w:eastAsia="zh-CN"/>
              </w:rPr>
              <w:t>3.57</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61C5">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FD68">
            <w:pPr>
              <w:pStyle w:val="43"/>
              <w:bidi w:val="0"/>
              <w:rPr>
                <w:rFonts w:hint="default"/>
              </w:rPr>
            </w:pPr>
            <w:r>
              <w:rPr>
                <w:rFonts w:hint="default"/>
                <w:lang w:val="en-US" w:eastAsia="zh-CN"/>
              </w:rPr>
              <w:t>0.93</w:t>
            </w:r>
          </w:p>
        </w:tc>
      </w:tr>
      <w:tr w14:paraId="042B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FBEFD">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06E4">
            <w:pPr>
              <w:pStyle w:val="43"/>
              <w:bidi w:val="0"/>
              <w:rPr>
                <w:rFonts w:hint="eastAsia"/>
              </w:rPr>
            </w:pPr>
            <w:r>
              <w:rPr>
                <w:rFonts w:hint="eastAsia"/>
                <w:lang w:val="en-US" w:eastAsia="zh-CN"/>
              </w:rPr>
              <w:t>运输过程</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FDDEE">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F04A">
            <w:pPr>
              <w:pStyle w:val="43"/>
              <w:bidi w:val="0"/>
              <w:rPr>
                <w:rFonts w:hint="default"/>
              </w:rPr>
            </w:pPr>
            <w:r>
              <w:rPr>
                <w:rFonts w:hint="default"/>
                <w:lang w:val="en-US" w:eastAsia="zh-CN"/>
              </w:rPr>
              <w:t>4.4</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6809">
            <w:pPr>
              <w:pStyle w:val="43"/>
              <w:bidi w:val="0"/>
              <w:rPr>
                <w:rFonts w:hint="eastAsia"/>
              </w:rPr>
            </w:pPr>
            <w:r>
              <w:rPr>
                <w:rFonts w:hint="eastAsia"/>
                <w:lang w:val="en-US" w:eastAsia="zh-CN"/>
              </w:rPr>
              <w:t>雾炮机</w:t>
            </w:r>
            <w:r>
              <w:rPr>
                <w:rFonts w:hint="default"/>
                <w:lang w:val="en-US" w:eastAsia="zh-CN"/>
              </w:rPr>
              <w:t>+</w:t>
            </w:r>
            <w:r>
              <w:rPr>
                <w:rFonts w:hint="eastAsia"/>
                <w:lang w:val="en-US" w:eastAsia="zh-CN"/>
              </w:rPr>
              <w:t>洒水车洒水降尘</w:t>
            </w:r>
            <w:r>
              <w:rPr>
                <w:rFonts w:hint="default"/>
                <w:lang w:val="en-US" w:eastAsia="zh-CN"/>
              </w:rPr>
              <w:t>+</w:t>
            </w:r>
            <w:r>
              <w:rPr>
                <w:rFonts w:hint="eastAsia"/>
                <w:lang w:val="en-US" w:eastAsia="zh-CN"/>
              </w:rPr>
              <w:t>物料篷布覆盖</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F70A9">
            <w:pPr>
              <w:pStyle w:val="43"/>
              <w:bidi w:val="0"/>
              <w:rPr>
                <w:rFonts w:hint="default"/>
              </w:rPr>
            </w:pPr>
            <w:r>
              <w:rPr>
                <w:rFonts w:hint="default"/>
                <w:lang w:val="en-US" w:eastAsia="zh-CN"/>
              </w:rPr>
              <w:t>1.5</w:t>
            </w:r>
          </w:p>
        </w:tc>
      </w:tr>
      <w:tr w14:paraId="2D0B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9A88E">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33B28">
            <w:pPr>
              <w:pStyle w:val="43"/>
              <w:bidi w:val="0"/>
              <w:rPr>
                <w:rFonts w:hint="eastAsia"/>
              </w:rPr>
            </w:pPr>
            <w:r>
              <w:rPr>
                <w:rFonts w:hint="eastAsia"/>
                <w:lang w:val="en-US" w:eastAsia="zh-CN"/>
              </w:rPr>
              <w:t>加工区产品储存、装卸粉尘</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B65DB">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17FD">
            <w:pPr>
              <w:pStyle w:val="43"/>
              <w:bidi w:val="0"/>
              <w:rPr>
                <w:rFonts w:hint="default"/>
              </w:rPr>
            </w:pPr>
            <w:r>
              <w:rPr>
                <w:rFonts w:hint="default"/>
                <w:lang w:val="en-US" w:eastAsia="zh-CN"/>
              </w:rPr>
              <w:t>5</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5D38">
            <w:pPr>
              <w:pStyle w:val="43"/>
              <w:bidi w:val="0"/>
              <w:rPr>
                <w:rFonts w:hint="eastAsia"/>
              </w:rPr>
            </w:pPr>
            <w:r>
              <w:rPr>
                <w:rFonts w:hint="eastAsia"/>
                <w:lang w:val="en-US" w:eastAsia="zh-CN"/>
              </w:rPr>
              <w:t>厂房密封</w:t>
            </w:r>
            <w:r>
              <w:rPr>
                <w:rFonts w:hint="default"/>
                <w:lang w:val="en-US" w:eastAsia="zh-CN"/>
              </w:rPr>
              <w:t>+</w:t>
            </w:r>
            <w:r>
              <w:rPr>
                <w:rFonts w:hint="eastAsia"/>
                <w:lang w:val="en-US" w:eastAsia="zh-CN"/>
              </w:rPr>
              <w:t>厂房喷雾系统</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8A8CE">
            <w:pPr>
              <w:pStyle w:val="43"/>
              <w:bidi w:val="0"/>
              <w:rPr>
                <w:rFonts w:hint="default"/>
              </w:rPr>
            </w:pPr>
            <w:r>
              <w:rPr>
                <w:rFonts w:hint="default"/>
                <w:lang w:val="en-US" w:eastAsia="zh-CN"/>
              </w:rPr>
              <w:t>0.25</w:t>
            </w:r>
          </w:p>
        </w:tc>
      </w:tr>
      <w:tr w14:paraId="10319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06722">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4986B">
            <w:pPr>
              <w:pStyle w:val="43"/>
              <w:bidi w:val="0"/>
              <w:rPr>
                <w:rFonts w:hint="eastAsia"/>
              </w:rPr>
            </w:pPr>
            <w:r>
              <w:rPr>
                <w:rFonts w:hint="eastAsia"/>
                <w:lang w:val="en-US" w:eastAsia="zh-CN"/>
              </w:rPr>
              <w:t>加工区加工</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1434C">
            <w:pPr>
              <w:pStyle w:val="43"/>
              <w:bidi w:val="0"/>
              <w:rPr>
                <w:rFonts w:hint="eastAsia"/>
              </w:rPr>
            </w:pPr>
            <w:r>
              <w:rPr>
                <w:rFonts w:hint="eastAsia"/>
                <w:lang w:val="en-US" w:eastAsia="zh-CN"/>
              </w:rPr>
              <w:t>颗粒物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CC48">
            <w:pPr>
              <w:pStyle w:val="43"/>
              <w:bidi w:val="0"/>
              <w:rPr>
                <w:rFonts w:hint="default"/>
              </w:rPr>
            </w:pPr>
            <w:r>
              <w:rPr>
                <w:rFonts w:hint="default"/>
                <w:lang w:val="en-US" w:eastAsia="zh-CN"/>
              </w:rPr>
              <w:t>46.67</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EDC2">
            <w:pPr>
              <w:pStyle w:val="43"/>
              <w:bidi w:val="0"/>
              <w:rPr>
                <w:rFonts w:hint="eastAsia"/>
              </w:rPr>
            </w:pPr>
            <w:r>
              <w:rPr>
                <w:rFonts w:hint="eastAsia"/>
                <w:lang w:val="en-US" w:eastAsia="zh-CN"/>
              </w:rPr>
              <w:t>厂房密封</w:t>
            </w:r>
            <w:r>
              <w:rPr>
                <w:rFonts w:hint="default"/>
                <w:lang w:val="en-US" w:eastAsia="zh-CN"/>
              </w:rPr>
              <w:t>+</w:t>
            </w:r>
            <w:r>
              <w:rPr>
                <w:rFonts w:hint="eastAsia"/>
                <w:lang w:val="en-US" w:eastAsia="zh-CN"/>
              </w:rPr>
              <w:t>厂房喷雾系统</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4D5B">
            <w:pPr>
              <w:pStyle w:val="43"/>
              <w:bidi w:val="0"/>
              <w:rPr>
                <w:rFonts w:hint="default"/>
              </w:rPr>
            </w:pPr>
            <w:r>
              <w:rPr>
                <w:rFonts w:hint="default"/>
                <w:lang w:val="en-US" w:eastAsia="zh-CN"/>
              </w:rPr>
              <w:t>2.33</w:t>
            </w:r>
          </w:p>
        </w:tc>
      </w:tr>
      <w:tr w14:paraId="71D4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20B3F">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B66E5">
            <w:pPr>
              <w:pStyle w:val="43"/>
              <w:bidi w:val="0"/>
              <w:rPr>
                <w:rFonts w:hint="eastAsia"/>
              </w:rPr>
            </w:pPr>
            <w:r>
              <w:rPr>
                <w:rFonts w:hint="eastAsia"/>
                <w:lang w:val="en-US" w:eastAsia="zh-CN"/>
              </w:rPr>
              <w:t>爆破过程</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284F">
            <w:pPr>
              <w:pStyle w:val="43"/>
              <w:bidi w:val="0"/>
              <w:rPr>
                <w:rFonts w:hint="default"/>
              </w:rPr>
            </w:pPr>
            <w:r>
              <w:rPr>
                <w:rFonts w:hint="default"/>
                <w:lang w:val="en-US" w:eastAsia="zh-CN"/>
              </w:rPr>
              <w:t>CO</w:t>
            </w:r>
            <w:r>
              <w:rPr>
                <w:rFonts w:hint="eastAsia"/>
                <w:lang w:val="en-US" w:eastAsia="zh-CN"/>
              </w:rPr>
              <w:t>、</w:t>
            </w:r>
            <w:r>
              <w:rPr>
                <w:rFonts w:hint="default"/>
                <w:lang w:val="en-US" w:eastAsia="zh-CN"/>
              </w:rPr>
              <w:t>NO</w:t>
            </w:r>
            <w:r>
              <w:rPr>
                <w:rFonts w:hint="default"/>
                <w:vertAlign w:val="subscript"/>
                <w:lang w:val="en-US" w:eastAsia="zh-CN"/>
              </w:rPr>
              <w:t>X</w:t>
            </w:r>
          </w:p>
        </w:tc>
        <w:tc>
          <w:tcPr>
            <w:tcW w:w="727" w:type="pct"/>
            <w:vMerge w:val="restart"/>
            <w:tcBorders>
              <w:top w:val="single" w:color="000000" w:sz="4" w:space="0"/>
              <w:left w:val="single" w:color="000000" w:sz="4" w:space="0"/>
              <w:right w:val="single" w:color="000000" w:sz="4" w:space="0"/>
            </w:tcBorders>
            <w:shd w:val="clear" w:color="auto" w:fill="auto"/>
            <w:vAlign w:val="center"/>
          </w:tcPr>
          <w:p w14:paraId="255EBCE4">
            <w:pPr>
              <w:pStyle w:val="43"/>
              <w:bidi w:val="0"/>
              <w:rPr>
                <w:rFonts w:hint="eastAsia"/>
              </w:rPr>
            </w:pPr>
            <w:r>
              <w:rPr>
                <w:rFonts w:hint="eastAsia"/>
                <w:lang w:val="en-US" w:eastAsia="zh-CN"/>
              </w:rPr>
              <w:t>产生量较小，本次不再定量核算</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E054">
            <w:pPr>
              <w:pStyle w:val="43"/>
              <w:bidi w:val="0"/>
              <w:rPr>
                <w:rFonts w:hint="eastAsia"/>
              </w:rPr>
            </w:pPr>
            <w:r>
              <w:rPr>
                <w:rFonts w:hint="eastAsia"/>
                <w:lang w:val="en-US" w:eastAsia="zh-CN"/>
              </w:rPr>
              <w:t>大气稀释自然扩散</w:t>
            </w:r>
          </w:p>
        </w:tc>
        <w:tc>
          <w:tcPr>
            <w:tcW w:w="682" w:type="pct"/>
            <w:vMerge w:val="restart"/>
            <w:tcBorders>
              <w:top w:val="single" w:color="000000" w:sz="4" w:space="0"/>
              <w:left w:val="single" w:color="000000" w:sz="4" w:space="0"/>
              <w:right w:val="single" w:color="000000" w:sz="4" w:space="0"/>
            </w:tcBorders>
            <w:shd w:val="clear" w:color="auto" w:fill="auto"/>
            <w:vAlign w:val="center"/>
          </w:tcPr>
          <w:p w14:paraId="7C03A931">
            <w:pPr>
              <w:pStyle w:val="43"/>
              <w:bidi w:val="0"/>
              <w:rPr>
                <w:rFonts w:hint="eastAsia"/>
              </w:rPr>
            </w:pPr>
            <w:r>
              <w:rPr>
                <w:rFonts w:hint="eastAsia"/>
                <w:lang w:val="en-US" w:eastAsia="zh-CN"/>
              </w:rPr>
              <w:t>产生量较小，本次不再定量核算</w:t>
            </w:r>
          </w:p>
        </w:tc>
      </w:tr>
      <w:tr w14:paraId="60D09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D5227">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E18C">
            <w:pPr>
              <w:pStyle w:val="43"/>
              <w:bidi w:val="0"/>
              <w:rPr>
                <w:rFonts w:hint="eastAsia"/>
              </w:rPr>
            </w:pPr>
            <w:r>
              <w:rPr>
                <w:rFonts w:hint="eastAsia"/>
                <w:lang w:val="en-US" w:eastAsia="zh-CN"/>
              </w:rPr>
              <w:t>各类燃油机械使用</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F724">
            <w:pPr>
              <w:pStyle w:val="43"/>
              <w:bidi w:val="0"/>
              <w:rPr>
                <w:rFonts w:hint="default"/>
              </w:rPr>
            </w:pPr>
            <w:r>
              <w:rPr>
                <w:rFonts w:hint="default"/>
                <w:lang w:val="en-US" w:eastAsia="zh-CN"/>
              </w:rPr>
              <w:t>CO</w:t>
            </w:r>
            <w:r>
              <w:rPr>
                <w:rFonts w:hint="eastAsia"/>
                <w:lang w:val="en-US" w:eastAsia="zh-CN"/>
              </w:rPr>
              <w:t>、</w:t>
            </w:r>
            <w:r>
              <w:rPr>
                <w:rFonts w:hint="default"/>
                <w:lang w:val="en-US" w:eastAsia="zh-CN"/>
              </w:rPr>
              <w:t>NOx</w:t>
            </w:r>
            <w:r>
              <w:rPr>
                <w:rFonts w:hint="eastAsia"/>
                <w:lang w:val="en-US" w:eastAsia="zh-CN"/>
              </w:rPr>
              <w:t>、（</w:t>
            </w:r>
            <w:r>
              <w:rPr>
                <w:rFonts w:hint="default"/>
                <w:lang w:val="en-US" w:eastAsia="zh-CN"/>
              </w:rPr>
              <w:t>THC</w:t>
            </w:r>
            <w:r>
              <w:rPr>
                <w:rFonts w:hint="eastAsia"/>
                <w:lang w:val="en-US" w:eastAsia="zh-CN"/>
              </w:rPr>
              <w:t>）等</w:t>
            </w:r>
          </w:p>
        </w:tc>
        <w:tc>
          <w:tcPr>
            <w:tcW w:w="727" w:type="pct"/>
            <w:vMerge w:val="continue"/>
            <w:tcBorders>
              <w:left w:val="single" w:color="000000" w:sz="4" w:space="0"/>
              <w:right w:val="single" w:color="000000" w:sz="4" w:space="0"/>
            </w:tcBorders>
            <w:shd w:val="clear" w:color="auto" w:fill="auto"/>
            <w:vAlign w:val="center"/>
          </w:tcPr>
          <w:p w14:paraId="1885ECDA">
            <w:pPr>
              <w:pStyle w:val="43"/>
              <w:bidi w:val="0"/>
              <w:rPr>
                <w:rFonts w:hint="eastAsia"/>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0AA60">
            <w:pPr>
              <w:pStyle w:val="43"/>
              <w:bidi w:val="0"/>
              <w:rPr>
                <w:rFonts w:hint="eastAsia"/>
              </w:rPr>
            </w:pPr>
            <w:r>
              <w:rPr>
                <w:rFonts w:hint="eastAsia"/>
                <w:lang w:val="en-US" w:eastAsia="zh-CN"/>
              </w:rPr>
              <w:t>大气稀释自然扩散</w:t>
            </w:r>
          </w:p>
        </w:tc>
        <w:tc>
          <w:tcPr>
            <w:tcW w:w="682" w:type="pct"/>
            <w:vMerge w:val="continue"/>
            <w:tcBorders>
              <w:left w:val="single" w:color="000000" w:sz="4" w:space="0"/>
              <w:right w:val="single" w:color="000000" w:sz="4" w:space="0"/>
            </w:tcBorders>
            <w:shd w:val="clear" w:color="auto" w:fill="auto"/>
            <w:vAlign w:val="center"/>
          </w:tcPr>
          <w:p w14:paraId="4C5FF12D">
            <w:pPr>
              <w:pStyle w:val="43"/>
              <w:bidi w:val="0"/>
              <w:rPr>
                <w:rFonts w:hint="eastAsia"/>
              </w:rPr>
            </w:pPr>
          </w:p>
        </w:tc>
      </w:tr>
      <w:tr w14:paraId="6732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4D343">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EE6BB">
            <w:pPr>
              <w:pStyle w:val="43"/>
              <w:bidi w:val="0"/>
              <w:rPr>
                <w:rFonts w:hint="eastAsia"/>
              </w:rPr>
            </w:pPr>
            <w:r>
              <w:rPr>
                <w:rFonts w:hint="eastAsia"/>
                <w:lang w:val="en-US" w:eastAsia="zh-CN"/>
              </w:rPr>
              <w:t>粪污收集池</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7AED9">
            <w:pPr>
              <w:pStyle w:val="43"/>
              <w:bidi w:val="0"/>
              <w:rPr>
                <w:rFonts w:hint="eastAsia"/>
              </w:rPr>
            </w:pPr>
            <w:r>
              <w:rPr>
                <w:rFonts w:hint="eastAsia"/>
                <w:lang w:val="en-US" w:eastAsia="zh-CN"/>
              </w:rPr>
              <w:t>臭气浓度</w:t>
            </w:r>
          </w:p>
        </w:tc>
        <w:tc>
          <w:tcPr>
            <w:tcW w:w="727" w:type="pct"/>
            <w:vMerge w:val="continue"/>
            <w:tcBorders>
              <w:left w:val="single" w:color="000000" w:sz="4" w:space="0"/>
              <w:bottom w:val="single" w:color="000000" w:sz="4" w:space="0"/>
              <w:right w:val="single" w:color="000000" w:sz="4" w:space="0"/>
            </w:tcBorders>
            <w:shd w:val="clear" w:color="auto" w:fill="auto"/>
            <w:vAlign w:val="center"/>
          </w:tcPr>
          <w:p w14:paraId="6D8C59EC">
            <w:pPr>
              <w:pStyle w:val="43"/>
              <w:bidi w:val="0"/>
              <w:rPr>
                <w:rFonts w:hint="default"/>
              </w:rPr>
            </w:pP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C2EA">
            <w:pPr>
              <w:pStyle w:val="43"/>
              <w:bidi w:val="0"/>
              <w:rPr>
                <w:rFonts w:hint="eastAsia"/>
              </w:rPr>
            </w:pPr>
            <w:r>
              <w:rPr>
                <w:rFonts w:hint="eastAsia"/>
                <w:lang w:val="en-US" w:eastAsia="zh-CN"/>
              </w:rPr>
              <w:t>大气稀释自然扩散</w:t>
            </w:r>
          </w:p>
        </w:tc>
        <w:tc>
          <w:tcPr>
            <w:tcW w:w="682" w:type="pct"/>
            <w:vMerge w:val="continue"/>
            <w:tcBorders>
              <w:left w:val="single" w:color="000000" w:sz="4" w:space="0"/>
              <w:bottom w:val="single" w:color="000000" w:sz="4" w:space="0"/>
              <w:right w:val="single" w:color="000000" w:sz="4" w:space="0"/>
            </w:tcBorders>
            <w:shd w:val="clear" w:color="auto" w:fill="auto"/>
            <w:vAlign w:val="center"/>
          </w:tcPr>
          <w:p w14:paraId="08737D9B">
            <w:pPr>
              <w:pStyle w:val="43"/>
              <w:bidi w:val="0"/>
              <w:rPr>
                <w:rFonts w:hint="eastAsia"/>
              </w:rPr>
            </w:pPr>
          </w:p>
        </w:tc>
      </w:tr>
      <w:tr w14:paraId="5C802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C90AC">
            <w:pPr>
              <w:pStyle w:val="43"/>
              <w:bidi w:val="0"/>
              <w:rPr>
                <w:rFonts w:hint="eastAsia"/>
              </w:rPr>
            </w:pPr>
            <w:r>
              <w:rPr>
                <w:rFonts w:hint="eastAsia"/>
                <w:lang w:val="en-US" w:eastAsia="zh-CN"/>
              </w:rPr>
              <w:t>废水污染物</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1144">
            <w:pPr>
              <w:pStyle w:val="43"/>
              <w:bidi w:val="0"/>
              <w:rPr>
                <w:rFonts w:hint="eastAsia"/>
              </w:rPr>
            </w:pPr>
            <w:r>
              <w:rPr>
                <w:rFonts w:hint="eastAsia"/>
                <w:lang w:val="en-US" w:eastAsia="zh-CN"/>
              </w:rPr>
              <w:t>初期雨水</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12F3">
            <w:pPr>
              <w:pStyle w:val="43"/>
              <w:bidi w:val="0"/>
              <w:rPr>
                <w:rFonts w:hint="default"/>
              </w:rPr>
            </w:pPr>
            <w:r>
              <w:rPr>
                <w:rFonts w:hint="default"/>
                <w:lang w:val="en-US" w:eastAsia="zh-CN"/>
              </w:rPr>
              <w:t>SS</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77D71">
            <w:pPr>
              <w:pStyle w:val="43"/>
              <w:bidi w:val="0"/>
              <w:rPr>
                <w:rFonts w:hint="default"/>
              </w:rPr>
            </w:pPr>
            <w:r>
              <w:rPr>
                <w:rFonts w:hint="default"/>
                <w:lang w:val="en-US" w:eastAsia="zh-CN"/>
              </w:rPr>
              <w:t>2569.5</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5084">
            <w:pPr>
              <w:pStyle w:val="43"/>
              <w:bidi w:val="0"/>
              <w:rPr>
                <w:rFonts w:hint="eastAsia"/>
              </w:rPr>
            </w:pPr>
            <w:r>
              <w:rPr>
                <w:rFonts w:hint="eastAsia"/>
                <w:lang w:val="en-US" w:eastAsia="zh-CN"/>
              </w:rPr>
              <w:t>经</w:t>
            </w:r>
            <w:r>
              <w:rPr>
                <w:rFonts w:hint="default"/>
                <w:lang w:val="en-US" w:eastAsia="zh-CN"/>
              </w:rPr>
              <w:t>1</w:t>
            </w:r>
            <w:r>
              <w:rPr>
                <w:rFonts w:hint="eastAsia"/>
                <w:lang w:val="en-US" w:eastAsia="zh-CN"/>
              </w:rPr>
              <w:t>个</w:t>
            </w:r>
            <w:r>
              <w:rPr>
                <w:rFonts w:hint="default"/>
                <w:lang w:val="en-US" w:eastAsia="zh-CN"/>
              </w:rPr>
              <w:t>200m³</w:t>
            </w:r>
            <w:r>
              <w:rPr>
                <w:rFonts w:hint="eastAsia"/>
                <w:lang w:val="en-US" w:eastAsia="zh-CN"/>
              </w:rPr>
              <w:t>的初期雨水池收集处理后回用于降尘用水</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3FF9">
            <w:pPr>
              <w:pStyle w:val="43"/>
              <w:bidi w:val="0"/>
              <w:rPr>
                <w:rFonts w:hint="eastAsia"/>
              </w:rPr>
            </w:pPr>
            <w:r>
              <w:rPr>
                <w:rFonts w:hint="eastAsia"/>
                <w:lang w:val="en-US" w:eastAsia="zh-CN"/>
              </w:rPr>
              <w:t>不外排</w:t>
            </w:r>
          </w:p>
        </w:tc>
      </w:tr>
      <w:tr w14:paraId="15AC2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A1AB8">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69CDE">
            <w:pPr>
              <w:pStyle w:val="43"/>
              <w:bidi w:val="0"/>
              <w:rPr>
                <w:rFonts w:hint="eastAsia"/>
              </w:rPr>
            </w:pPr>
            <w:r>
              <w:rPr>
                <w:rFonts w:hint="eastAsia"/>
                <w:lang w:val="en-US" w:eastAsia="zh-CN"/>
              </w:rPr>
              <w:t>生活污水</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79B2">
            <w:pPr>
              <w:pStyle w:val="43"/>
              <w:bidi w:val="0"/>
              <w:rPr>
                <w:rFonts w:hint="default"/>
              </w:rPr>
            </w:pPr>
            <w:r>
              <w:rPr>
                <w:rFonts w:hint="default"/>
                <w:lang w:val="en-US" w:eastAsia="zh-CN"/>
              </w:rPr>
              <w:t>COD</w:t>
            </w:r>
            <w:r>
              <w:rPr>
                <w:rFonts w:hint="eastAsia"/>
                <w:lang w:val="en-US" w:eastAsia="zh-CN"/>
              </w:rPr>
              <w:t>、</w:t>
            </w:r>
            <w:r>
              <w:rPr>
                <w:rFonts w:hint="default"/>
                <w:lang w:val="en-US" w:eastAsia="zh-CN"/>
              </w:rPr>
              <w:t>BOD</w:t>
            </w:r>
            <w:r>
              <w:rPr>
                <w:rFonts w:hint="default"/>
                <w:vertAlign w:val="subscript"/>
                <w:lang w:val="en-US" w:eastAsia="zh-CN"/>
              </w:rPr>
              <w:t>5</w:t>
            </w:r>
            <w:r>
              <w:rPr>
                <w:rFonts w:hint="eastAsia"/>
                <w:lang w:val="en-US" w:eastAsia="zh-CN"/>
              </w:rPr>
              <w:t>、</w:t>
            </w:r>
            <w:r>
              <w:rPr>
                <w:rFonts w:hint="default"/>
                <w:lang w:val="en-US" w:eastAsia="zh-CN"/>
              </w:rPr>
              <w:t>SS</w:t>
            </w:r>
            <w:r>
              <w:rPr>
                <w:rFonts w:hint="eastAsia"/>
                <w:lang w:val="en-US" w:eastAsia="zh-CN"/>
              </w:rPr>
              <w:t>、氨氮、总磷等</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B3F6">
            <w:pPr>
              <w:pStyle w:val="43"/>
              <w:bidi w:val="0"/>
              <w:rPr>
                <w:rFonts w:hint="default"/>
              </w:rPr>
            </w:pPr>
            <w:r>
              <w:rPr>
                <w:rFonts w:hint="default"/>
                <w:lang w:val="en-US" w:eastAsia="zh-CN"/>
              </w:rPr>
              <w:t>134.4</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106C7">
            <w:pPr>
              <w:pStyle w:val="43"/>
              <w:bidi w:val="0"/>
              <w:rPr>
                <w:rFonts w:hint="eastAsia"/>
              </w:rPr>
            </w:pPr>
            <w:r>
              <w:rPr>
                <w:rFonts w:hint="eastAsia"/>
                <w:lang w:val="en-US" w:eastAsia="zh-CN"/>
              </w:rPr>
              <w:t>进入粪污收集池后用于周边农肥。</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9ED52">
            <w:pPr>
              <w:pStyle w:val="43"/>
              <w:bidi w:val="0"/>
              <w:rPr>
                <w:rFonts w:hint="eastAsia"/>
              </w:rPr>
            </w:pPr>
            <w:r>
              <w:rPr>
                <w:rFonts w:hint="eastAsia"/>
                <w:lang w:val="en-US" w:eastAsia="zh-CN"/>
              </w:rPr>
              <w:t>不外排</w:t>
            </w:r>
          </w:p>
        </w:tc>
      </w:tr>
      <w:tr w14:paraId="3405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A2D42">
            <w:pPr>
              <w:pStyle w:val="43"/>
              <w:bidi w:val="0"/>
              <w:rPr>
                <w:rFonts w:hint="eastAsia"/>
              </w:rPr>
            </w:pPr>
            <w:r>
              <w:rPr>
                <w:rFonts w:hint="eastAsia"/>
                <w:lang w:val="en-US" w:eastAsia="zh-CN"/>
              </w:rPr>
              <w:t>固体废弃物</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6065">
            <w:pPr>
              <w:pStyle w:val="43"/>
              <w:bidi w:val="0"/>
              <w:rPr>
                <w:rFonts w:hint="eastAsia"/>
              </w:rPr>
            </w:pPr>
            <w:r>
              <w:rPr>
                <w:rFonts w:hint="eastAsia"/>
                <w:lang w:val="en-US" w:eastAsia="zh-CN"/>
              </w:rPr>
              <w:t>表土剥离、开采及筛分</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E4FB">
            <w:pPr>
              <w:pStyle w:val="43"/>
              <w:bidi w:val="0"/>
              <w:rPr>
                <w:rFonts w:hint="eastAsia"/>
              </w:rPr>
            </w:pPr>
            <w:r>
              <w:rPr>
                <w:rFonts w:hint="eastAsia"/>
                <w:lang w:val="en-US" w:eastAsia="zh-CN"/>
              </w:rPr>
              <w:t>废土石</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C0EE">
            <w:pPr>
              <w:pStyle w:val="43"/>
              <w:bidi w:val="0"/>
              <w:rPr>
                <w:rFonts w:hint="default"/>
              </w:rPr>
            </w:pPr>
            <w:r>
              <w:rPr>
                <w:rFonts w:hint="default"/>
                <w:lang w:val="en-US" w:eastAsia="zh-CN"/>
              </w:rPr>
              <w:t>5850</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E2557">
            <w:pPr>
              <w:pStyle w:val="43"/>
              <w:bidi w:val="0"/>
              <w:rPr>
                <w:rFonts w:hint="eastAsia"/>
              </w:rPr>
            </w:pPr>
            <w:r>
              <w:rPr>
                <w:rFonts w:hint="eastAsia"/>
                <w:lang w:val="en-US" w:eastAsia="zh-CN"/>
              </w:rPr>
              <w:t>表土收存于表土堆场，用作绿化覆土。</w:t>
            </w:r>
          </w:p>
        </w:tc>
        <w:tc>
          <w:tcPr>
            <w:tcW w:w="6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AC7DB">
            <w:pPr>
              <w:pStyle w:val="43"/>
              <w:bidi w:val="0"/>
              <w:rPr>
                <w:rFonts w:hint="default"/>
              </w:rPr>
            </w:pPr>
            <w:r>
              <w:rPr>
                <w:rFonts w:hint="default"/>
                <w:lang w:val="en-US" w:eastAsia="zh-CN"/>
              </w:rPr>
              <w:t>100%</w:t>
            </w:r>
            <w:r>
              <w:rPr>
                <w:rFonts w:hint="eastAsia"/>
                <w:lang w:val="en-US" w:eastAsia="zh-CN"/>
              </w:rPr>
              <w:t>处置</w:t>
            </w:r>
          </w:p>
        </w:tc>
      </w:tr>
      <w:tr w14:paraId="6D7D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4E676">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4C58">
            <w:pPr>
              <w:pStyle w:val="43"/>
              <w:bidi w:val="0"/>
              <w:rPr>
                <w:rFonts w:hint="eastAsia"/>
              </w:rPr>
            </w:pPr>
            <w:r>
              <w:rPr>
                <w:rFonts w:hint="eastAsia"/>
                <w:lang w:val="en-US" w:eastAsia="zh-CN"/>
              </w:rPr>
              <w:t>布袋除尘系统</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BD36">
            <w:pPr>
              <w:pStyle w:val="43"/>
              <w:bidi w:val="0"/>
              <w:rPr>
                <w:rFonts w:hint="eastAsia"/>
              </w:rPr>
            </w:pPr>
            <w:r>
              <w:rPr>
                <w:rFonts w:hint="eastAsia"/>
                <w:lang w:val="en-US" w:eastAsia="zh-CN"/>
              </w:rPr>
              <w:t>除尘系统收集粉尘</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3B712">
            <w:pPr>
              <w:pStyle w:val="43"/>
              <w:bidi w:val="0"/>
              <w:rPr>
                <w:rFonts w:hint="default"/>
              </w:rPr>
            </w:pPr>
            <w:r>
              <w:rPr>
                <w:rFonts w:hint="default"/>
                <w:lang w:val="en-US" w:eastAsia="zh-CN"/>
              </w:rPr>
              <w:t>240</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379D0">
            <w:pPr>
              <w:pStyle w:val="43"/>
              <w:bidi w:val="0"/>
              <w:rPr>
                <w:rFonts w:hint="eastAsia"/>
              </w:rPr>
            </w:pPr>
            <w:r>
              <w:rPr>
                <w:rFonts w:hint="eastAsia"/>
                <w:lang w:val="en-US" w:eastAsia="zh-CN"/>
              </w:rPr>
              <w:t>收集后回掺项目精品砂后外售</w:t>
            </w: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EB9CB">
            <w:pPr>
              <w:pStyle w:val="43"/>
              <w:bidi w:val="0"/>
              <w:rPr>
                <w:rFonts w:hint="default"/>
              </w:rPr>
            </w:pPr>
          </w:p>
        </w:tc>
      </w:tr>
      <w:tr w14:paraId="39B4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F5355">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3FE2">
            <w:pPr>
              <w:pStyle w:val="43"/>
              <w:bidi w:val="0"/>
              <w:rPr>
                <w:rFonts w:hint="eastAsia"/>
              </w:rPr>
            </w:pPr>
            <w:r>
              <w:rPr>
                <w:rFonts w:hint="eastAsia"/>
                <w:lang w:val="en-US" w:eastAsia="zh-CN"/>
              </w:rPr>
              <w:t>矿山工人</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533DB">
            <w:pPr>
              <w:pStyle w:val="43"/>
              <w:bidi w:val="0"/>
              <w:rPr>
                <w:rFonts w:hint="eastAsia"/>
              </w:rPr>
            </w:pPr>
            <w:r>
              <w:rPr>
                <w:rFonts w:hint="eastAsia"/>
                <w:lang w:val="en-US" w:eastAsia="zh-CN"/>
              </w:rPr>
              <w:t>生活垃圾</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7A97">
            <w:pPr>
              <w:pStyle w:val="43"/>
              <w:bidi w:val="0"/>
              <w:rPr>
                <w:rFonts w:hint="default"/>
              </w:rPr>
            </w:pPr>
            <w:r>
              <w:rPr>
                <w:rFonts w:hint="default"/>
                <w:lang w:val="en-US" w:eastAsia="zh-CN"/>
              </w:rPr>
              <w:t>4.2</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A2786">
            <w:pPr>
              <w:pStyle w:val="43"/>
              <w:bidi w:val="0"/>
              <w:rPr>
                <w:rFonts w:hint="eastAsia"/>
              </w:rPr>
            </w:pPr>
            <w:r>
              <w:rPr>
                <w:rFonts w:hint="eastAsia"/>
                <w:lang w:val="en-US" w:eastAsia="zh-CN"/>
              </w:rPr>
              <w:t>与电石厂生活垃圾一同处置。</w:t>
            </w: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FD2E0">
            <w:pPr>
              <w:pStyle w:val="43"/>
              <w:bidi w:val="0"/>
              <w:rPr>
                <w:rFonts w:hint="default"/>
              </w:rPr>
            </w:pPr>
          </w:p>
        </w:tc>
      </w:tr>
      <w:tr w14:paraId="4B7B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C4EC0">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1CCF">
            <w:pPr>
              <w:pStyle w:val="43"/>
              <w:bidi w:val="0"/>
              <w:rPr>
                <w:rFonts w:hint="eastAsia"/>
              </w:rPr>
            </w:pPr>
            <w:r>
              <w:rPr>
                <w:rFonts w:hint="eastAsia"/>
                <w:lang w:val="en-US" w:eastAsia="zh-CN"/>
              </w:rPr>
              <w:t>初期雨水收集池</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BFB3E">
            <w:pPr>
              <w:pStyle w:val="43"/>
              <w:bidi w:val="0"/>
              <w:rPr>
                <w:rFonts w:hint="eastAsia"/>
              </w:rPr>
            </w:pPr>
            <w:r>
              <w:rPr>
                <w:rFonts w:hint="eastAsia"/>
                <w:lang w:val="en-US" w:eastAsia="zh-CN"/>
              </w:rPr>
              <w:t>污泥</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2F79D">
            <w:pPr>
              <w:pStyle w:val="43"/>
              <w:bidi w:val="0"/>
              <w:rPr>
                <w:rFonts w:hint="default"/>
              </w:rPr>
            </w:pPr>
            <w:r>
              <w:rPr>
                <w:rFonts w:hint="default"/>
                <w:lang w:val="en-US" w:eastAsia="zh-CN"/>
              </w:rPr>
              <w:t>40</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69773">
            <w:pPr>
              <w:pStyle w:val="43"/>
              <w:bidi w:val="0"/>
              <w:rPr>
                <w:rFonts w:hint="eastAsia"/>
              </w:rPr>
            </w:pPr>
            <w:r>
              <w:rPr>
                <w:rFonts w:hint="eastAsia"/>
                <w:lang w:val="en-US" w:eastAsia="zh-CN"/>
              </w:rPr>
              <w:t>定期清掏后，用作项目场区低洼处回填。</w:t>
            </w: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A3CE1">
            <w:pPr>
              <w:pStyle w:val="43"/>
              <w:bidi w:val="0"/>
              <w:rPr>
                <w:rFonts w:hint="default"/>
              </w:rPr>
            </w:pPr>
          </w:p>
        </w:tc>
      </w:tr>
      <w:tr w14:paraId="406E5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A8460">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3B1AF">
            <w:pPr>
              <w:pStyle w:val="43"/>
              <w:bidi w:val="0"/>
              <w:rPr>
                <w:rFonts w:hint="eastAsia"/>
              </w:rPr>
            </w:pPr>
            <w:r>
              <w:rPr>
                <w:rFonts w:hint="eastAsia"/>
                <w:lang w:val="en-US" w:eastAsia="zh-CN"/>
              </w:rPr>
              <w:t>设备维修</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4AE8">
            <w:pPr>
              <w:pStyle w:val="43"/>
              <w:bidi w:val="0"/>
              <w:rPr>
                <w:rFonts w:hint="eastAsia"/>
              </w:rPr>
            </w:pPr>
            <w:r>
              <w:rPr>
                <w:rFonts w:hint="eastAsia"/>
                <w:lang w:val="en-US" w:eastAsia="zh-CN"/>
              </w:rPr>
              <w:t>机修废物</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7F26C">
            <w:pPr>
              <w:pStyle w:val="43"/>
              <w:bidi w:val="0"/>
              <w:rPr>
                <w:rFonts w:hint="default"/>
              </w:rPr>
            </w:pPr>
            <w:r>
              <w:rPr>
                <w:rFonts w:hint="default"/>
                <w:lang w:val="en-US" w:eastAsia="zh-CN"/>
              </w:rPr>
              <w:t>0.1</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4581">
            <w:pPr>
              <w:pStyle w:val="43"/>
              <w:bidi w:val="0"/>
              <w:rPr>
                <w:rFonts w:hint="eastAsia"/>
              </w:rPr>
            </w:pPr>
            <w:r>
              <w:rPr>
                <w:rFonts w:hint="eastAsia"/>
                <w:lang w:val="en-US" w:eastAsia="zh-CN"/>
              </w:rPr>
              <w:t>危废暂存间暂存，委托有资质单位处置</w:t>
            </w:r>
          </w:p>
        </w:tc>
        <w:tc>
          <w:tcPr>
            <w:tcW w:w="6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6E2DF">
            <w:pPr>
              <w:pStyle w:val="43"/>
              <w:bidi w:val="0"/>
              <w:rPr>
                <w:rFonts w:hint="default"/>
              </w:rPr>
            </w:pPr>
          </w:p>
        </w:tc>
      </w:tr>
      <w:tr w14:paraId="7CF03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ABA92">
            <w:pPr>
              <w:pStyle w:val="43"/>
              <w:bidi w:val="0"/>
              <w:rPr>
                <w:rFonts w:hint="eastAsia"/>
              </w:rPr>
            </w:pPr>
            <w:r>
              <w:rPr>
                <w:rFonts w:hint="eastAsia"/>
                <w:lang w:val="en-US" w:eastAsia="zh-CN"/>
              </w:rPr>
              <w:t>噪声</w:t>
            </w:r>
          </w:p>
        </w:tc>
        <w:tc>
          <w:tcPr>
            <w:tcW w:w="8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0AAEC">
            <w:pPr>
              <w:pStyle w:val="43"/>
              <w:bidi w:val="0"/>
              <w:rPr>
                <w:rFonts w:hint="eastAsia"/>
              </w:rPr>
            </w:pPr>
            <w:r>
              <w:rPr>
                <w:rFonts w:hint="eastAsia"/>
                <w:lang w:val="en-US" w:eastAsia="zh-CN"/>
              </w:rPr>
              <w:t>采场爆破</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66FB9">
            <w:pPr>
              <w:pStyle w:val="43"/>
              <w:bidi w:val="0"/>
              <w:rPr>
                <w:rFonts w:hint="eastAsia"/>
              </w:rPr>
            </w:pPr>
            <w:r>
              <w:rPr>
                <w:rFonts w:hint="eastAsia"/>
                <w:lang w:val="en-US" w:eastAsia="zh-CN"/>
              </w:rPr>
              <w:t>爆破噪声</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2D366">
            <w:pPr>
              <w:pStyle w:val="43"/>
              <w:bidi w:val="0"/>
              <w:rPr>
                <w:rFonts w:hint="default"/>
              </w:rPr>
            </w:pPr>
            <w:r>
              <w:rPr>
                <w:rFonts w:hint="default"/>
                <w:lang w:val="en-US" w:eastAsia="zh-CN"/>
              </w:rPr>
              <w:t>120dB</w:t>
            </w:r>
            <w:r>
              <w:rPr>
                <w:rFonts w:hint="eastAsia"/>
                <w:lang w:val="en-US" w:eastAsia="zh-CN"/>
              </w:rPr>
              <w:t>（</w:t>
            </w:r>
            <w:r>
              <w:rPr>
                <w:rFonts w:hint="default"/>
                <w:lang w:val="en-US" w:eastAsia="zh-CN"/>
              </w:rPr>
              <w:t>A</w:t>
            </w:r>
            <w:r>
              <w:rPr>
                <w:rFonts w:hint="eastAsia"/>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C632">
            <w:pPr>
              <w:pStyle w:val="43"/>
              <w:bidi w:val="0"/>
              <w:rPr>
                <w:rFonts w:hint="eastAsia"/>
              </w:rPr>
            </w:pPr>
            <w:r>
              <w:rPr>
                <w:rFonts w:hint="eastAsia"/>
                <w:lang w:val="en-US" w:eastAsia="zh-CN"/>
              </w:rPr>
              <w:t>瞬时噪声，经山体隔声、距离衰减后影响较小</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10A8">
            <w:pPr>
              <w:pStyle w:val="43"/>
              <w:bidi w:val="0"/>
              <w:rPr>
                <w:rFonts w:hint="default"/>
              </w:rPr>
            </w:pPr>
            <w:r>
              <w:rPr>
                <w:rFonts w:hint="default"/>
                <w:lang w:val="en-US" w:eastAsia="zh-CN"/>
              </w:rPr>
              <w:t>/</w:t>
            </w:r>
          </w:p>
        </w:tc>
      </w:tr>
      <w:tr w14:paraId="41365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78DBA">
            <w:pPr>
              <w:pStyle w:val="43"/>
              <w:bidi w:val="0"/>
              <w:rPr>
                <w:rFonts w:hint="eastAsia"/>
              </w:rPr>
            </w:pPr>
          </w:p>
        </w:tc>
        <w:tc>
          <w:tcPr>
            <w:tcW w:w="8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485CA">
            <w:pPr>
              <w:pStyle w:val="43"/>
              <w:bidi w:val="0"/>
              <w:rPr>
                <w:rFonts w:hint="eastAsia"/>
              </w:rPr>
            </w:pP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590B">
            <w:pPr>
              <w:pStyle w:val="43"/>
              <w:bidi w:val="0"/>
              <w:rPr>
                <w:rFonts w:hint="eastAsia"/>
              </w:rPr>
            </w:pPr>
            <w:r>
              <w:rPr>
                <w:rFonts w:hint="eastAsia"/>
                <w:lang w:val="en-US" w:eastAsia="zh-CN"/>
              </w:rPr>
              <w:t>爆破震动</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F43E">
            <w:pPr>
              <w:pStyle w:val="43"/>
              <w:bidi w:val="0"/>
              <w:rPr>
                <w:rFonts w:hint="default"/>
              </w:rPr>
            </w:pPr>
            <w:r>
              <w:rPr>
                <w:rFonts w:hint="default"/>
                <w:lang w:val="en-US" w:eastAsia="zh-CN"/>
              </w:rPr>
              <w:t>120dB</w:t>
            </w:r>
            <w:r>
              <w:rPr>
                <w:rFonts w:hint="eastAsia"/>
                <w:lang w:val="en-US" w:eastAsia="zh-CN"/>
              </w:rPr>
              <w:t>（</w:t>
            </w:r>
            <w:r>
              <w:rPr>
                <w:rFonts w:hint="default"/>
                <w:lang w:val="en-US" w:eastAsia="zh-CN"/>
              </w:rPr>
              <w:t>A</w:t>
            </w:r>
            <w:r>
              <w:rPr>
                <w:rFonts w:hint="eastAsia"/>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C2F5">
            <w:pPr>
              <w:pStyle w:val="43"/>
              <w:bidi w:val="0"/>
              <w:rPr>
                <w:rFonts w:hint="eastAsia"/>
              </w:rPr>
            </w:pPr>
            <w:r>
              <w:rPr>
                <w:rFonts w:hint="eastAsia"/>
                <w:lang w:val="en-US" w:eastAsia="zh-CN"/>
              </w:rPr>
              <w:t>瞬时噪声，经山体隔震后影响较小</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14D8">
            <w:pPr>
              <w:pStyle w:val="43"/>
              <w:bidi w:val="0"/>
              <w:rPr>
                <w:rFonts w:hint="default"/>
              </w:rPr>
            </w:pPr>
            <w:r>
              <w:rPr>
                <w:rFonts w:hint="default"/>
                <w:lang w:val="en-US" w:eastAsia="zh-CN"/>
              </w:rPr>
              <w:t>/</w:t>
            </w:r>
          </w:p>
        </w:tc>
      </w:tr>
      <w:tr w14:paraId="79E0B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992A1">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31274">
            <w:pPr>
              <w:pStyle w:val="43"/>
              <w:bidi w:val="0"/>
              <w:rPr>
                <w:rFonts w:hint="eastAsia"/>
              </w:rPr>
            </w:pPr>
            <w:r>
              <w:rPr>
                <w:rFonts w:hint="eastAsia"/>
                <w:lang w:val="en-US" w:eastAsia="zh-CN"/>
              </w:rPr>
              <w:t>运输</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FC9F">
            <w:pPr>
              <w:pStyle w:val="43"/>
              <w:bidi w:val="0"/>
              <w:rPr>
                <w:rFonts w:hint="eastAsia"/>
              </w:rPr>
            </w:pPr>
            <w:r>
              <w:rPr>
                <w:rFonts w:hint="eastAsia"/>
                <w:lang w:val="en-US" w:eastAsia="zh-CN"/>
              </w:rPr>
              <w:t>车辆噪声</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7382C">
            <w:pPr>
              <w:pStyle w:val="43"/>
              <w:bidi w:val="0"/>
              <w:rPr>
                <w:rFonts w:hint="default"/>
              </w:rPr>
            </w:pPr>
            <w:r>
              <w:rPr>
                <w:rFonts w:hint="default"/>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2F5C">
            <w:pPr>
              <w:pStyle w:val="43"/>
              <w:bidi w:val="0"/>
              <w:rPr>
                <w:rFonts w:hint="eastAsia"/>
              </w:rPr>
            </w:pPr>
            <w:r>
              <w:rPr>
                <w:rFonts w:hint="eastAsia"/>
                <w:lang w:val="en-US" w:eastAsia="zh-CN"/>
              </w:rPr>
              <w:t>属于瞬时汽车噪声，内部运输时对周围环境影响较小。外部运输时尽量选在白天，采取限速、禁鸣等措施以减轻对沿途居民的影响</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F6AAD">
            <w:pPr>
              <w:pStyle w:val="43"/>
              <w:bidi w:val="0"/>
              <w:rPr>
                <w:rFonts w:hint="default"/>
              </w:rPr>
            </w:pPr>
            <w:r>
              <w:rPr>
                <w:rFonts w:hint="default"/>
                <w:lang w:val="en-US" w:eastAsia="zh-CN"/>
              </w:rPr>
              <w:t>/</w:t>
            </w:r>
          </w:p>
        </w:tc>
      </w:tr>
      <w:tr w14:paraId="2E65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D6F1F">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12A12">
            <w:pPr>
              <w:pStyle w:val="43"/>
              <w:bidi w:val="0"/>
              <w:rPr>
                <w:rFonts w:hint="eastAsia"/>
              </w:rPr>
            </w:pPr>
            <w:r>
              <w:rPr>
                <w:rFonts w:hint="eastAsia"/>
                <w:lang w:val="en-US" w:eastAsia="zh-CN"/>
              </w:rPr>
              <w:t>采场</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940A9">
            <w:pPr>
              <w:pStyle w:val="43"/>
              <w:bidi w:val="0"/>
              <w:rPr>
                <w:rFonts w:hint="eastAsia"/>
              </w:rPr>
            </w:pPr>
            <w:r>
              <w:rPr>
                <w:rFonts w:hint="eastAsia"/>
                <w:lang w:val="en-US" w:eastAsia="zh-CN"/>
              </w:rPr>
              <w:t>机械噪声</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467D">
            <w:pPr>
              <w:pStyle w:val="43"/>
              <w:bidi w:val="0"/>
              <w:rPr>
                <w:rFonts w:hint="default"/>
              </w:rPr>
            </w:pPr>
            <w:r>
              <w:rPr>
                <w:rFonts w:hint="default"/>
                <w:lang w:val="en-US" w:eastAsia="zh-CN"/>
              </w:rPr>
              <w:t>85~100dB</w:t>
            </w:r>
            <w:r>
              <w:rPr>
                <w:rFonts w:hint="eastAsia"/>
                <w:lang w:val="en-US" w:eastAsia="zh-CN"/>
              </w:rPr>
              <w:t>（</w:t>
            </w:r>
            <w:r>
              <w:rPr>
                <w:rFonts w:hint="default"/>
                <w:lang w:val="en-US" w:eastAsia="zh-CN"/>
              </w:rPr>
              <w:t>A</w:t>
            </w:r>
            <w:r>
              <w:rPr>
                <w:rFonts w:hint="eastAsia"/>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9D50E">
            <w:pPr>
              <w:pStyle w:val="43"/>
              <w:bidi w:val="0"/>
              <w:rPr>
                <w:rFonts w:hint="eastAsia"/>
              </w:rPr>
            </w:pPr>
            <w:r>
              <w:rPr>
                <w:rFonts w:hint="eastAsia"/>
                <w:lang w:val="en-US" w:eastAsia="zh-CN"/>
              </w:rPr>
              <w:t>及时维修，保持良好工作状态，经距离衰减对外界环境影响较小</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7937">
            <w:pPr>
              <w:pStyle w:val="43"/>
              <w:bidi w:val="0"/>
              <w:rPr>
                <w:rFonts w:hint="default"/>
              </w:rPr>
            </w:pPr>
            <w:r>
              <w:rPr>
                <w:rFonts w:hint="default"/>
                <w:lang w:val="en-US" w:eastAsia="zh-CN"/>
              </w:rPr>
              <w:t>/</w:t>
            </w:r>
          </w:p>
        </w:tc>
      </w:tr>
      <w:tr w14:paraId="26E4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8693B">
            <w:pPr>
              <w:pStyle w:val="43"/>
              <w:bidi w:val="0"/>
              <w:rPr>
                <w:rFonts w:hint="eastAsia"/>
              </w:rPr>
            </w:pP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5111">
            <w:pPr>
              <w:pStyle w:val="43"/>
              <w:bidi w:val="0"/>
              <w:rPr>
                <w:rFonts w:hint="eastAsia"/>
              </w:rPr>
            </w:pPr>
            <w:r>
              <w:rPr>
                <w:rFonts w:hint="eastAsia"/>
                <w:lang w:val="en-US" w:eastAsia="zh-CN"/>
              </w:rPr>
              <w:t>加工区</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4617">
            <w:pPr>
              <w:pStyle w:val="43"/>
              <w:bidi w:val="0"/>
              <w:rPr>
                <w:rFonts w:hint="eastAsia"/>
              </w:rPr>
            </w:pPr>
            <w:r>
              <w:rPr>
                <w:rFonts w:hint="eastAsia"/>
                <w:lang w:val="en-US" w:eastAsia="zh-CN"/>
              </w:rPr>
              <w:t>机械噪声</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1353">
            <w:pPr>
              <w:pStyle w:val="43"/>
              <w:bidi w:val="0"/>
              <w:rPr>
                <w:rFonts w:hint="default"/>
              </w:rPr>
            </w:pPr>
            <w:r>
              <w:rPr>
                <w:rFonts w:hint="default"/>
                <w:lang w:val="en-US" w:eastAsia="zh-CN"/>
              </w:rPr>
              <w:t>75~95dB</w:t>
            </w:r>
            <w:r>
              <w:rPr>
                <w:rFonts w:hint="eastAsia"/>
                <w:lang w:val="en-US" w:eastAsia="zh-CN"/>
              </w:rPr>
              <w:t>（</w:t>
            </w:r>
            <w:r>
              <w:rPr>
                <w:rFonts w:hint="default"/>
                <w:lang w:val="en-US" w:eastAsia="zh-CN"/>
              </w:rPr>
              <w:t>A</w:t>
            </w:r>
            <w:r>
              <w:rPr>
                <w:rFonts w:hint="eastAsia"/>
                <w:lang w:val="en-US" w:eastAsia="zh-CN"/>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DEBD">
            <w:pPr>
              <w:pStyle w:val="43"/>
              <w:bidi w:val="0"/>
              <w:rPr>
                <w:rFonts w:hint="eastAsia"/>
              </w:rPr>
            </w:pPr>
            <w:r>
              <w:rPr>
                <w:rFonts w:hint="eastAsia"/>
                <w:lang w:val="en-US" w:eastAsia="zh-CN"/>
              </w:rPr>
              <w:t>厂房隔声，基础减震，且距离衰减后，厂界噪声对外界环境影响较小</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E1EC6">
            <w:pPr>
              <w:pStyle w:val="43"/>
              <w:bidi w:val="0"/>
              <w:rPr>
                <w:rFonts w:hint="default"/>
              </w:rPr>
            </w:pPr>
            <w:r>
              <w:rPr>
                <w:rFonts w:hint="default"/>
                <w:lang w:val="en-US" w:eastAsia="zh-CN"/>
              </w:rPr>
              <w:t>/</w:t>
            </w:r>
          </w:p>
        </w:tc>
      </w:tr>
    </w:tbl>
    <w:p w14:paraId="4C45C5F7">
      <w:pPr>
        <w:rPr>
          <w:rFonts w:hint="default"/>
        </w:rPr>
      </w:pPr>
    </w:p>
    <w:p w14:paraId="260A727D">
      <w:pPr>
        <w:pStyle w:val="3"/>
        <w:rPr>
          <w:color w:val="auto"/>
          <w:highlight w:val="none"/>
          <w:lang w:val="en-US"/>
        </w:rPr>
      </w:pPr>
      <w:bookmarkStart w:id="250" w:name="_Toc23972"/>
      <w:bookmarkStart w:id="251" w:name="_Toc3462"/>
      <w:r>
        <w:rPr>
          <w:rFonts w:hint="eastAsia"/>
          <w:color w:val="auto"/>
          <w:highlight w:val="none"/>
          <w:lang w:val="en-US"/>
        </w:rPr>
        <w:t>“</w:t>
      </w:r>
      <w:r>
        <w:rPr>
          <w:rFonts w:hint="eastAsia" w:eastAsia="宋体"/>
          <w:color w:val="auto"/>
          <w:highlight w:val="none"/>
          <w:lang w:val="en-US" w:eastAsia="zh-CN"/>
        </w:rPr>
        <w:t>三本账</w:t>
      </w:r>
      <w:r>
        <w:rPr>
          <w:rFonts w:hint="eastAsia"/>
          <w:color w:val="auto"/>
          <w:highlight w:val="none"/>
          <w:lang w:val="en-US"/>
        </w:rPr>
        <w:t>”核算</w:t>
      </w:r>
      <w:bookmarkEnd w:id="250"/>
    </w:p>
    <w:p w14:paraId="53A02CC0">
      <w:pPr>
        <w:pStyle w:val="41"/>
        <w:ind w:firstLine="480"/>
        <w:rPr>
          <w:rFonts w:hint="default" w:eastAsia="宋体"/>
          <w:b/>
          <w:bCs/>
          <w:color w:val="auto"/>
          <w:highlight w:val="none"/>
          <w:lang w:val="en-US" w:eastAsia="zh-CN"/>
        </w:rPr>
      </w:pPr>
      <w:r>
        <w:rPr>
          <w:rFonts w:hint="eastAsia"/>
          <w:b/>
          <w:bCs/>
          <w:color w:val="auto"/>
          <w:highlight w:val="none"/>
          <w:lang w:val="en-US" w:eastAsia="zh-CN"/>
        </w:rPr>
        <w:t>（1）项目“以新带老”措施</w:t>
      </w:r>
    </w:p>
    <w:p w14:paraId="2A4B1D88">
      <w:pPr>
        <w:pStyle w:val="41"/>
        <w:numPr>
          <w:ilvl w:val="0"/>
          <w:numId w:val="5"/>
        </w:numPr>
        <w:ind w:firstLine="480"/>
        <w:rPr>
          <w:rFonts w:hint="default"/>
          <w:b/>
          <w:bCs/>
          <w:color w:val="auto"/>
          <w:highlight w:val="none"/>
          <w:lang w:val="en-US" w:eastAsia="zh-CN"/>
        </w:rPr>
      </w:pPr>
      <w:r>
        <w:rPr>
          <w:rFonts w:hint="eastAsia"/>
          <w:b/>
          <w:bCs/>
          <w:color w:val="auto"/>
          <w:highlight w:val="none"/>
          <w:lang w:val="en-US" w:eastAsia="zh-CN"/>
        </w:rPr>
        <w:t>废气</w:t>
      </w:r>
    </w:p>
    <w:p w14:paraId="7BDFB6F9">
      <w:pPr>
        <w:pStyle w:val="41"/>
        <w:bidi w:val="0"/>
        <w:rPr>
          <w:rFonts w:hint="default"/>
          <w:lang w:val="en-US" w:eastAsia="zh-CN"/>
        </w:rPr>
      </w:pPr>
      <w:r>
        <w:rPr>
          <w:rFonts w:hint="eastAsia"/>
          <w:lang w:val="en-US" w:eastAsia="zh-CN"/>
        </w:rPr>
        <w:t>原项目已运行多年，采取了部分大气污染防治措施，为了进一步降低环境影响，本次扩建拟采取：石料输送带设置彩钢瓦防护罩，下料口设置帆布或软管等防尘设施；废土石临时存放设置防尘网进行遮盖；破碎、筛分、打砂等环节设置集气罩+布袋除尘器+15m高DA001排气筒进行排放；完善加工区、成品堆棚喷淋设施；加强场区洒水降尘措施等措施降低大气污染物排放。原项目产能为20t/a，颗粒物排放量为9.3t/a，扩建后产能为50万t/a，颗粒物排放为6.99t/a。实现了增产减污。</w:t>
      </w:r>
    </w:p>
    <w:p w14:paraId="062E7561">
      <w:pPr>
        <w:pStyle w:val="41"/>
        <w:numPr>
          <w:ilvl w:val="0"/>
          <w:numId w:val="5"/>
        </w:numPr>
        <w:ind w:firstLine="480"/>
        <w:rPr>
          <w:rFonts w:hint="default"/>
          <w:b/>
          <w:bCs/>
          <w:color w:val="auto"/>
          <w:highlight w:val="none"/>
          <w:lang w:val="en-US" w:eastAsia="zh-CN"/>
        </w:rPr>
      </w:pPr>
      <w:r>
        <w:rPr>
          <w:rFonts w:hint="eastAsia"/>
          <w:b/>
          <w:bCs/>
          <w:color w:val="auto"/>
          <w:highlight w:val="none"/>
          <w:lang w:val="en-US" w:eastAsia="zh-CN"/>
        </w:rPr>
        <w:t>废水</w:t>
      </w:r>
    </w:p>
    <w:p w14:paraId="695E8E7D">
      <w:pPr>
        <w:pStyle w:val="41"/>
        <w:bidi w:val="0"/>
        <w:rPr>
          <w:rFonts w:hint="default"/>
          <w:color w:val="auto"/>
          <w:highlight w:val="none"/>
          <w:lang w:val="en-US" w:eastAsia="zh-CN"/>
        </w:rPr>
      </w:pPr>
      <w:r>
        <w:rPr>
          <w:rFonts w:hint="eastAsia"/>
          <w:color w:val="auto"/>
          <w:highlight w:val="none"/>
          <w:lang w:val="en-US" w:eastAsia="zh-CN"/>
        </w:rPr>
        <w:t>项目扩建后完善洒水、喷淋等措施，用水量增加，但此部分水量均蒸发损耗，无生产废水外排。扩建后，项目劳动定员由20人增加到28人，但原来人员需要在办公生活区住宿，后期将不在项目内进行食宿。用水量减少，人员生活产生的少量粪污进入粪便收集池后委托周围农户定期清掏做农肥，无废水外排。扩建前后项目均无废水外排。</w:t>
      </w:r>
    </w:p>
    <w:p w14:paraId="78E96C39">
      <w:pPr>
        <w:pStyle w:val="41"/>
        <w:numPr>
          <w:ilvl w:val="0"/>
          <w:numId w:val="5"/>
        </w:numPr>
        <w:ind w:firstLine="480"/>
        <w:rPr>
          <w:rFonts w:hint="default"/>
          <w:b/>
          <w:bCs/>
          <w:color w:val="auto"/>
          <w:highlight w:val="none"/>
          <w:lang w:val="en-US" w:eastAsia="zh-CN"/>
        </w:rPr>
      </w:pPr>
      <w:r>
        <w:rPr>
          <w:rFonts w:hint="eastAsia"/>
          <w:b/>
          <w:bCs/>
          <w:color w:val="auto"/>
          <w:highlight w:val="none"/>
          <w:lang w:val="en-US" w:eastAsia="zh-CN"/>
        </w:rPr>
        <w:t>固废</w:t>
      </w:r>
    </w:p>
    <w:p w14:paraId="291B7070">
      <w:pPr>
        <w:pStyle w:val="41"/>
        <w:bidi w:val="0"/>
        <w:rPr>
          <w:rFonts w:hint="default"/>
          <w:color w:val="auto"/>
          <w:highlight w:val="none"/>
          <w:lang w:val="en-US" w:eastAsia="zh-CN"/>
        </w:rPr>
      </w:pPr>
      <w:r>
        <w:rPr>
          <w:rFonts w:hint="eastAsia"/>
          <w:color w:val="auto"/>
          <w:highlight w:val="none"/>
          <w:lang w:val="en-US" w:eastAsia="zh-CN"/>
        </w:rPr>
        <w:t>项目固废100%处置。</w:t>
      </w:r>
    </w:p>
    <w:p w14:paraId="7594A932">
      <w:pPr>
        <w:pStyle w:val="41"/>
        <w:ind w:firstLine="480"/>
        <w:rPr>
          <w:rFonts w:hint="default"/>
          <w:b/>
          <w:bCs/>
          <w:color w:val="auto"/>
          <w:highlight w:val="none"/>
          <w:lang w:val="en-US" w:eastAsia="zh-CN"/>
        </w:rPr>
      </w:pPr>
      <w:r>
        <w:rPr>
          <w:rFonts w:hint="eastAsia"/>
          <w:b/>
          <w:bCs/>
          <w:color w:val="auto"/>
          <w:highlight w:val="none"/>
          <w:lang w:eastAsia="zh-CN"/>
        </w:rPr>
        <w:t>（</w:t>
      </w:r>
      <w:r>
        <w:rPr>
          <w:rFonts w:hint="eastAsia"/>
          <w:b/>
          <w:bCs/>
          <w:color w:val="auto"/>
          <w:highlight w:val="none"/>
          <w:lang w:val="en-US" w:eastAsia="zh-CN"/>
        </w:rPr>
        <w:t>2）项目“三本账”</w:t>
      </w:r>
    </w:p>
    <w:p w14:paraId="6A58E22F">
      <w:pPr>
        <w:pStyle w:val="41"/>
        <w:ind w:firstLine="480"/>
        <w:rPr>
          <w:color w:val="auto"/>
          <w:highlight w:val="none"/>
        </w:rPr>
      </w:pPr>
      <w:r>
        <w:rPr>
          <w:rFonts w:hint="eastAsia"/>
          <w:color w:val="auto"/>
          <w:highlight w:val="none"/>
        </w:rPr>
        <w:t>项目“</w:t>
      </w:r>
      <w:r>
        <w:rPr>
          <w:rFonts w:hint="eastAsia"/>
          <w:color w:val="auto"/>
          <w:highlight w:val="none"/>
          <w:lang w:eastAsia="zh-CN"/>
        </w:rPr>
        <w:t>三本账</w:t>
      </w:r>
      <w:r>
        <w:rPr>
          <w:rFonts w:hint="eastAsia"/>
          <w:color w:val="auto"/>
          <w:highlight w:val="none"/>
        </w:rPr>
        <w:t>”核算情况如下：</w:t>
      </w:r>
    </w:p>
    <w:p w14:paraId="3E3A81DC">
      <w:pPr>
        <w:pStyle w:val="45"/>
        <w:rPr>
          <w:color w:val="auto"/>
          <w:highlight w:val="none"/>
        </w:rPr>
      </w:pPr>
      <w:r>
        <w:rPr>
          <w:rFonts w:hint="eastAsia"/>
          <w:color w:val="auto"/>
          <w:highlight w:val="none"/>
        </w:rPr>
        <w:t>表4.5-1 项目</w:t>
      </w:r>
      <w:r>
        <w:rPr>
          <w:rFonts w:hint="eastAsia"/>
          <w:color w:val="auto"/>
          <w:highlight w:val="none"/>
          <w:lang w:eastAsia="zh-CN"/>
        </w:rPr>
        <w:t>三本账</w:t>
      </w:r>
      <w:r>
        <w:rPr>
          <w:rFonts w:hint="eastAsia"/>
          <w:color w:val="auto"/>
          <w:highlight w:val="none"/>
        </w:rPr>
        <w:t>核算表</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6"/>
        <w:gridCol w:w="2283"/>
        <w:gridCol w:w="1445"/>
        <w:gridCol w:w="1512"/>
        <w:gridCol w:w="1351"/>
        <w:gridCol w:w="1179"/>
      </w:tblGrid>
      <w:tr w14:paraId="6FA8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1" w:type="pct"/>
            <w:gridSpan w:val="2"/>
            <w:shd w:val="clear" w:color="auto" w:fill="auto"/>
            <w:noWrap/>
            <w:vAlign w:val="center"/>
          </w:tcPr>
          <w:p w14:paraId="7B040BF4">
            <w:pPr>
              <w:pStyle w:val="43"/>
              <w:bidi w:val="0"/>
              <w:jc w:val="center"/>
              <w:rPr>
                <w:rFonts w:hint="eastAsia"/>
                <w:b/>
                <w:bCs/>
                <w:color w:val="auto"/>
              </w:rPr>
            </w:pPr>
            <w:r>
              <w:rPr>
                <w:rFonts w:hint="eastAsia"/>
                <w:b/>
                <w:bCs/>
                <w:color w:val="auto"/>
                <w:lang w:val="en-US" w:eastAsia="zh-CN"/>
              </w:rPr>
              <w:t>污染物</w:t>
            </w:r>
          </w:p>
        </w:tc>
        <w:tc>
          <w:tcPr>
            <w:tcW w:w="847" w:type="pct"/>
            <w:shd w:val="clear" w:color="auto" w:fill="auto"/>
            <w:vAlign w:val="center"/>
          </w:tcPr>
          <w:p w14:paraId="24E19343">
            <w:pPr>
              <w:pStyle w:val="43"/>
              <w:bidi w:val="0"/>
              <w:jc w:val="center"/>
              <w:rPr>
                <w:rFonts w:hint="eastAsia"/>
                <w:b/>
                <w:bCs/>
                <w:color w:val="auto"/>
              </w:rPr>
            </w:pPr>
            <w:r>
              <w:rPr>
                <w:rFonts w:hint="eastAsia"/>
                <w:b/>
                <w:bCs/>
                <w:color w:val="auto"/>
                <w:lang w:val="en-US" w:eastAsia="zh-CN"/>
              </w:rPr>
              <w:t>原项目排放量（t/a）</w:t>
            </w:r>
          </w:p>
        </w:tc>
        <w:tc>
          <w:tcPr>
            <w:tcW w:w="886" w:type="pct"/>
            <w:shd w:val="clear" w:color="auto" w:fill="auto"/>
            <w:vAlign w:val="center"/>
          </w:tcPr>
          <w:p w14:paraId="564E22AC">
            <w:pPr>
              <w:pStyle w:val="43"/>
              <w:bidi w:val="0"/>
              <w:jc w:val="center"/>
              <w:rPr>
                <w:rFonts w:hint="default"/>
                <w:b/>
                <w:bCs/>
                <w:color w:val="auto"/>
              </w:rPr>
            </w:pPr>
            <w:r>
              <w:rPr>
                <w:rFonts w:hint="default"/>
                <w:b/>
                <w:bCs/>
                <w:color w:val="auto"/>
                <w:lang w:val="en-US" w:eastAsia="zh-CN"/>
              </w:rPr>
              <w:t>“</w:t>
            </w:r>
            <w:r>
              <w:rPr>
                <w:rFonts w:hint="eastAsia"/>
                <w:b/>
                <w:bCs/>
                <w:color w:val="auto"/>
                <w:lang w:val="en-US" w:eastAsia="zh-CN"/>
              </w:rPr>
              <w:t>以新带老</w:t>
            </w:r>
            <w:r>
              <w:rPr>
                <w:rFonts w:hint="default"/>
                <w:b/>
                <w:bCs/>
                <w:color w:val="auto"/>
                <w:lang w:val="en-US" w:eastAsia="zh-CN"/>
              </w:rPr>
              <w:t>”</w:t>
            </w:r>
            <w:r>
              <w:rPr>
                <w:rFonts w:hint="eastAsia"/>
                <w:b/>
                <w:bCs/>
                <w:color w:val="auto"/>
                <w:lang w:val="en-US" w:eastAsia="zh-CN"/>
              </w:rPr>
              <w:t>削减量（t/a）</w:t>
            </w:r>
          </w:p>
        </w:tc>
        <w:tc>
          <w:tcPr>
            <w:tcW w:w="792" w:type="pct"/>
            <w:shd w:val="clear" w:color="auto" w:fill="auto"/>
            <w:vAlign w:val="center"/>
          </w:tcPr>
          <w:p w14:paraId="1E79CFE1">
            <w:pPr>
              <w:pStyle w:val="43"/>
              <w:bidi w:val="0"/>
              <w:jc w:val="center"/>
              <w:rPr>
                <w:rFonts w:hint="eastAsia"/>
                <w:b/>
                <w:bCs/>
                <w:color w:val="auto"/>
              </w:rPr>
            </w:pPr>
            <w:r>
              <w:rPr>
                <w:rFonts w:hint="eastAsia"/>
                <w:b/>
                <w:bCs/>
                <w:color w:val="auto"/>
                <w:lang w:val="en-US" w:eastAsia="zh-CN"/>
              </w:rPr>
              <w:t>整体项目排放总量（t/a）</w:t>
            </w:r>
          </w:p>
        </w:tc>
        <w:tc>
          <w:tcPr>
            <w:tcW w:w="691" w:type="pct"/>
            <w:shd w:val="clear" w:color="auto" w:fill="auto"/>
            <w:vAlign w:val="center"/>
          </w:tcPr>
          <w:p w14:paraId="6FC99EB0">
            <w:pPr>
              <w:pStyle w:val="43"/>
              <w:bidi w:val="0"/>
              <w:jc w:val="center"/>
              <w:rPr>
                <w:rFonts w:hint="eastAsia"/>
                <w:b/>
                <w:bCs/>
                <w:color w:val="auto"/>
              </w:rPr>
            </w:pPr>
            <w:r>
              <w:rPr>
                <w:rFonts w:hint="eastAsia"/>
                <w:b/>
                <w:bCs/>
                <w:color w:val="auto"/>
                <w:lang w:val="en-US" w:eastAsia="zh-CN"/>
              </w:rPr>
              <w:t>排放增减量（t/a）</w:t>
            </w:r>
          </w:p>
        </w:tc>
      </w:tr>
      <w:tr w14:paraId="479D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3" w:type="pct"/>
            <w:vMerge w:val="restart"/>
            <w:shd w:val="clear" w:color="auto" w:fill="auto"/>
            <w:noWrap/>
            <w:vAlign w:val="center"/>
          </w:tcPr>
          <w:p w14:paraId="4BB72C9F">
            <w:pPr>
              <w:pStyle w:val="43"/>
              <w:bidi w:val="0"/>
              <w:jc w:val="center"/>
              <w:rPr>
                <w:rFonts w:hint="eastAsia"/>
                <w:color w:val="auto"/>
              </w:rPr>
            </w:pPr>
            <w:r>
              <w:rPr>
                <w:rFonts w:hint="eastAsia"/>
                <w:color w:val="auto"/>
                <w:lang w:val="en-US" w:eastAsia="zh-CN"/>
              </w:rPr>
              <w:t>大气</w:t>
            </w:r>
          </w:p>
        </w:tc>
        <w:tc>
          <w:tcPr>
            <w:tcW w:w="1338" w:type="pct"/>
            <w:shd w:val="clear" w:color="auto" w:fill="auto"/>
            <w:noWrap/>
            <w:vAlign w:val="center"/>
          </w:tcPr>
          <w:p w14:paraId="27C0E024">
            <w:pPr>
              <w:pStyle w:val="43"/>
              <w:bidi w:val="0"/>
              <w:jc w:val="center"/>
              <w:rPr>
                <w:rFonts w:hint="eastAsia"/>
                <w:color w:val="auto"/>
              </w:rPr>
            </w:pPr>
            <w:r>
              <w:rPr>
                <w:rFonts w:hint="eastAsia"/>
                <w:color w:val="auto"/>
                <w:lang w:val="en-US" w:eastAsia="zh-CN"/>
              </w:rPr>
              <w:t>废气量（万m</w:t>
            </w:r>
            <w:r>
              <w:rPr>
                <w:rFonts w:hint="eastAsia"/>
                <w:color w:val="auto"/>
                <w:vertAlign w:val="superscript"/>
                <w:lang w:val="en-US" w:eastAsia="zh-CN"/>
              </w:rPr>
              <w:t>3</w:t>
            </w:r>
            <w:r>
              <w:rPr>
                <w:rFonts w:hint="eastAsia"/>
                <w:color w:val="auto"/>
                <w:lang w:val="en-US" w:eastAsia="zh-CN"/>
              </w:rPr>
              <w:t>/a）</w:t>
            </w:r>
          </w:p>
        </w:tc>
        <w:tc>
          <w:tcPr>
            <w:tcW w:w="847" w:type="pct"/>
            <w:shd w:val="clear" w:color="auto" w:fill="auto"/>
            <w:vAlign w:val="center"/>
          </w:tcPr>
          <w:p w14:paraId="4E57315C">
            <w:pPr>
              <w:keepNext w:val="0"/>
              <w:keepLines w:val="0"/>
              <w:widowControl/>
              <w:suppressLineNumbers w:val="0"/>
              <w:jc w:val="center"/>
              <w:textAlignment w:val="center"/>
              <w:rPr>
                <w:rFonts w:hint="eastAsia"/>
                <w:color w:val="auto"/>
              </w:rPr>
            </w:pPr>
            <w:r>
              <w:rPr>
                <w:rFonts w:hint="eastAsia" w:ascii="Times New Roman" w:hAnsi="Times New Roman" w:eastAsia="宋体" w:cs="Times New Roman"/>
                <w:i w:val="0"/>
                <w:iCs w:val="0"/>
                <w:color w:val="auto"/>
                <w:kern w:val="0"/>
                <w:sz w:val="21"/>
                <w:szCs w:val="21"/>
                <w:u w:val="none"/>
                <w:lang w:val="en-US" w:eastAsia="zh-CN" w:bidi="ar"/>
              </w:rPr>
              <w:t>0</w:t>
            </w:r>
          </w:p>
        </w:tc>
        <w:tc>
          <w:tcPr>
            <w:tcW w:w="886" w:type="pct"/>
            <w:shd w:val="clear" w:color="auto" w:fill="auto"/>
            <w:noWrap/>
            <w:vAlign w:val="center"/>
          </w:tcPr>
          <w:p w14:paraId="1019EA05">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792" w:type="pct"/>
            <w:shd w:val="clear" w:color="auto" w:fill="auto"/>
            <w:noWrap/>
            <w:vAlign w:val="center"/>
          </w:tcPr>
          <w:p w14:paraId="5028FB44">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7200</w:t>
            </w:r>
          </w:p>
        </w:tc>
        <w:tc>
          <w:tcPr>
            <w:tcW w:w="691" w:type="pct"/>
            <w:shd w:val="clear" w:color="auto" w:fill="auto"/>
            <w:vAlign w:val="center"/>
          </w:tcPr>
          <w:p w14:paraId="284B7707">
            <w:pPr>
              <w:keepNext w:val="0"/>
              <w:keepLines w:val="0"/>
              <w:widowControl/>
              <w:suppressLineNumbers w:val="0"/>
              <w:jc w:val="center"/>
              <w:textAlignment w:val="center"/>
              <w:rPr>
                <w:rFonts w:hint="default"/>
                <w:color w:val="auto"/>
              </w:rPr>
            </w:pPr>
            <w:r>
              <w:rPr>
                <w:rFonts w:hint="eastAsia"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7200</w:t>
            </w:r>
          </w:p>
        </w:tc>
      </w:tr>
      <w:tr w14:paraId="6DC7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3" w:type="pct"/>
            <w:vMerge w:val="continue"/>
            <w:shd w:val="clear" w:color="auto" w:fill="auto"/>
            <w:noWrap/>
            <w:vAlign w:val="center"/>
          </w:tcPr>
          <w:p w14:paraId="357C0229">
            <w:pPr>
              <w:pStyle w:val="43"/>
              <w:bidi w:val="0"/>
              <w:jc w:val="center"/>
              <w:rPr>
                <w:rFonts w:hint="eastAsia"/>
                <w:color w:val="auto"/>
              </w:rPr>
            </w:pPr>
          </w:p>
        </w:tc>
        <w:tc>
          <w:tcPr>
            <w:tcW w:w="1338" w:type="pct"/>
            <w:shd w:val="clear" w:color="auto" w:fill="auto"/>
            <w:noWrap/>
            <w:vAlign w:val="center"/>
          </w:tcPr>
          <w:p w14:paraId="5D113A1B">
            <w:pPr>
              <w:pStyle w:val="43"/>
              <w:bidi w:val="0"/>
              <w:jc w:val="center"/>
              <w:rPr>
                <w:rFonts w:hint="eastAsia"/>
                <w:color w:val="auto"/>
              </w:rPr>
            </w:pPr>
            <w:r>
              <w:rPr>
                <w:rFonts w:hint="eastAsia"/>
                <w:color w:val="auto"/>
                <w:lang w:val="en-US" w:eastAsia="zh-CN"/>
              </w:rPr>
              <w:t>颗粒物</w:t>
            </w:r>
          </w:p>
        </w:tc>
        <w:tc>
          <w:tcPr>
            <w:tcW w:w="847" w:type="pct"/>
            <w:shd w:val="clear" w:color="auto" w:fill="auto"/>
            <w:vAlign w:val="center"/>
          </w:tcPr>
          <w:p w14:paraId="13813EC0">
            <w:pPr>
              <w:keepNext w:val="0"/>
              <w:keepLines w:val="0"/>
              <w:widowControl/>
              <w:suppressLineNumbers w:val="0"/>
              <w:jc w:val="center"/>
              <w:textAlignment w:val="center"/>
              <w:rPr>
                <w:rFonts w:hint="default"/>
                <w:color w:val="auto"/>
                <w:lang w:val="en-US"/>
              </w:rPr>
            </w:pPr>
            <w:r>
              <w:rPr>
                <w:rFonts w:hint="eastAsia" w:ascii="Times New Roman" w:hAnsi="Times New Roman" w:eastAsia="宋体" w:cs="Times New Roman"/>
                <w:i w:val="0"/>
                <w:iCs w:val="0"/>
                <w:color w:val="auto"/>
                <w:kern w:val="0"/>
                <w:sz w:val="21"/>
                <w:szCs w:val="21"/>
                <w:u w:val="none"/>
                <w:lang w:val="en-US" w:eastAsia="zh-CN" w:bidi="ar"/>
              </w:rPr>
              <w:t>9.3</w:t>
            </w:r>
          </w:p>
        </w:tc>
        <w:tc>
          <w:tcPr>
            <w:tcW w:w="886" w:type="pct"/>
            <w:shd w:val="clear" w:color="auto" w:fill="auto"/>
            <w:noWrap/>
            <w:vAlign w:val="center"/>
          </w:tcPr>
          <w:p w14:paraId="78CA768C">
            <w:pPr>
              <w:keepNext w:val="0"/>
              <w:keepLines w:val="0"/>
              <w:widowControl/>
              <w:suppressLineNumbers w:val="0"/>
              <w:jc w:val="center"/>
              <w:textAlignment w:val="center"/>
              <w:rPr>
                <w:rFonts w:hint="default"/>
                <w:color w:val="auto"/>
                <w:lang w:val="en-US"/>
              </w:rPr>
            </w:pPr>
            <w:r>
              <w:rPr>
                <w:rFonts w:hint="eastAsia" w:ascii="Times New Roman" w:hAnsi="Times New Roman" w:eastAsia="宋体" w:cs="Times New Roman"/>
                <w:i w:val="0"/>
                <w:iCs w:val="0"/>
                <w:color w:val="auto"/>
                <w:kern w:val="0"/>
                <w:sz w:val="21"/>
                <w:szCs w:val="21"/>
                <w:u w:val="none"/>
                <w:lang w:val="en-US" w:eastAsia="zh-CN" w:bidi="ar"/>
              </w:rPr>
              <w:t>2.31</w:t>
            </w:r>
          </w:p>
        </w:tc>
        <w:tc>
          <w:tcPr>
            <w:tcW w:w="792" w:type="pct"/>
            <w:shd w:val="clear" w:color="auto" w:fill="auto"/>
            <w:vAlign w:val="center"/>
          </w:tcPr>
          <w:p w14:paraId="63BFD771">
            <w:pPr>
              <w:keepNext w:val="0"/>
              <w:keepLines w:val="0"/>
              <w:widowControl/>
              <w:suppressLineNumbers w:val="0"/>
              <w:jc w:val="center"/>
              <w:textAlignment w:val="center"/>
              <w:rPr>
                <w:rFonts w:hint="default"/>
                <w:color w:val="auto"/>
                <w:lang w:val="en-US"/>
              </w:rPr>
            </w:pPr>
            <w:r>
              <w:rPr>
                <w:rFonts w:hint="eastAsia" w:ascii="Times New Roman" w:hAnsi="Times New Roman" w:eastAsia="宋体" w:cs="Times New Roman"/>
                <w:i w:val="0"/>
                <w:iCs w:val="0"/>
                <w:color w:val="auto"/>
                <w:kern w:val="0"/>
                <w:sz w:val="21"/>
                <w:szCs w:val="21"/>
                <w:u w:val="none"/>
                <w:lang w:val="en-US" w:eastAsia="zh-CN" w:bidi="ar"/>
              </w:rPr>
              <w:t>6.99</w:t>
            </w:r>
          </w:p>
        </w:tc>
        <w:tc>
          <w:tcPr>
            <w:tcW w:w="691" w:type="pct"/>
            <w:shd w:val="clear" w:color="auto" w:fill="auto"/>
            <w:vAlign w:val="center"/>
          </w:tcPr>
          <w:p w14:paraId="4655686C">
            <w:pPr>
              <w:keepNext w:val="0"/>
              <w:keepLines w:val="0"/>
              <w:widowControl/>
              <w:suppressLineNumbers w:val="0"/>
              <w:jc w:val="center"/>
              <w:textAlignment w:val="center"/>
              <w:rPr>
                <w:rFonts w:hint="default"/>
                <w:color w:val="auto"/>
                <w:lang w:val="en-US"/>
              </w:rPr>
            </w:pPr>
            <w:r>
              <w:rPr>
                <w:rFonts w:hint="eastAsia" w:ascii="Times New Roman" w:hAnsi="Times New Roman" w:eastAsia="宋体" w:cs="Times New Roman"/>
                <w:i w:val="0"/>
                <w:iCs w:val="0"/>
                <w:color w:val="auto"/>
                <w:kern w:val="0"/>
                <w:sz w:val="21"/>
                <w:szCs w:val="21"/>
                <w:u w:val="none"/>
                <w:lang w:val="en-US" w:eastAsia="zh-CN" w:bidi="ar"/>
              </w:rPr>
              <w:t>-2.31</w:t>
            </w:r>
          </w:p>
        </w:tc>
      </w:tr>
      <w:tr w14:paraId="06F2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3" w:type="pct"/>
            <w:shd w:val="clear" w:color="auto" w:fill="auto"/>
            <w:noWrap/>
            <w:vAlign w:val="center"/>
          </w:tcPr>
          <w:p w14:paraId="3D6AA2E1">
            <w:pPr>
              <w:pStyle w:val="43"/>
              <w:bidi w:val="0"/>
              <w:jc w:val="center"/>
              <w:rPr>
                <w:rFonts w:hint="eastAsia"/>
                <w:color w:val="auto"/>
              </w:rPr>
            </w:pPr>
            <w:r>
              <w:rPr>
                <w:rFonts w:hint="eastAsia"/>
                <w:color w:val="auto"/>
                <w:lang w:val="en-US" w:eastAsia="zh-CN"/>
              </w:rPr>
              <w:t>水</w:t>
            </w:r>
          </w:p>
        </w:tc>
        <w:tc>
          <w:tcPr>
            <w:tcW w:w="1338" w:type="pct"/>
            <w:shd w:val="clear" w:color="auto" w:fill="auto"/>
            <w:noWrap/>
            <w:vAlign w:val="center"/>
          </w:tcPr>
          <w:p w14:paraId="6CFF259D">
            <w:pPr>
              <w:pStyle w:val="43"/>
              <w:bidi w:val="0"/>
              <w:jc w:val="center"/>
              <w:rPr>
                <w:rFonts w:hint="eastAsia"/>
                <w:color w:val="auto"/>
              </w:rPr>
            </w:pPr>
            <w:r>
              <w:rPr>
                <w:rFonts w:hint="eastAsia"/>
                <w:color w:val="auto"/>
                <w:lang w:val="en-US" w:eastAsia="zh-CN"/>
              </w:rPr>
              <w:t>废水量</w:t>
            </w:r>
          </w:p>
        </w:tc>
        <w:tc>
          <w:tcPr>
            <w:tcW w:w="847" w:type="pct"/>
            <w:shd w:val="clear" w:color="auto" w:fill="auto"/>
            <w:noWrap/>
            <w:vAlign w:val="center"/>
          </w:tcPr>
          <w:p w14:paraId="6D126302">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886" w:type="pct"/>
            <w:shd w:val="clear" w:color="auto" w:fill="auto"/>
            <w:noWrap/>
            <w:vAlign w:val="center"/>
          </w:tcPr>
          <w:p w14:paraId="050A1B8E">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792" w:type="pct"/>
            <w:shd w:val="clear" w:color="auto" w:fill="auto"/>
            <w:noWrap/>
            <w:vAlign w:val="center"/>
          </w:tcPr>
          <w:p w14:paraId="6D12DA8B">
            <w:pPr>
              <w:keepNext w:val="0"/>
              <w:keepLines w:val="0"/>
              <w:widowControl/>
              <w:suppressLineNumbers w:val="0"/>
              <w:jc w:val="center"/>
              <w:textAlignment w:val="center"/>
              <w:rPr>
                <w:rFonts w:hint="eastAsia"/>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691" w:type="pct"/>
            <w:shd w:val="clear" w:color="auto" w:fill="auto"/>
            <w:vAlign w:val="center"/>
          </w:tcPr>
          <w:p w14:paraId="6988854F">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r>
      <w:tr w14:paraId="2DCF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43" w:type="pct"/>
            <w:shd w:val="clear" w:color="auto" w:fill="auto"/>
            <w:noWrap/>
            <w:vAlign w:val="center"/>
          </w:tcPr>
          <w:p w14:paraId="043CF3F4">
            <w:pPr>
              <w:pStyle w:val="43"/>
              <w:bidi w:val="0"/>
              <w:jc w:val="center"/>
              <w:rPr>
                <w:rFonts w:hint="eastAsia"/>
                <w:color w:val="auto"/>
              </w:rPr>
            </w:pPr>
            <w:r>
              <w:rPr>
                <w:rFonts w:hint="eastAsia"/>
                <w:color w:val="auto"/>
                <w:lang w:val="en-US" w:eastAsia="zh-CN"/>
              </w:rPr>
              <w:t>固废</w:t>
            </w:r>
          </w:p>
        </w:tc>
        <w:tc>
          <w:tcPr>
            <w:tcW w:w="1338" w:type="pct"/>
            <w:shd w:val="clear" w:color="auto" w:fill="auto"/>
            <w:vAlign w:val="center"/>
          </w:tcPr>
          <w:p w14:paraId="3D57717E">
            <w:pPr>
              <w:pStyle w:val="43"/>
              <w:bidi w:val="0"/>
              <w:jc w:val="center"/>
              <w:rPr>
                <w:rFonts w:hint="eastAsia"/>
                <w:color w:val="auto"/>
              </w:rPr>
            </w:pPr>
            <w:r>
              <w:rPr>
                <w:rFonts w:hint="eastAsia"/>
                <w:color w:val="auto"/>
                <w:lang w:val="en-US" w:eastAsia="zh-CN"/>
              </w:rPr>
              <w:t>固体废物</w:t>
            </w:r>
          </w:p>
        </w:tc>
        <w:tc>
          <w:tcPr>
            <w:tcW w:w="847" w:type="pct"/>
            <w:shd w:val="clear" w:color="auto" w:fill="auto"/>
            <w:vAlign w:val="center"/>
          </w:tcPr>
          <w:p w14:paraId="23252E27">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886" w:type="pct"/>
            <w:shd w:val="clear" w:color="auto" w:fill="auto"/>
            <w:vAlign w:val="center"/>
          </w:tcPr>
          <w:p w14:paraId="2D8ECEF5">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792" w:type="pct"/>
            <w:shd w:val="clear" w:color="auto" w:fill="auto"/>
            <w:vAlign w:val="center"/>
          </w:tcPr>
          <w:p w14:paraId="6C652486">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c>
          <w:tcPr>
            <w:tcW w:w="691" w:type="pct"/>
            <w:shd w:val="clear" w:color="auto" w:fill="auto"/>
            <w:vAlign w:val="center"/>
          </w:tcPr>
          <w:p w14:paraId="4BF2DE42">
            <w:pPr>
              <w:keepNext w:val="0"/>
              <w:keepLines w:val="0"/>
              <w:widowControl/>
              <w:suppressLineNumbers w:val="0"/>
              <w:jc w:val="center"/>
              <w:textAlignment w:val="center"/>
              <w:rPr>
                <w:rFonts w:hint="default"/>
                <w:color w:val="auto"/>
              </w:rPr>
            </w:pPr>
            <w:r>
              <w:rPr>
                <w:rFonts w:hint="default" w:ascii="Times New Roman" w:hAnsi="Times New Roman" w:eastAsia="宋体" w:cs="Times New Roman"/>
                <w:i w:val="0"/>
                <w:iCs w:val="0"/>
                <w:color w:val="auto"/>
                <w:kern w:val="0"/>
                <w:sz w:val="21"/>
                <w:szCs w:val="21"/>
                <w:u w:val="none"/>
                <w:lang w:val="en-US" w:eastAsia="zh-CN" w:bidi="ar"/>
              </w:rPr>
              <w:t>0</w:t>
            </w:r>
          </w:p>
        </w:tc>
      </w:tr>
    </w:tbl>
    <w:p w14:paraId="6D92AA9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清洁生产分析</w:t>
      </w:r>
      <w:bookmarkEnd w:id="251"/>
    </w:p>
    <w:p w14:paraId="3D352131">
      <w:pPr>
        <w:pStyle w:val="41"/>
        <w:bidi w:val="0"/>
        <w:rPr>
          <w:rFonts w:hint="eastAsia"/>
        </w:rPr>
      </w:pPr>
      <w:r>
        <w:rPr>
          <w:rFonts w:hint="eastAsia"/>
        </w:rPr>
        <w:t>根据</w:t>
      </w:r>
      <w:r>
        <w:rPr>
          <w:rFonts w:hint="eastAsia"/>
          <w:lang w:eastAsia="zh-CN"/>
        </w:rPr>
        <w:t>《</w:t>
      </w:r>
      <w:r>
        <w:rPr>
          <w:rFonts w:hint="default"/>
          <w:lang w:val="en-US" w:eastAsia="zh-CN"/>
        </w:rPr>
        <w:t>中华人民共和国生态环境法典》</w:t>
      </w:r>
      <w:r>
        <w:rPr>
          <w:rFonts w:hint="eastAsia"/>
        </w:rPr>
        <w:t>，第九百六十条 国家鼓励通过开展绿色设计、使用清洁的能源和原料、采用先进适用的工艺技术与设备等措施，从源头降低资源消耗，减少污染物和温室气体的产生、排放，推进清洁生产。</w:t>
      </w:r>
    </w:p>
    <w:p w14:paraId="605EB411">
      <w:pPr>
        <w:pStyle w:val="41"/>
        <w:bidi w:val="0"/>
        <w:rPr>
          <w:rFonts w:hint="eastAsia"/>
        </w:rPr>
      </w:pPr>
      <w:r>
        <w:rPr>
          <w:rFonts w:hint="eastAsia"/>
        </w:rPr>
        <w:t>清洁生产分析指标可分为6类：生产工艺与装备要求、资源能源利用指标、产品指标、污染物产生指标（末端处理前）、废物回收利用指标和环境管理要求。</w:t>
      </w:r>
    </w:p>
    <w:p w14:paraId="6A98675D">
      <w:pPr>
        <w:pStyle w:val="41"/>
        <w:bidi w:val="0"/>
        <w:rPr>
          <w:rFonts w:hint="eastAsia"/>
        </w:rPr>
      </w:pPr>
      <w:r>
        <w:rPr>
          <w:rFonts w:hint="eastAsia"/>
        </w:rPr>
        <w:t>本项目为</w:t>
      </w:r>
      <w:r>
        <w:rPr>
          <w:rFonts w:hint="eastAsia"/>
          <w:lang w:val="en-US" w:eastAsia="zh-CN"/>
        </w:rPr>
        <w:t>土砂石</w:t>
      </w:r>
      <w:r>
        <w:rPr>
          <w:rFonts w:hint="eastAsia"/>
        </w:rPr>
        <w:t>采选行业，国家尚未制定该行业清洁生产评价指标体系和能耗指标数据。因此，本次评价仅从上述6类指标进行初步评价项目的清洁生产水平。</w:t>
      </w:r>
    </w:p>
    <w:p w14:paraId="0C49CB69">
      <w:pPr>
        <w:pStyle w:val="41"/>
        <w:bidi w:val="0"/>
        <w:rPr>
          <w:rFonts w:hint="eastAsia"/>
        </w:rPr>
      </w:pPr>
      <w:r>
        <w:rPr>
          <w:rFonts w:hint="eastAsia"/>
        </w:rPr>
        <w:t>（1）生产工艺与装备</w:t>
      </w:r>
    </w:p>
    <w:p w14:paraId="705CEEE2">
      <w:pPr>
        <w:pStyle w:val="41"/>
        <w:bidi w:val="0"/>
        <w:rPr>
          <w:rFonts w:hint="eastAsia"/>
        </w:rPr>
      </w:pPr>
      <w:r>
        <w:rPr>
          <w:rFonts w:hint="eastAsia"/>
        </w:rPr>
        <w:t>本项目为</w:t>
      </w:r>
      <w:r>
        <w:rPr>
          <w:rFonts w:hint="eastAsia"/>
          <w:lang w:val="en-US" w:eastAsia="zh-CN"/>
        </w:rPr>
        <w:t>土砂石</w:t>
      </w:r>
      <w:r>
        <w:rPr>
          <w:rFonts w:hint="eastAsia"/>
        </w:rPr>
        <w:t>开采，开采方式为露天开采，</w:t>
      </w:r>
      <w:r>
        <w:rPr>
          <w:rFonts w:hint="eastAsia"/>
          <w:lang w:val="en-US" w:eastAsia="zh-CN"/>
        </w:rPr>
        <w:t>爆破后</w:t>
      </w:r>
      <w:r>
        <w:rPr>
          <w:rFonts w:hint="eastAsia"/>
        </w:rPr>
        <w:t>直接采用挖掘机进行开挖，工艺简单可行，矿山回采率较高，清洁生产水平一般。</w:t>
      </w:r>
      <w:r>
        <w:rPr>
          <w:rFonts w:hint="eastAsia"/>
          <w:lang w:val="en-US" w:eastAsia="zh-CN"/>
        </w:rPr>
        <w:t>灰岩</w:t>
      </w:r>
      <w:r>
        <w:rPr>
          <w:rFonts w:hint="eastAsia"/>
        </w:rPr>
        <w:t>矿开采后，采用</w:t>
      </w:r>
      <w:r>
        <w:rPr>
          <w:rFonts w:hint="eastAsia"/>
          <w:lang w:val="en-US" w:eastAsia="zh-CN"/>
        </w:rPr>
        <w:t>自卸汽车</w:t>
      </w:r>
      <w:r>
        <w:rPr>
          <w:rFonts w:hint="eastAsia"/>
        </w:rPr>
        <w:t>直接送至</w:t>
      </w:r>
      <w:r>
        <w:rPr>
          <w:rFonts w:hint="eastAsia"/>
          <w:lang w:val="en-US" w:eastAsia="zh-CN"/>
        </w:rPr>
        <w:t>加工区进行加工</w:t>
      </w:r>
      <w:r>
        <w:rPr>
          <w:rFonts w:hint="eastAsia"/>
        </w:rPr>
        <w:t>，</w:t>
      </w:r>
      <w:r>
        <w:rPr>
          <w:rFonts w:hint="eastAsia"/>
          <w:lang w:val="en-US" w:eastAsia="zh-CN"/>
        </w:rPr>
        <w:t>开采及运输均利用雾炮机+洒水车进行洒水降尘，</w:t>
      </w:r>
      <w:r>
        <w:rPr>
          <w:rFonts w:hint="eastAsia"/>
        </w:rPr>
        <w:t>减少了粉尘和扬尘污染，符合清洁生产要求。</w:t>
      </w:r>
    </w:p>
    <w:p w14:paraId="493DFE3D">
      <w:pPr>
        <w:pStyle w:val="41"/>
        <w:bidi w:val="0"/>
        <w:rPr>
          <w:rFonts w:hint="eastAsia"/>
        </w:rPr>
      </w:pPr>
      <w:r>
        <w:rPr>
          <w:rFonts w:hint="eastAsia"/>
          <w:lang w:val="en-US" w:eastAsia="zh-CN"/>
        </w:rPr>
        <w:t>加工区建设封闭式厂房，设备均</w:t>
      </w:r>
      <w:r>
        <w:rPr>
          <w:rFonts w:hint="eastAsia"/>
        </w:rPr>
        <w:t>采用</w:t>
      </w:r>
      <w:r>
        <w:rPr>
          <w:rFonts w:hint="eastAsia"/>
          <w:lang w:val="en-US" w:eastAsia="zh-CN"/>
        </w:rPr>
        <w:t>全自动化破碎、筛分及制砂工艺</w:t>
      </w:r>
      <w:r>
        <w:rPr>
          <w:rFonts w:hint="eastAsia"/>
        </w:rPr>
        <w:t>，</w:t>
      </w:r>
      <w:r>
        <w:rPr>
          <w:rFonts w:hint="eastAsia"/>
          <w:lang w:val="en-US" w:eastAsia="zh-CN"/>
        </w:rPr>
        <w:t>破碎、筛分及制砂产尘节点通过设置集气系统收集粉尘，经高效布袋除尘器处理达标后经过排气筒排放，且封闭厂房顶部配套建设喷雾系统，进一步减少粉尘的排放</w:t>
      </w:r>
      <w:r>
        <w:rPr>
          <w:rFonts w:hint="eastAsia"/>
        </w:rPr>
        <w:t>，</w:t>
      </w:r>
      <w:r>
        <w:rPr>
          <w:rFonts w:hint="eastAsia"/>
          <w:lang w:val="en-US" w:eastAsia="zh-CN"/>
        </w:rPr>
        <w:t>生产设备均利用电能，不涉及燃煤等高污染燃料</w:t>
      </w:r>
      <w:r>
        <w:rPr>
          <w:rFonts w:hint="eastAsia"/>
        </w:rPr>
        <w:t>。</w:t>
      </w:r>
    </w:p>
    <w:p w14:paraId="5529224A">
      <w:pPr>
        <w:pStyle w:val="41"/>
        <w:bidi w:val="0"/>
        <w:rPr>
          <w:rFonts w:hint="eastAsia"/>
        </w:rPr>
      </w:pPr>
      <w:r>
        <w:rPr>
          <w:rFonts w:hint="eastAsia"/>
        </w:rPr>
        <w:t>综上，本项目生产工艺与装备符合清洁生产要求。</w:t>
      </w:r>
    </w:p>
    <w:p w14:paraId="6319F1C8">
      <w:pPr>
        <w:pStyle w:val="41"/>
        <w:bidi w:val="0"/>
        <w:rPr>
          <w:rFonts w:hint="eastAsia"/>
        </w:rPr>
      </w:pPr>
      <w:r>
        <w:rPr>
          <w:rFonts w:hint="eastAsia"/>
        </w:rPr>
        <w:t>因此，本项目采用的装备工艺水平高，满足清洁生产先进水平。</w:t>
      </w:r>
    </w:p>
    <w:p w14:paraId="139E835C">
      <w:pPr>
        <w:pStyle w:val="41"/>
        <w:bidi w:val="0"/>
        <w:rPr>
          <w:rFonts w:hint="eastAsia"/>
        </w:rPr>
      </w:pPr>
      <w:r>
        <w:rPr>
          <w:rFonts w:hint="eastAsia"/>
        </w:rPr>
        <w:t>（2）资源能源利用指标</w:t>
      </w:r>
    </w:p>
    <w:p w14:paraId="30F46108">
      <w:pPr>
        <w:pStyle w:val="41"/>
        <w:bidi w:val="0"/>
        <w:rPr>
          <w:rFonts w:hint="eastAsia"/>
        </w:rPr>
      </w:pPr>
      <w:r>
        <w:rPr>
          <w:rFonts w:hint="eastAsia"/>
        </w:rPr>
        <w:t>①原物料消耗</w:t>
      </w:r>
    </w:p>
    <w:p w14:paraId="1BF139BA">
      <w:pPr>
        <w:pStyle w:val="41"/>
        <w:bidi w:val="0"/>
        <w:rPr>
          <w:rFonts w:hint="eastAsia"/>
        </w:rPr>
      </w:pPr>
      <w:r>
        <w:rPr>
          <w:rFonts w:hint="eastAsia"/>
        </w:rPr>
        <w:t>项目采用的原料为</w:t>
      </w:r>
      <w:r>
        <w:rPr>
          <w:rFonts w:hint="eastAsia"/>
          <w:lang w:val="en-US" w:eastAsia="zh-CN"/>
        </w:rPr>
        <w:t>灰岩原矿</w:t>
      </w:r>
      <w:r>
        <w:rPr>
          <w:rFonts w:hint="eastAsia"/>
        </w:rPr>
        <w:t>，为</w:t>
      </w:r>
      <w:r>
        <w:rPr>
          <w:rFonts w:hint="eastAsia"/>
          <w:lang w:val="en-US" w:eastAsia="zh-CN"/>
        </w:rPr>
        <w:t>项目</w:t>
      </w:r>
      <w:r>
        <w:rPr>
          <w:rFonts w:hint="eastAsia"/>
        </w:rPr>
        <w:t>矿山采出的矿石，运至</w:t>
      </w:r>
      <w:r>
        <w:rPr>
          <w:rFonts w:hint="eastAsia"/>
          <w:lang w:val="en-US" w:eastAsia="zh-CN"/>
        </w:rPr>
        <w:t>加工区</w:t>
      </w:r>
      <w:r>
        <w:rPr>
          <w:rFonts w:hint="eastAsia"/>
        </w:rPr>
        <w:t>距离</w:t>
      </w:r>
      <w:r>
        <w:rPr>
          <w:rFonts w:hint="eastAsia"/>
          <w:lang w:val="en-US" w:eastAsia="zh-CN"/>
        </w:rPr>
        <w:t>较</w:t>
      </w:r>
      <w:r>
        <w:rPr>
          <w:rFonts w:hint="eastAsia"/>
        </w:rPr>
        <w:t>短，使原矿石就近得到</w:t>
      </w:r>
      <w:r>
        <w:rPr>
          <w:rFonts w:hint="eastAsia"/>
          <w:lang w:val="en-US" w:eastAsia="zh-CN"/>
        </w:rPr>
        <w:t>加工产出</w:t>
      </w:r>
      <w:r>
        <w:rPr>
          <w:rFonts w:hint="eastAsia"/>
        </w:rPr>
        <w:t>，有效利用了资源，降低了运输成本。</w:t>
      </w:r>
    </w:p>
    <w:p w14:paraId="67AC24D5">
      <w:pPr>
        <w:pStyle w:val="41"/>
        <w:bidi w:val="0"/>
        <w:rPr>
          <w:rFonts w:hint="eastAsia"/>
        </w:rPr>
      </w:pPr>
      <w:r>
        <w:rPr>
          <w:rFonts w:hint="eastAsia"/>
          <w:lang w:val="en-US" w:eastAsia="zh-CN"/>
        </w:rPr>
        <w:t>生产设备</w:t>
      </w:r>
      <w:r>
        <w:rPr>
          <w:rFonts w:hint="eastAsia"/>
        </w:rPr>
        <w:t>采用自动化控制，集中管理，减少人员，降低物</w:t>
      </w:r>
      <w:r>
        <w:rPr>
          <w:rFonts w:hint="eastAsia"/>
          <w:lang w:val="en-US" w:eastAsia="zh-CN"/>
        </w:rPr>
        <w:t>耗</w:t>
      </w:r>
      <w:r>
        <w:rPr>
          <w:rFonts w:hint="eastAsia"/>
        </w:rPr>
        <w:t>及</w:t>
      </w:r>
      <w:r>
        <w:rPr>
          <w:rFonts w:hint="eastAsia"/>
          <w:lang w:val="en-US" w:eastAsia="zh-CN"/>
        </w:rPr>
        <w:t>人力损耗</w:t>
      </w:r>
      <w:r>
        <w:rPr>
          <w:rFonts w:hint="eastAsia"/>
        </w:rPr>
        <w:t>。</w:t>
      </w:r>
    </w:p>
    <w:p w14:paraId="0B972A67">
      <w:pPr>
        <w:pStyle w:val="41"/>
        <w:bidi w:val="0"/>
        <w:rPr>
          <w:rFonts w:hint="eastAsia"/>
        </w:rPr>
      </w:pPr>
      <w:r>
        <w:rPr>
          <w:rFonts w:hint="eastAsia"/>
        </w:rPr>
        <w:t>②能源利用</w:t>
      </w:r>
    </w:p>
    <w:p w14:paraId="726FDA3A">
      <w:pPr>
        <w:pStyle w:val="41"/>
        <w:bidi w:val="0"/>
        <w:rPr>
          <w:rFonts w:hint="eastAsia"/>
        </w:rPr>
      </w:pPr>
      <w:r>
        <w:rPr>
          <w:rFonts w:hint="eastAsia"/>
        </w:rPr>
        <w:t>A.用电</w:t>
      </w:r>
    </w:p>
    <w:p w14:paraId="3E2644B6">
      <w:pPr>
        <w:pStyle w:val="41"/>
        <w:bidi w:val="0"/>
        <w:rPr>
          <w:rFonts w:hint="default"/>
          <w:lang w:val="en-US" w:eastAsia="zh-CN"/>
        </w:rPr>
      </w:pPr>
      <w:r>
        <w:rPr>
          <w:rFonts w:hint="eastAsia"/>
        </w:rPr>
        <w:t>项目</w:t>
      </w:r>
      <w:r>
        <w:rPr>
          <w:rFonts w:hint="eastAsia"/>
          <w:lang w:val="en-US" w:eastAsia="zh-CN"/>
        </w:rPr>
        <w:t>加工区各类设备</w:t>
      </w:r>
      <w:r>
        <w:rPr>
          <w:rFonts w:hint="eastAsia"/>
        </w:rPr>
        <w:t>使用电作为动力能源，为清洁能源，不使用高污染燃料，符合清洁生产要求。</w:t>
      </w:r>
      <w:r>
        <w:rPr>
          <w:rFonts w:hint="eastAsia"/>
          <w:lang w:val="en-US" w:eastAsia="zh-CN"/>
        </w:rPr>
        <w:t>运输及采掘车辆及机械采用汽柴油等燃料，通过定期维护保养，使设备保持良好运行，能耗可控。</w:t>
      </w:r>
    </w:p>
    <w:p w14:paraId="654F11BD">
      <w:pPr>
        <w:pStyle w:val="41"/>
        <w:bidi w:val="0"/>
        <w:rPr>
          <w:rFonts w:hint="eastAsia"/>
        </w:rPr>
      </w:pPr>
      <w:r>
        <w:rPr>
          <w:rFonts w:hint="eastAsia"/>
        </w:rPr>
        <w:t>B.用水</w:t>
      </w:r>
    </w:p>
    <w:p w14:paraId="160F83CD">
      <w:pPr>
        <w:pStyle w:val="41"/>
        <w:bidi w:val="0"/>
        <w:rPr>
          <w:rFonts w:hint="eastAsia"/>
        </w:rPr>
      </w:pPr>
      <w:r>
        <w:rPr>
          <w:rFonts w:hint="eastAsia"/>
          <w:lang w:val="en-US" w:eastAsia="zh-CN"/>
        </w:rPr>
        <w:t>运营期产生的初期雨水经收集处理后全部回用项目区内降尘</w:t>
      </w:r>
      <w:r>
        <w:rPr>
          <w:rFonts w:hint="eastAsia"/>
        </w:rPr>
        <w:t>，减少了</w:t>
      </w:r>
      <w:r>
        <w:rPr>
          <w:rFonts w:hint="eastAsia"/>
          <w:lang w:val="en-US" w:eastAsia="zh-CN"/>
        </w:rPr>
        <w:t>新鲜水的使用以及</w:t>
      </w:r>
      <w:r>
        <w:rPr>
          <w:rFonts w:hint="eastAsia"/>
        </w:rPr>
        <w:t>废水排放量。</w:t>
      </w:r>
      <w:r>
        <w:rPr>
          <w:rFonts w:hint="eastAsia"/>
          <w:lang w:val="en-US" w:eastAsia="zh-CN"/>
        </w:rPr>
        <w:t>各类废水100%回收利用</w:t>
      </w:r>
      <w:r>
        <w:rPr>
          <w:rFonts w:hint="eastAsia"/>
        </w:rPr>
        <w:t>，达到行业先进水平。</w:t>
      </w:r>
    </w:p>
    <w:p w14:paraId="34D01699">
      <w:pPr>
        <w:pStyle w:val="41"/>
        <w:bidi w:val="0"/>
        <w:rPr>
          <w:rFonts w:hint="default"/>
          <w:lang w:val="en-US" w:eastAsia="zh-CN"/>
        </w:rPr>
      </w:pPr>
      <w:r>
        <w:rPr>
          <w:rFonts w:hint="eastAsia"/>
          <w:lang w:val="en-US" w:eastAsia="zh-CN"/>
        </w:rPr>
        <w:t>综上，项目资源能源利用指标符合清洁生产要求。</w:t>
      </w:r>
    </w:p>
    <w:p w14:paraId="651B4416">
      <w:pPr>
        <w:pStyle w:val="41"/>
        <w:bidi w:val="0"/>
        <w:rPr>
          <w:rFonts w:hint="eastAsia"/>
        </w:rPr>
      </w:pPr>
      <w:r>
        <w:rPr>
          <w:rFonts w:hint="eastAsia"/>
        </w:rPr>
        <w:t>（3）产品指标</w:t>
      </w:r>
    </w:p>
    <w:p w14:paraId="40603BE7">
      <w:pPr>
        <w:pStyle w:val="41"/>
        <w:bidi w:val="0"/>
        <w:rPr>
          <w:rFonts w:hint="eastAsia"/>
        </w:rPr>
      </w:pPr>
      <w:r>
        <w:rPr>
          <w:rFonts w:hint="eastAsia"/>
        </w:rPr>
        <w:t>石灰岩主要</w:t>
      </w:r>
      <w:r>
        <w:rPr>
          <w:rFonts w:hint="eastAsia"/>
          <w:lang w:eastAsia="zh-CN"/>
        </w:rPr>
        <w:t>成分</w:t>
      </w:r>
      <w:r>
        <w:rPr>
          <w:rFonts w:hint="eastAsia"/>
        </w:rPr>
        <w:t>为碳酸钙（CaCO</w:t>
      </w:r>
      <w:r>
        <w:rPr>
          <w:rFonts w:hint="eastAsia"/>
          <w:vertAlign w:val="subscript"/>
        </w:rPr>
        <w:t>3</w:t>
      </w:r>
      <w:r>
        <w:rPr>
          <w:rFonts w:hint="eastAsia"/>
        </w:rPr>
        <w:t>），是一种浅灰色、灰色、深灰色交通、房屋建筑等原料，有极其广泛的用途。随着经济的发展，市场对石灰岩的需求会有所增加，企业经济效益、社会效益看好。</w:t>
      </w:r>
    </w:p>
    <w:p w14:paraId="3FF91CF9">
      <w:pPr>
        <w:pStyle w:val="41"/>
        <w:bidi w:val="0"/>
        <w:rPr>
          <w:rFonts w:hint="default"/>
          <w:lang w:val="en-US" w:eastAsia="zh-CN"/>
        </w:rPr>
      </w:pPr>
      <w:r>
        <w:rPr>
          <w:rFonts w:hint="eastAsia"/>
          <w:lang w:val="en-US" w:eastAsia="zh-CN"/>
        </w:rPr>
        <w:t>且项目矿石品位良好，采出率较高，产品需求广泛，产品指标符合清洁生产要求。</w:t>
      </w:r>
    </w:p>
    <w:p w14:paraId="27A052EE">
      <w:pPr>
        <w:pStyle w:val="41"/>
        <w:bidi w:val="0"/>
        <w:rPr>
          <w:rFonts w:hint="eastAsia"/>
        </w:rPr>
      </w:pPr>
      <w:r>
        <w:rPr>
          <w:rFonts w:hint="eastAsia"/>
        </w:rPr>
        <w:t>（4）污染物产生指标</w:t>
      </w:r>
    </w:p>
    <w:p w14:paraId="08AF49AD">
      <w:pPr>
        <w:pStyle w:val="41"/>
        <w:bidi w:val="0"/>
        <w:rPr>
          <w:rFonts w:hint="eastAsia"/>
        </w:rPr>
      </w:pPr>
      <w:r>
        <w:rPr>
          <w:rFonts w:hint="eastAsia"/>
        </w:rPr>
        <w:t>通过工程分析可知，</w:t>
      </w:r>
      <w:r>
        <w:rPr>
          <w:rFonts w:hint="eastAsia"/>
          <w:lang w:val="en-US" w:eastAsia="zh-CN"/>
        </w:rPr>
        <w:t>项目实行雨污分流排水体制，运营期产生的初期雨水收集处理后全部回用项目区内降尘</w:t>
      </w:r>
      <w:r>
        <w:rPr>
          <w:rFonts w:hint="eastAsia"/>
          <w:lang w:eastAsia="zh-CN"/>
        </w:rPr>
        <w:t>；</w:t>
      </w:r>
      <w:r>
        <w:rPr>
          <w:rFonts w:hint="eastAsia"/>
          <w:lang w:val="en-US" w:eastAsia="zh-CN"/>
        </w:rPr>
        <w:t>加工区各废气产生节点均设置高效布袋除尘系统或洒水降尘措施；噪声厂界达标排放；固体废物100%合理处置。</w:t>
      </w:r>
      <w:r>
        <w:rPr>
          <w:rFonts w:hint="eastAsia"/>
        </w:rPr>
        <w:t>本项目对产生的</w:t>
      </w:r>
      <w:r>
        <w:rPr>
          <w:rFonts w:hint="eastAsia"/>
          <w:lang w:val="en-US" w:eastAsia="zh-CN"/>
        </w:rPr>
        <w:t>各类</w:t>
      </w:r>
      <w:r>
        <w:rPr>
          <w:rFonts w:hint="eastAsia"/>
        </w:rPr>
        <w:t>污染物采取了行业可行的治理技术。</w:t>
      </w:r>
    </w:p>
    <w:p w14:paraId="7F02ACB7">
      <w:pPr>
        <w:pStyle w:val="41"/>
        <w:bidi w:val="0"/>
        <w:rPr>
          <w:rFonts w:hint="eastAsia"/>
        </w:rPr>
      </w:pPr>
      <w:r>
        <w:rPr>
          <w:rFonts w:hint="eastAsia"/>
        </w:rPr>
        <w:t>总体上，项目污染物产生指标符合清洁生产要求。</w:t>
      </w:r>
    </w:p>
    <w:p w14:paraId="2DF84C09">
      <w:pPr>
        <w:pStyle w:val="41"/>
        <w:bidi w:val="0"/>
        <w:rPr>
          <w:rFonts w:hint="eastAsia"/>
        </w:rPr>
      </w:pPr>
      <w:r>
        <w:rPr>
          <w:rFonts w:hint="eastAsia"/>
        </w:rPr>
        <w:t>（5）废物回收利用指标</w:t>
      </w:r>
    </w:p>
    <w:p w14:paraId="7D146245">
      <w:pPr>
        <w:pStyle w:val="41"/>
        <w:bidi w:val="0"/>
        <w:rPr>
          <w:rFonts w:hint="default"/>
          <w:lang w:val="en-US" w:eastAsia="zh-CN"/>
        </w:rPr>
      </w:pPr>
      <w:r>
        <w:rPr>
          <w:rFonts w:hint="eastAsia"/>
          <w:lang w:val="en-US" w:eastAsia="zh-CN"/>
        </w:rPr>
        <w:t>运营期产生的初期雨水收集处理后全部回用项目区内降尘</w:t>
      </w:r>
      <w:r>
        <w:rPr>
          <w:rFonts w:hint="eastAsia"/>
        </w:rPr>
        <w:t>，减少了</w:t>
      </w:r>
      <w:r>
        <w:rPr>
          <w:rFonts w:hint="eastAsia"/>
          <w:lang w:val="en-US" w:eastAsia="zh-CN"/>
        </w:rPr>
        <w:t>新鲜水的使用以及</w:t>
      </w:r>
      <w:r>
        <w:rPr>
          <w:rFonts w:hint="eastAsia"/>
        </w:rPr>
        <w:t>废水排放量</w:t>
      </w:r>
      <w:r>
        <w:rPr>
          <w:rFonts w:hint="eastAsia"/>
          <w:lang w:eastAsia="zh-CN"/>
        </w:rPr>
        <w:t>。</w:t>
      </w:r>
      <w:r>
        <w:rPr>
          <w:rFonts w:hint="eastAsia"/>
          <w:lang w:val="en-US" w:eastAsia="zh-CN"/>
        </w:rPr>
        <w:t>剥离产生的表土规划存放至表土堆场内，用作绿化覆土，除尘系统收集的粉尘回掺至制砂产品中外售利用。</w:t>
      </w:r>
    </w:p>
    <w:p w14:paraId="79F81B83">
      <w:pPr>
        <w:pStyle w:val="41"/>
        <w:bidi w:val="0"/>
        <w:rPr>
          <w:rFonts w:hint="eastAsia"/>
        </w:rPr>
      </w:pPr>
      <w:r>
        <w:rPr>
          <w:rFonts w:hint="eastAsia"/>
        </w:rPr>
        <w:t>项目在生产过程中</w:t>
      </w:r>
      <w:r>
        <w:rPr>
          <w:rFonts w:hint="eastAsia"/>
          <w:lang w:val="en-US" w:eastAsia="zh-CN"/>
        </w:rPr>
        <w:t>废水固体废物等均得到有效回用或者综合利用</w:t>
      </w:r>
      <w:r>
        <w:rPr>
          <w:rFonts w:hint="eastAsia"/>
        </w:rPr>
        <w:t>，废物回收利用指标符合清洁生产的要求。</w:t>
      </w:r>
    </w:p>
    <w:p w14:paraId="6E7385F7">
      <w:pPr>
        <w:pStyle w:val="41"/>
        <w:bidi w:val="0"/>
        <w:rPr>
          <w:rFonts w:hint="eastAsia"/>
        </w:rPr>
      </w:pPr>
      <w:r>
        <w:rPr>
          <w:rFonts w:hint="eastAsia"/>
        </w:rPr>
        <w:t>（6）环境管理要求</w:t>
      </w:r>
    </w:p>
    <w:p w14:paraId="751A873B">
      <w:pPr>
        <w:pStyle w:val="41"/>
        <w:bidi w:val="0"/>
        <w:rPr>
          <w:rFonts w:hint="eastAsia"/>
        </w:rPr>
      </w:pPr>
      <w:r>
        <w:rPr>
          <w:rFonts w:hint="eastAsia"/>
        </w:rPr>
        <w:t>从环境管理方面，建设单位在生产运营过程中应该符合国家及地方环境法律法规标准要求</w:t>
      </w:r>
      <w:r>
        <w:rPr>
          <w:rFonts w:hint="eastAsia"/>
          <w:lang w:eastAsia="zh-CN"/>
        </w:rPr>
        <w:t>，</w:t>
      </w:r>
      <w:r>
        <w:rPr>
          <w:rFonts w:hint="eastAsia"/>
        </w:rPr>
        <w:t>建立并运行环境管理体系；项目将建立专门的环保机构，并配备</w:t>
      </w:r>
      <w:r>
        <w:rPr>
          <w:rFonts w:hint="eastAsia"/>
          <w:lang w:val="en-US" w:eastAsia="zh-CN"/>
        </w:rPr>
        <w:t>1</w:t>
      </w:r>
      <w:r>
        <w:rPr>
          <w:rFonts w:hint="eastAsia"/>
        </w:rPr>
        <w:t>人专门负责全厂的环境管理工作及维持环保设施的正常运转，建立环保档案及按照国家和地方有关</w:t>
      </w:r>
      <w:r>
        <w:rPr>
          <w:rFonts w:hint="eastAsia"/>
          <w:lang w:eastAsia="zh-CN"/>
        </w:rPr>
        <w:t>法律法规</w:t>
      </w:r>
      <w:r>
        <w:rPr>
          <w:rFonts w:hint="eastAsia"/>
        </w:rPr>
        <w:t>、污染物排放要求管理本项目的污染物排放；生产过程中必须加强各项环境管理，完善环境考核制度；项目在建设和投产使用后，各相关方（包括原物料供应方、生产协作方、相关服务方等）也应遵守环境管理的各项要求。</w:t>
      </w:r>
    </w:p>
    <w:p w14:paraId="19FA68F4">
      <w:pPr>
        <w:pStyle w:val="41"/>
        <w:bidi w:val="0"/>
        <w:rPr>
          <w:rFonts w:hint="eastAsia"/>
        </w:rPr>
      </w:pPr>
      <w:r>
        <w:rPr>
          <w:rFonts w:hint="eastAsia"/>
        </w:rPr>
        <w:t>（7）清洁生产评价结论</w:t>
      </w:r>
    </w:p>
    <w:p w14:paraId="603CADD0">
      <w:pPr>
        <w:pStyle w:val="41"/>
        <w:bidi w:val="0"/>
        <w:rPr>
          <w:rFonts w:hint="eastAsia"/>
        </w:rPr>
      </w:pPr>
      <w:r>
        <w:rPr>
          <w:rFonts w:hint="eastAsia"/>
        </w:rPr>
        <w:t>综上，项目严格按照设计、环评要求实施后，从生产工艺与装备指标、资源能源利用指标、污染物产生指标、产品指标、废物回收利用指标和环境管理要求六个方面的分析结果来看，本项目采用先进的工艺技术和装备，单位产品物耗、能耗、水耗等达到清洁生产先进水平，采用先进、成熟的污染防治技术，符合清洁生产的要求。</w:t>
      </w:r>
    </w:p>
    <w:p w14:paraId="38CEE7E6">
      <w:pPr>
        <w:pStyle w:val="41"/>
        <w:bidi w:val="0"/>
        <w:rPr>
          <w:rFonts w:hint="eastAsia"/>
        </w:rPr>
      </w:pPr>
      <w:r>
        <w:rPr>
          <w:rFonts w:hint="eastAsia"/>
        </w:rPr>
        <w:t>（8）清洁生产建议</w:t>
      </w:r>
    </w:p>
    <w:p w14:paraId="5466FD46">
      <w:pPr>
        <w:pStyle w:val="41"/>
        <w:bidi w:val="0"/>
        <w:rPr>
          <w:rFonts w:hint="eastAsia"/>
        </w:rPr>
      </w:pPr>
      <w:r>
        <w:rPr>
          <w:rFonts w:hint="eastAsia"/>
        </w:rPr>
        <w:t>项目在原料消耗、节约能源、污染物处理等方面均符合清洁生产。但在今后的生产和建设中还应进一步加强清洁生产工作。</w:t>
      </w:r>
    </w:p>
    <w:p w14:paraId="7A2F96DB">
      <w:pPr>
        <w:pStyle w:val="41"/>
        <w:bidi w:val="0"/>
        <w:rPr>
          <w:rFonts w:hint="eastAsia"/>
        </w:rPr>
      </w:pPr>
      <w:r>
        <w:rPr>
          <w:rFonts w:hint="eastAsia"/>
        </w:rPr>
        <w:t>①</w:t>
      </w:r>
      <w:r>
        <w:rPr>
          <w:rFonts w:hint="eastAsia"/>
          <w:lang w:val="en-US" w:eastAsia="zh-CN"/>
        </w:rPr>
        <w:t>加强设备维修维护</w:t>
      </w:r>
      <w:r>
        <w:rPr>
          <w:rFonts w:hint="eastAsia"/>
        </w:rPr>
        <w:t>，以降低</w:t>
      </w:r>
      <w:r>
        <w:rPr>
          <w:rFonts w:hint="eastAsia"/>
          <w:lang w:val="en-US" w:eastAsia="zh-CN"/>
        </w:rPr>
        <w:t>非正常工况</w:t>
      </w:r>
      <w:r>
        <w:rPr>
          <w:rFonts w:hint="eastAsia"/>
        </w:rPr>
        <w:t>能耗</w:t>
      </w:r>
      <w:r>
        <w:rPr>
          <w:rFonts w:hint="eastAsia"/>
          <w:lang w:val="en-US" w:eastAsia="zh-CN"/>
        </w:rPr>
        <w:t>增加的现象</w:t>
      </w:r>
      <w:r>
        <w:rPr>
          <w:rFonts w:hint="eastAsia"/>
        </w:rPr>
        <w:t>。</w:t>
      </w:r>
    </w:p>
    <w:p w14:paraId="61AE3D1B">
      <w:pPr>
        <w:pStyle w:val="41"/>
        <w:bidi w:val="0"/>
        <w:rPr>
          <w:rFonts w:hint="eastAsia"/>
        </w:rPr>
      </w:pPr>
      <w:r>
        <w:rPr>
          <w:rFonts w:hint="eastAsia"/>
        </w:rPr>
        <w:t>②企业逐步建立环境管理体系，提高环境管理水平，使人为的资源浪费和污染物排放量减至最低。</w:t>
      </w:r>
    </w:p>
    <w:p w14:paraId="675C41D1">
      <w:pPr>
        <w:pStyle w:val="41"/>
        <w:bidi w:val="0"/>
        <w:rPr>
          <w:rFonts w:hint="eastAsia"/>
        </w:rPr>
      </w:pPr>
      <w:r>
        <w:rPr>
          <w:rFonts w:hint="eastAsia"/>
          <w:lang w:val="en-US" w:eastAsia="zh-CN"/>
        </w:rPr>
        <w:t>③</w:t>
      </w:r>
      <w:r>
        <w:rPr>
          <w:rFonts w:hint="eastAsia"/>
        </w:rPr>
        <w:t>加强宣传、管理，完善清洁生产岗位责任制。</w:t>
      </w:r>
    </w:p>
    <w:p w14:paraId="58EC6CE4">
      <w:pPr>
        <w:pStyle w:val="2"/>
        <w:bidi w:val="0"/>
      </w:pPr>
      <w:r>
        <w:t>环境现状调查与评价</w:t>
      </w:r>
    </w:p>
    <w:p w14:paraId="47255ED9">
      <w:pPr>
        <w:pStyle w:val="3"/>
        <w:bidi w:val="0"/>
      </w:pPr>
      <w:bookmarkStart w:id="252" w:name="bookmark558"/>
      <w:bookmarkEnd w:id="252"/>
      <w:r>
        <w:t>评价区自然环境现状及经济状况</w:t>
      </w:r>
    </w:p>
    <w:p w14:paraId="011893ED">
      <w:pPr>
        <w:pStyle w:val="4"/>
        <w:bidi w:val="0"/>
      </w:pPr>
      <w:bookmarkStart w:id="253" w:name="bookmark559"/>
      <w:bookmarkEnd w:id="253"/>
      <w:r>
        <w:t>地形地貌</w:t>
      </w:r>
    </w:p>
    <w:p w14:paraId="2C45BBAA">
      <w:pPr>
        <w:pStyle w:val="41"/>
        <w:bidi w:val="0"/>
      </w:pPr>
      <w:r>
        <w:t>砚山县在滇东南岩溶高原的中部，境内六诏山脉横贯其中，山脉走向由东向西延伸，地形从西北向东南逐步倾斜，形成西北高、东南低的倾斜地势。境内最高海拔为阿舍彝族乡鲁都克村民委的马吊陡坡2263m，最低海拔为八嘎乡河流入西畴县的交界处1080m，县城海拔1540m。属滇东南岩溶丘原地貌，地处华南褶皱系滇东南褶皱带文山富宁断褶束之西畴拱凹中部，类型为山地、丘陵、盆地，其面积分别为山地2134km2、586km2、1106km2，分别占全县国土面积的55.8%、15.3%、28.9%。全境以岩溶盆地为主要地貌特征，有1平方公里以上的岩溶坝子35个，占全县总土地面积的27％；境内岩溶丘陵有167.71万亩，占全县总土地面积的29.10％；山地类型323.18万亩，占全县总土地面积的55.90％，并以中山山地、中山河谷为主要特征。</w:t>
      </w:r>
    </w:p>
    <w:p w14:paraId="34D689D5">
      <w:pPr>
        <w:pStyle w:val="41"/>
        <w:bidi w:val="0"/>
      </w:pPr>
      <w:r>
        <w:t>砚山县地质构造属华南加里东褶皱带云南弧形构造单元。经历多期次构造变动，褶皱和断裂发育且分布广泛，东部地质构造较西部</w:t>
      </w:r>
      <w:r>
        <w:rPr>
          <w:rFonts w:hint="eastAsia"/>
        </w:rPr>
        <w:t>复杂。主体构造线以北东向为主，东西向、北西向等次之。断裂构造以压扭性断裂为主。主要构造有龙所～蚌峨褶皱带、老鹰山～阿猛褶</w:t>
      </w:r>
      <w:r>
        <w:t>皱带、长岭街～倮基黑褶皱带。</w:t>
      </w:r>
    </w:p>
    <w:p w14:paraId="6F081958">
      <w:pPr>
        <w:pStyle w:val="41"/>
        <w:bidi w:val="0"/>
      </w:pPr>
      <w:r>
        <w:t>矿区地处云贵高原东南缘，属构造侵蚀、溶蚀低中山地貌，地势总体中间高四周低，矿区范围内最高点位于矿区北东部山顶，海拔1687.7m，最低点位于矿区西部，海拔1555m，相对高差132.7m。地形一般坡度27~30°</w:t>
      </w:r>
      <w:r>
        <w:rPr>
          <w:rFonts w:hint="eastAsia"/>
          <w:lang w:eastAsia="zh-CN"/>
        </w:rPr>
        <w:t>，</w:t>
      </w:r>
      <w:r>
        <w:t>局部坡度48°。总体地形地貌条件简单。矿区周边地形平缓地带多为旱地，矿区内均为荒山，植被弱发育，大部岩石裸露地表，无天然保护林和可用经济林，山坡和地坎生长有灌木、杂草及少量小乔木。</w:t>
      </w:r>
    </w:p>
    <w:p w14:paraId="3311FE98">
      <w:pPr>
        <w:pStyle w:val="4"/>
        <w:bidi w:val="0"/>
      </w:pPr>
      <w:r>
        <w:t>地质构造</w:t>
      </w:r>
    </w:p>
    <w:p w14:paraId="6417B134">
      <w:pPr>
        <w:pStyle w:val="5"/>
        <w:bidi w:val="0"/>
      </w:pPr>
      <w:bookmarkStart w:id="254" w:name="_Toc127904102"/>
      <w:bookmarkStart w:id="255" w:name="_Toc129356778"/>
      <w:bookmarkStart w:id="256" w:name="_Toc218265571"/>
      <w:bookmarkStart w:id="257" w:name="_Toc527619916"/>
      <w:bookmarkStart w:id="258" w:name="_Toc42875432"/>
      <w:bookmarkStart w:id="259" w:name="_Toc445760218"/>
      <w:bookmarkStart w:id="260" w:name="_Toc171614587"/>
      <w:bookmarkStart w:id="261" w:name="_Toc130798180"/>
      <w:bookmarkStart w:id="262" w:name="_Toc443612843"/>
      <w:bookmarkStart w:id="263" w:name="_Toc116314057"/>
      <w:bookmarkStart w:id="264" w:name="_Toc387819796"/>
      <w:bookmarkStart w:id="265" w:name="_Toc468997897"/>
      <w:bookmarkStart w:id="266" w:name="_Toc349026613"/>
      <w:bookmarkStart w:id="267" w:name="_Toc535779737"/>
      <w:bookmarkStart w:id="268" w:name="_Toc24060093"/>
      <w:bookmarkStart w:id="269" w:name="_Toc481514484"/>
      <w:bookmarkStart w:id="270" w:name="_Toc4990234"/>
      <w:bookmarkStart w:id="271" w:name="_Toc349865496"/>
      <w:bookmarkStart w:id="272" w:name="_Toc521490333"/>
      <w:bookmarkStart w:id="273" w:name="_Toc347129859"/>
      <w:bookmarkStart w:id="274" w:name="_Toc112330927"/>
      <w:bookmarkStart w:id="275" w:name="_Toc126989125"/>
      <w:bookmarkStart w:id="276" w:name="_Toc118045976"/>
      <w:bookmarkStart w:id="277" w:name="_Toc311129161"/>
      <w:bookmarkStart w:id="278" w:name="_Toc387225246"/>
      <w:bookmarkStart w:id="279" w:name="_Toc347129751"/>
      <w:bookmarkStart w:id="280" w:name="_Toc385627303"/>
      <w:bookmarkStart w:id="281" w:name="_Toc128881798"/>
      <w:bookmarkStart w:id="282" w:name="_Toc385930203"/>
      <w:bookmarkStart w:id="283" w:name="_Toc387819319"/>
      <w:bookmarkStart w:id="284" w:name="_Toc116313895"/>
      <w:bookmarkStart w:id="285" w:name="_Toc76533646"/>
      <w:bookmarkStart w:id="286" w:name="_Toc180780448"/>
      <w:bookmarkStart w:id="287" w:name="_Toc185962276"/>
      <w:bookmarkStart w:id="288" w:name="_Toc347752966"/>
      <w:bookmarkStart w:id="289" w:name="_Toc111564739"/>
      <w:bookmarkStart w:id="290" w:name="_Toc382989611"/>
      <w:bookmarkStart w:id="291" w:name="_Toc349865566"/>
      <w:bookmarkStart w:id="292" w:name="_Toc349865641"/>
      <w:bookmarkStart w:id="293" w:name="_Toc177583157"/>
      <w:bookmarkStart w:id="294" w:name="_Toc382498328"/>
      <w:bookmarkStart w:id="295" w:name="_Toc170207384"/>
      <w:bookmarkStart w:id="296" w:name="_Toc111564614"/>
      <w:bookmarkStart w:id="297" w:name="_Toc460965433"/>
      <w:bookmarkStart w:id="298" w:name="_Toc45095066"/>
      <w:r>
        <w:t>区域地质</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1A0D81CC">
      <w:pPr>
        <w:pStyle w:val="6"/>
        <w:bidi w:val="0"/>
      </w:pPr>
      <w:bookmarkStart w:id="299" w:name="_Toc183021271"/>
      <w:bookmarkStart w:id="300" w:name="_Toc211267965"/>
      <w:bookmarkStart w:id="301" w:name="_Toc265047253"/>
      <w:bookmarkStart w:id="302" w:name="_Toc267270787"/>
      <w:r>
        <w:rPr>
          <w:rFonts w:hint="eastAsia"/>
        </w:rPr>
        <w:t>地层</w:t>
      </w:r>
      <w:bookmarkEnd w:id="299"/>
      <w:bookmarkEnd w:id="300"/>
    </w:p>
    <w:p w14:paraId="407EBBDC">
      <w:pPr>
        <w:pStyle w:val="41"/>
        <w:bidi w:val="0"/>
      </w:pPr>
      <w:r>
        <w:rPr>
          <w:rFonts w:hint="eastAsia"/>
        </w:rPr>
        <w:t>区域内出露地层主要有下第三系（Ey）、三叠系（T）、二叠系（P）、石炭系（C）、泥盆系（D）、奥陶系（O）、寒武系（∈）等。据区域地质资料，由老至新分述如下：</w:t>
      </w:r>
    </w:p>
    <w:p w14:paraId="58F9BB84">
      <w:pPr>
        <w:pStyle w:val="41"/>
        <w:bidi w:val="0"/>
      </w:pPr>
      <w:r>
        <w:rPr>
          <w:rFonts w:hint="eastAsia"/>
        </w:rPr>
        <w:t>（</w:t>
      </w:r>
      <w:r>
        <w:t>1</w:t>
      </w:r>
      <w:r>
        <w:rPr>
          <w:rFonts w:hint="eastAsia"/>
        </w:rPr>
        <w:t>）寒武系上统歇场组（∈3x）</w:t>
      </w:r>
    </w:p>
    <w:p w14:paraId="7F9B9390">
      <w:pPr>
        <w:pStyle w:val="41"/>
        <w:bidi w:val="0"/>
      </w:pPr>
      <w:r>
        <w:rPr>
          <w:rFonts w:hint="eastAsia"/>
        </w:rPr>
        <w:t>岩性为</w:t>
      </w:r>
      <w:bookmarkStart w:id="303" w:name="OLE_LINK3"/>
      <w:r>
        <w:rPr>
          <w:rFonts w:hint="eastAsia"/>
        </w:rPr>
        <w:t>灰色白云岩、泥质条带白云质灰岩，夹少量粉砂岩，区域厚335</w:t>
      </w:r>
      <w:r>
        <w:rPr>
          <w:rFonts w:hint="eastAsia"/>
          <w:lang w:eastAsia="zh-CN"/>
        </w:rPr>
        <w:t>～</w:t>
      </w:r>
      <w:r>
        <w:rPr>
          <w:rFonts w:hint="eastAsia"/>
        </w:rPr>
        <w:t>505m，与下伏地层呈不整合接触。</w:t>
      </w:r>
    </w:p>
    <w:bookmarkEnd w:id="303"/>
    <w:p w14:paraId="0E78E8A3">
      <w:pPr>
        <w:pStyle w:val="41"/>
        <w:bidi w:val="0"/>
      </w:pPr>
      <w:r>
        <w:rPr>
          <w:rFonts w:hint="eastAsia"/>
        </w:rPr>
        <w:t>（</w:t>
      </w:r>
      <w:r>
        <w:t>2</w:t>
      </w:r>
      <w:r>
        <w:rPr>
          <w:rFonts w:hint="eastAsia"/>
        </w:rPr>
        <w:t>）奥陶系下统红花园组（O1hn）</w:t>
      </w:r>
    </w:p>
    <w:p w14:paraId="4F81694A">
      <w:pPr>
        <w:pStyle w:val="41"/>
        <w:bidi w:val="0"/>
      </w:pPr>
      <w:r>
        <w:rPr>
          <w:rFonts w:hint="eastAsia"/>
        </w:rPr>
        <w:t>上部为灰色中厚层状缅状灰岩，及泥质灰岩，下部灰色中厚层状白云质灰岩夹泥质灰岩。区域厚260</w:t>
      </w:r>
      <w:r>
        <w:rPr>
          <w:rFonts w:hint="eastAsia"/>
          <w:lang w:eastAsia="zh-CN"/>
        </w:rPr>
        <w:t>～</w:t>
      </w:r>
      <w:r>
        <w:rPr>
          <w:rFonts w:hint="eastAsia"/>
        </w:rPr>
        <w:t>380m，与呈整合接触。</w:t>
      </w:r>
    </w:p>
    <w:p w14:paraId="32B11EF0">
      <w:pPr>
        <w:pStyle w:val="41"/>
        <w:bidi w:val="0"/>
      </w:pPr>
      <w:r>
        <w:rPr>
          <w:rFonts w:hint="eastAsia"/>
        </w:rPr>
        <w:t>（3）奥陶系下统红花园组（O1m）</w:t>
      </w:r>
    </w:p>
    <w:p w14:paraId="4FFCBBF9">
      <w:pPr>
        <w:pStyle w:val="41"/>
        <w:bidi w:val="0"/>
      </w:pPr>
      <w:r>
        <w:rPr>
          <w:rFonts w:hint="eastAsia"/>
        </w:rPr>
        <w:t>上部为黄色石英砂岩夹灰绿色页岩、粉砂岩。区域厚604m，与呈整合接触。</w:t>
      </w:r>
    </w:p>
    <w:p w14:paraId="2DC410AE">
      <w:pPr>
        <w:pStyle w:val="41"/>
        <w:bidi w:val="0"/>
      </w:pPr>
      <w:r>
        <w:rPr>
          <w:rFonts w:hint="eastAsia"/>
        </w:rPr>
        <w:t>（4）泥盆系下统翠峰山组（D1c）</w:t>
      </w:r>
    </w:p>
    <w:p w14:paraId="55C0B927">
      <w:pPr>
        <w:pStyle w:val="41"/>
        <w:bidi w:val="0"/>
      </w:pPr>
      <w:r>
        <w:rPr>
          <w:rFonts w:hint="eastAsia"/>
        </w:rPr>
        <w:t>岩性上部紫灰、棕红色页岩，夹细砂岩；中部灰白色中厚层状细砂岩；下部紫红色页岩、粉砂质页岩与石英细砂岩、粉砂岩不等厚互层，区域厚1334m，与下伏地层整合接触。</w:t>
      </w:r>
    </w:p>
    <w:p w14:paraId="5D8BF41E">
      <w:pPr>
        <w:pStyle w:val="41"/>
        <w:bidi w:val="0"/>
      </w:pPr>
      <w:r>
        <w:rPr>
          <w:rFonts w:hint="eastAsia"/>
        </w:rPr>
        <w:t>（5）泥盆系下统坡脚组（D1p）</w:t>
      </w:r>
    </w:p>
    <w:p w14:paraId="5D2112C4">
      <w:pPr>
        <w:pStyle w:val="41"/>
        <w:bidi w:val="0"/>
      </w:pPr>
      <w:r>
        <w:rPr>
          <w:rFonts w:hint="eastAsia"/>
        </w:rPr>
        <w:t>岩性为棕黄、灰绿色泥岩、粉砂质泥岩、页岩，局部地区夹泥灰岩，区域厚43</w:t>
      </w:r>
      <w:r>
        <w:rPr>
          <w:rFonts w:hint="eastAsia"/>
          <w:lang w:eastAsia="zh-CN"/>
        </w:rPr>
        <w:t>～</w:t>
      </w:r>
      <w:r>
        <w:rPr>
          <w:rFonts w:hint="eastAsia"/>
        </w:rPr>
        <w:t>264m，与下伏地层呈假整合接触。</w:t>
      </w:r>
    </w:p>
    <w:p w14:paraId="58D9CA4F">
      <w:pPr>
        <w:pStyle w:val="41"/>
        <w:bidi w:val="0"/>
      </w:pPr>
      <w:r>
        <w:rPr>
          <w:rFonts w:hint="eastAsia"/>
        </w:rPr>
        <w:t>（6）泥盆系中统古木组（D2g）</w:t>
      </w:r>
    </w:p>
    <w:p w14:paraId="36332220">
      <w:pPr>
        <w:pStyle w:val="41"/>
        <w:bidi w:val="0"/>
      </w:pPr>
      <w:r>
        <w:rPr>
          <w:rFonts w:hint="eastAsia"/>
        </w:rPr>
        <w:t>岩性为灰黑色中薄层状泥灰岩和厚层状白云岩不等厚互层，区域厚84</w:t>
      </w:r>
      <w:r>
        <w:rPr>
          <w:rFonts w:hint="eastAsia"/>
          <w:lang w:eastAsia="zh-CN"/>
        </w:rPr>
        <w:t>～</w:t>
      </w:r>
      <w:r>
        <w:rPr>
          <w:rFonts w:hint="eastAsia"/>
        </w:rPr>
        <w:t>553m，与呈整合接触。</w:t>
      </w:r>
    </w:p>
    <w:p w14:paraId="62B0EEE7">
      <w:pPr>
        <w:pStyle w:val="41"/>
        <w:bidi w:val="0"/>
      </w:pPr>
      <w:r>
        <w:rPr>
          <w:rFonts w:hint="eastAsia"/>
        </w:rPr>
        <w:t>（7）泥盆系下统东岗岭组（D1d）</w:t>
      </w:r>
    </w:p>
    <w:p w14:paraId="38CA067C">
      <w:pPr>
        <w:pStyle w:val="41"/>
        <w:bidi w:val="0"/>
      </w:pPr>
      <w:r>
        <w:rPr>
          <w:rFonts w:hint="eastAsia"/>
        </w:rPr>
        <w:t>岩性为灰黑色泥灰岩，夹白云岩、白云质灰岩，区域厚50</w:t>
      </w:r>
      <w:r>
        <w:rPr>
          <w:rFonts w:hint="eastAsia"/>
          <w:lang w:eastAsia="zh-CN"/>
        </w:rPr>
        <w:t>～</w:t>
      </w:r>
      <w:r>
        <w:rPr>
          <w:rFonts w:hint="eastAsia"/>
        </w:rPr>
        <w:t>161m，与下伏地层泥盆系下统坡脚组呈假整合接触。</w:t>
      </w:r>
    </w:p>
    <w:p w14:paraId="39679279">
      <w:pPr>
        <w:pStyle w:val="41"/>
        <w:bidi w:val="0"/>
      </w:pPr>
      <w:r>
        <w:rPr>
          <w:rFonts w:hint="eastAsia"/>
        </w:rPr>
        <w:t>（8）石炭系下统董有组（C1dn）</w:t>
      </w:r>
    </w:p>
    <w:p w14:paraId="556AF41D">
      <w:pPr>
        <w:pStyle w:val="41"/>
        <w:bidi w:val="0"/>
      </w:pPr>
      <w:r>
        <w:rPr>
          <w:rFonts w:hint="eastAsia"/>
        </w:rPr>
        <w:t>岩性为灰白色、暗灰色厚层状灰岩、生物碎屑灰岩，区域厚89</w:t>
      </w:r>
      <w:r>
        <w:rPr>
          <w:rFonts w:hint="eastAsia"/>
          <w:lang w:eastAsia="zh-CN"/>
        </w:rPr>
        <w:t>～</w:t>
      </w:r>
      <w:r>
        <w:rPr>
          <w:rFonts w:hint="eastAsia"/>
        </w:rPr>
        <w:t>95m，与下伏地层呈整合接触。</w:t>
      </w:r>
    </w:p>
    <w:p w14:paraId="0323D34E">
      <w:pPr>
        <w:pStyle w:val="41"/>
        <w:bidi w:val="0"/>
      </w:pPr>
      <w:r>
        <w:rPr>
          <w:rFonts w:hint="eastAsia"/>
        </w:rPr>
        <w:t>（9）石炭系下统大塘组（C1d）</w:t>
      </w:r>
    </w:p>
    <w:p w14:paraId="106E17DA">
      <w:pPr>
        <w:pStyle w:val="41"/>
        <w:bidi w:val="0"/>
      </w:pPr>
      <w:r>
        <w:rPr>
          <w:rFonts w:hint="eastAsia"/>
        </w:rPr>
        <w:t>岩性为灰白色、暗灰色厚层状灰岩、生物碎屑灰岩，区域厚27</w:t>
      </w:r>
      <w:r>
        <w:rPr>
          <w:rFonts w:hint="eastAsia"/>
          <w:lang w:eastAsia="zh-CN"/>
        </w:rPr>
        <w:t>～</w:t>
      </w:r>
      <w:r>
        <w:rPr>
          <w:rFonts w:hint="eastAsia"/>
        </w:rPr>
        <w:t>326m，与下伏地层呈整合接触。</w:t>
      </w:r>
    </w:p>
    <w:p w14:paraId="6A95C8BB">
      <w:pPr>
        <w:pStyle w:val="41"/>
        <w:bidi w:val="0"/>
      </w:pPr>
      <w:r>
        <w:rPr>
          <w:rFonts w:hint="eastAsia"/>
        </w:rPr>
        <w:t>（10）石炭系中统威宁组（C2w）</w:t>
      </w:r>
    </w:p>
    <w:p w14:paraId="0F42AA2B">
      <w:pPr>
        <w:pStyle w:val="41"/>
        <w:bidi w:val="0"/>
      </w:pPr>
      <w:r>
        <w:rPr>
          <w:rFonts w:hint="eastAsia"/>
        </w:rPr>
        <w:t>岩性为浅灰色厚层状灰岩，局部为硅质条带和团块灰岩，区域厚121</w:t>
      </w:r>
      <w:r>
        <w:rPr>
          <w:rFonts w:hint="eastAsia"/>
          <w:lang w:eastAsia="zh-CN"/>
        </w:rPr>
        <w:t>～</w:t>
      </w:r>
      <w:r>
        <w:rPr>
          <w:rFonts w:hint="eastAsia"/>
        </w:rPr>
        <w:t>169m，与下伏地层呈整合接触。</w:t>
      </w:r>
    </w:p>
    <w:p w14:paraId="0B86ED3F">
      <w:pPr>
        <w:pStyle w:val="41"/>
        <w:bidi w:val="0"/>
      </w:pPr>
      <w:r>
        <w:rPr>
          <w:rFonts w:hint="eastAsia"/>
        </w:rPr>
        <w:t>（11）石炭系上统马平组（C3m）</w:t>
      </w:r>
    </w:p>
    <w:p w14:paraId="52483126">
      <w:pPr>
        <w:pStyle w:val="41"/>
        <w:bidi w:val="0"/>
      </w:pPr>
      <w:r>
        <w:rPr>
          <w:rFonts w:hint="eastAsia"/>
        </w:rPr>
        <w:t>岩性为浅灰色厚层状块状灰岩，区域厚42</w:t>
      </w:r>
      <w:r>
        <w:rPr>
          <w:rFonts w:hint="eastAsia"/>
          <w:lang w:eastAsia="zh-CN"/>
        </w:rPr>
        <w:t>～</w:t>
      </w:r>
      <w:r>
        <w:rPr>
          <w:rFonts w:hint="eastAsia"/>
        </w:rPr>
        <w:t>198m，与下伏地层呈整合接触。</w:t>
      </w:r>
    </w:p>
    <w:p w14:paraId="36925F8A">
      <w:pPr>
        <w:pStyle w:val="41"/>
        <w:bidi w:val="0"/>
      </w:pPr>
      <w:r>
        <w:rPr>
          <w:rFonts w:hint="eastAsia"/>
        </w:rPr>
        <w:t>（12）二叠系下统（P1）</w:t>
      </w:r>
    </w:p>
    <w:p w14:paraId="2867F7B8">
      <w:pPr>
        <w:pStyle w:val="41"/>
        <w:bidi w:val="0"/>
      </w:pPr>
      <w:r>
        <w:rPr>
          <w:rFonts w:hint="eastAsia"/>
        </w:rPr>
        <w:t>岩性为浅灰色厚层状、块状灰岩，区域厚56</w:t>
      </w:r>
      <w:r>
        <w:rPr>
          <w:rFonts w:hint="eastAsia"/>
          <w:lang w:eastAsia="zh-CN"/>
        </w:rPr>
        <w:t>～</w:t>
      </w:r>
      <w:r>
        <w:rPr>
          <w:rFonts w:hint="eastAsia"/>
        </w:rPr>
        <w:t>507m，与呈整合接触。</w:t>
      </w:r>
    </w:p>
    <w:p w14:paraId="3797055E">
      <w:pPr>
        <w:pStyle w:val="41"/>
        <w:bidi w:val="0"/>
      </w:pPr>
      <w:r>
        <w:rPr>
          <w:rFonts w:hint="eastAsia"/>
        </w:rPr>
        <w:t>（13）二叠系上统吴家坪组（P2w）</w:t>
      </w:r>
    </w:p>
    <w:p w14:paraId="37B5B17A">
      <w:pPr>
        <w:pStyle w:val="41"/>
        <w:bidi w:val="0"/>
      </w:pPr>
      <w:r>
        <w:rPr>
          <w:rFonts w:hint="eastAsia"/>
        </w:rPr>
        <w:t>岩性上部灰白色及深灰色厚层状块状白云岩；中部深灰色及灰黑色厚层状-块状生物碎屑灰岩；下部灰黑色炭质页岩、铝土质岩，区域厚119</w:t>
      </w:r>
      <w:r>
        <w:rPr>
          <w:rFonts w:hint="eastAsia"/>
          <w:lang w:eastAsia="zh-CN"/>
        </w:rPr>
        <w:t>～</w:t>
      </w:r>
      <w:r>
        <w:rPr>
          <w:rFonts w:hint="eastAsia"/>
        </w:rPr>
        <w:t>266m，与下伏地层呈不整合接触。</w:t>
      </w:r>
    </w:p>
    <w:p w14:paraId="5066765A">
      <w:pPr>
        <w:pStyle w:val="41"/>
        <w:bidi w:val="0"/>
      </w:pPr>
      <w:r>
        <w:rPr>
          <w:rFonts w:hint="eastAsia"/>
        </w:rPr>
        <w:t>（14）三叠系下统洗马塘组（T1x）</w:t>
      </w:r>
    </w:p>
    <w:p w14:paraId="05D73D28">
      <w:pPr>
        <w:pStyle w:val="41"/>
        <w:bidi w:val="0"/>
      </w:pPr>
      <w:r>
        <w:rPr>
          <w:rFonts w:hint="eastAsia"/>
        </w:rPr>
        <w:t>岩性为深灰色薄层状泥灰岩，区域厚23</w:t>
      </w:r>
      <w:r>
        <w:rPr>
          <w:rFonts w:hint="eastAsia"/>
          <w:lang w:eastAsia="zh-CN"/>
        </w:rPr>
        <w:t>～</w:t>
      </w:r>
      <w:r>
        <w:rPr>
          <w:rFonts w:hint="eastAsia"/>
        </w:rPr>
        <w:t>248m，与下伏地层呈不整合接触。</w:t>
      </w:r>
    </w:p>
    <w:p w14:paraId="2D51CE92">
      <w:pPr>
        <w:pStyle w:val="41"/>
        <w:bidi w:val="0"/>
      </w:pPr>
      <w:r>
        <w:rPr>
          <w:rFonts w:hint="eastAsia"/>
        </w:rPr>
        <w:t>（15）三叠系下飞仙关组（T1f）</w:t>
      </w:r>
    </w:p>
    <w:p w14:paraId="366E82DE">
      <w:pPr>
        <w:pStyle w:val="41"/>
        <w:bidi w:val="0"/>
      </w:pPr>
      <w:r>
        <w:rPr>
          <w:rFonts w:hint="eastAsia"/>
        </w:rPr>
        <w:t>岩性为紫色薄层状粉砂质泥岩，夹粉细砂岩、黄色泥岩，区域厚23</w:t>
      </w:r>
      <w:r>
        <w:rPr>
          <w:rFonts w:hint="eastAsia"/>
          <w:lang w:eastAsia="zh-CN"/>
        </w:rPr>
        <w:t>～</w:t>
      </w:r>
      <w:r>
        <w:rPr>
          <w:rFonts w:hint="eastAsia"/>
        </w:rPr>
        <w:t>248m，与下伏地层呈不整合接触。</w:t>
      </w:r>
    </w:p>
    <w:p w14:paraId="489F5198">
      <w:pPr>
        <w:pStyle w:val="41"/>
        <w:bidi w:val="0"/>
      </w:pPr>
      <w:r>
        <w:rPr>
          <w:rFonts w:hint="eastAsia"/>
        </w:rPr>
        <w:t>（16）三叠系下统永宁镇组（T1y）</w:t>
      </w:r>
    </w:p>
    <w:p w14:paraId="230A10FB">
      <w:pPr>
        <w:pStyle w:val="41"/>
        <w:bidi w:val="0"/>
      </w:pPr>
      <w:r>
        <w:rPr>
          <w:rFonts w:hint="eastAsia"/>
        </w:rPr>
        <w:t>岩性为深灰色泥灰岩，区域厚43</w:t>
      </w:r>
      <w:r>
        <w:rPr>
          <w:rFonts w:hint="eastAsia"/>
          <w:lang w:eastAsia="zh-CN"/>
        </w:rPr>
        <w:t>～</w:t>
      </w:r>
      <w:r>
        <w:rPr>
          <w:rFonts w:hint="eastAsia"/>
        </w:rPr>
        <w:t>472m，与下伏地层呈整合接触。</w:t>
      </w:r>
    </w:p>
    <w:p w14:paraId="543A4214">
      <w:pPr>
        <w:pStyle w:val="41"/>
        <w:bidi w:val="0"/>
      </w:pPr>
      <w:r>
        <w:rPr>
          <w:rFonts w:hint="eastAsia"/>
        </w:rPr>
        <w:t>（17）三叠系中统个旧组一段（T2ga）</w:t>
      </w:r>
    </w:p>
    <w:p w14:paraId="5A05CB63">
      <w:pPr>
        <w:pStyle w:val="41"/>
        <w:bidi w:val="0"/>
      </w:pPr>
      <w:r>
        <w:rPr>
          <w:rFonts w:hint="eastAsia"/>
        </w:rPr>
        <w:t>岩性为灰岩、深灰色中厚层状白云岩、夹白云质灰岩，区域厚0~555m，与下伏地层三叠系下统嘉陵江组呈整合接触。</w:t>
      </w:r>
    </w:p>
    <w:p w14:paraId="2B5871CD">
      <w:pPr>
        <w:pStyle w:val="41"/>
        <w:bidi w:val="0"/>
      </w:pPr>
      <w:r>
        <w:rPr>
          <w:rFonts w:hint="eastAsia"/>
        </w:rPr>
        <w:t>（18）三叠系中统个旧组二段（T2gb）</w:t>
      </w:r>
    </w:p>
    <w:p w14:paraId="7B12A155">
      <w:pPr>
        <w:pStyle w:val="41"/>
        <w:bidi w:val="0"/>
      </w:pPr>
      <w:r>
        <w:rPr>
          <w:rFonts w:hint="eastAsia"/>
        </w:rPr>
        <w:t>岩性为灰岩、深灰色中厚层状灰岩，夹白云质灰岩，区域厚0~1308m，与下伏地层三叠系中统个旧组一段呈整合接触。</w:t>
      </w:r>
    </w:p>
    <w:p w14:paraId="14C42E3F">
      <w:pPr>
        <w:pStyle w:val="41"/>
        <w:bidi w:val="0"/>
      </w:pPr>
      <w:r>
        <w:rPr>
          <w:rFonts w:hint="eastAsia"/>
        </w:rPr>
        <w:t>（19）下第三系砚山组（Ey）</w:t>
      </w:r>
    </w:p>
    <w:p w14:paraId="3A774CCD">
      <w:pPr>
        <w:pStyle w:val="41"/>
        <w:bidi w:val="0"/>
      </w:pPr>
      <w:r>
        <w:rPr>
          <w:rFonts w:hint="eastAsia"/>
        </w:rPr>
        <w:t>岩性上部为紫红色、紫褐色中薄层含砾细砂岩，夹紫红色砂质泥岩；下部为灰色、深灰色砾岩，区域厚148</w:t>
      </w:r>
      <w:r>
        <w:rPr>
          <w:rFonts w:hint="eastAsia"/>
          <w:lang w:eastAsia="zh-CN"/>
        </w:rPr>
        <w:t>～</w:t>
      </w:r>
      <w:r>
        <w:rPr>
          <w:rFonts w:hint="eastAsia"/>
        </w:rPr>
        <w:t>623m，与下伏地层三叠系中统法郎组呈不整合接触。</w:t>
      </w:r>
    </w:p>
    <w:p w14:paraId="0DCA2626">
      <w:pPr>
        <w:pStyle w:val="6"/>
        <w:bidi w:val="0"/>
      </w:pPr>
      <w:bookmarkStart w:id="304" w:name="_Toc211267966"/>
      <w:bookmarkStart w:id="305" w:name="_Toc183021272"/>
      <w:r>
        <w:rPr>
          <w:rFonts w:hint="eastAsia"/>
        </w:rPr>
        <w:t>构造</w:t>
      </w:r>
      <w:bookmarkEnd w:id="304"/>
      <w:bookmarkEnd w:id="305"/>
    </w:p>
    <w:p w14:paraId="62959FAE">
      <w:pPr>
        <w:pStyle w:val="41"/>
        <w:bidi w:val="0"/>
      </w:pPr>
      <w:r>
        <w:rPr>
          <w:rFonts w:hint="eastAsia"/>
        </w:rPr>
        <w:t>华南褶皱系滇东南褶皱带文山-富宁断褶束，主体构造格架为向北西突出的大型弧形构造带，呈半环形展布，核心构造单元为文山-阿猛褶皱带，配套发育文山断裂、阿猛断裂等区域性断裂，构造线方向由南向北呈规律性转折。</w:t>
      </w:r>
    </w:p>
    <w:p w14:paraId="211BC51B">
      <w:pPr>
        <w:pStyle w:val="41"/>
        <w:bidi w:val="0"/>
      </w:pPr>
      <w:r>
        <w:t>文山</w:t>
      </w:r>
      <w:r>
        <w:rPr>
          <w:rFonts w:hint="eastAsia"/>
        </w:rPr>
        <w:t>-</w:t>
      </w:r>
      <w:r>
        <w:t>阿猛褶皱带</w:t>
      </w:r>
      <w:r>
        <w:rPr>
          <w:rFonts w:hint="eastAsia"/>
        </w:rPr>
        <w:t>：北接砚山断裂，南连文山断裂与薄竹山拱褶，西临红河断裂影响带，东与阿猛断裂相邻，整体处于扬子准地台南缘与越北古陆北缘的过渡带。呈NNE-NE向弧形延伸，长约60</w:t>
      </w:r>
      <w:r>
        <w:rPr>
          <w:rFonts w:hint="eastAsia"/>
          <w:lang w:eastAsia="zh-CN"/>
        </w:rPr>
        <w:t>—</w:t>
      </w:r>
      <w:r>
        <w:rPr>
          <w:rFonts w:hint="eastAsia"/>
        </w:rPr>
        <w:t>80km，宽20</w:t>
      </w:r>
      <w:r>
        <w:rPr>
          <w:rFonts w:hint="eastAsia"/>
          <w:lang w:eastAsia="zh-CN"/>
        </w:rPr>
        <w:t>—</w:t>
      </w:r>
      <w:r>
        <w:rPr>
          <w:rFonts w:hint="eastAsia"/>
        </w:rPr>
        <w:t>30km，构造线方向与区域主应力场方向一致，变形强度自南向北减弱。</w:t>
      </w:r>
    </w:p>
    <w:p w14:paraId="4165700E">
      <w:pPr>
        <w:pStyle w:val="41"/>
        <w:bidi w:val="0"/>
      </w:pPr>
      <w:r>
        <w:rPr>
          <w:rFonts w:hint="eastAsia"/>
        </w:rPr>
        <w:t>文山断裂：北起文山城区北缘，南经文山、麻栗坡延入越南，全长约150km，宽数十余米至数百米，呈NNE向弧形展布，局部转为NE向，与区域构造线一致。走向NNE-NE向，呈向南西突出的弧形，与文山-阿猛褶皱带轴向平行，局部NE向，倾向SE向，倾角</w:t>
      </w:r>
      <w:r>
        <w:t>50°~70°</w:t>
      </w:r>
      <w:r>
        <w:rPr>
          <w:rFonts w:hint="eastAsia"/>
        </w:rPr>
        <w:t>。</w:t>
      </w:r>
    </w:p>
    <w:p w14:paraId="1A542EC9">
      <w:pPr>
        <w:pStyle w:val="41"/>
        <w:bidi w:val="0"/>
      </w:pPr>
      <w:r>
        <w:rPr>
          <w:rFonts w:hint="eastAsia"/>
        </w:rPr>
        <w:t>阿猛断裂：阿猛断裂是滇东南文山-富宁断褶束北部区域性压扭断裂，呈NNE-NE向弧形展布，长60</w:t>
      </w:r>
      <w:r>
        <w:rPr>
          <w:rFonts w:hint="eastAsia"/>
          <w:lang w:eastAsia="zh-CN"/>
        </w:rPr>
        <w:t>～</w:t>
      </w:r>
      <w:r>
        <w:rPr>
          <w:rFonts w:hint="eastAsia"/>
        </w:rPr>
        <w:t>70km。</w:t>
      </w:r>
    </w:p>
    <w:p w14:paraId="2A9387E6">
      <w:pPr>
        <w:pStyle w:val="6"/>
        <w:bidi w:val="0"/>
      </w:pPr>
      <w:bookmarkStart w:id="306" w:name="_Toc183021273"/>
      <w:bookmarkStart w:id="307" w:name="_Toc211267967"/>
      <w:r>
        <w:rPr>
          <w:rFonts w:hint="eastAsia"/>
        </w:rPr>
        <w:t>岩浆岩</w:t>
      </w:r>
      <w:bookmarkEnd w:id="306"/>
      <w:bookmarkEnd w:id="307"/>
    </w:p>
    <w:p w14:paraId="6363E394">
      <w:pPr>
        <w:pStyle w:val="41"/>
        <w:bidi w:val="0"/>
      </w:pPr>
      <w:r>
        <w:rPr>
          <w:rFonts w:hint="eastAsia"/>
        </w:rPr>
        <w:t>根据《1:2</w:t>
      </w:r>
      <w:r>
        <w:t>0</w:t>
      </w:r>
      <w:r>
        <w:rPr>
          <w:rFonts w:hint="eastAsia"/>
        </w:rPr>
        <w:t>万文山幅区域地质调查报告》，该区域主要岩浆岩以酸性侵入岩和基性、酸性喷出岩为主。</w:t>
      </w:r>
    </w:p>
    <w:p w14:paraId="0A1E9649">
      <w:pPr>
        <w:pStyle w:val="41"/>
        <w:bidi w:val="0"/>
      </w:pPr>
      <w:r>
        <w:rPr>
          <w:rFonts w:hint="eastAsia"/>
        </w:rPr>
        <w:t>酸性侵入岩主要为早第三纪酸性侵入岩，分布于砚山县城以西5公里的龙潭寨，由5个小岩体组成。各个岩体侵入下奥陶统红花园组中，长轴为北北东向，与该区构造方向一致，出露面积约0</w:t>
      </w:r>
      <w:r>
        <w:t>.4</w:t>
      </w:r>
      <w:r>
        <w:rPr>
          <w:rFonts w:hint="eastAsia"/>
        </w:rPr>
        <w:t>km2，岩类单一，均为透长石花岗斑岩，岩石风化较深，覆盖较广。</w:t>
      </w:r>
    </w:p>
    <w:p w14:paraId="5278291D">
      <w:pPr>
        <w:pStyle w:val="41"/>
        <w:bidi w:val="0"/>
      </w:pPr>
      <w:r>
        <w:rPr>
          <w:rFonts w:hint="eastAsia"/>
        </w:rPr>
        <w:t>晚二叠世基性喷出岩，分布于图幅区域内西南文山-麻栗坡断裂以南的他痴地区，出露面积约</w:t>
      </w:r>
      <w:r>
        <w:t>71</w:t>
      </w:r>
      <w:r>
        <w:rPr>
          <w:rFonts w:hint="eastAsia"/>
        </w:rPr>
        <w:t>km</w:t>
      </w:r>
      <w:r>
        <w:rPr>
          <w:rFonts w:hint="eastAsia"/>
          <w:vertAlign w:val="superscript"/>
        </w:rPr>
        <w:t>2</w:t>
      </w:r>
      <w:r>
        <w:rPr>
          <w:rFonts w:hint="eastAsia"/>
        </w:rPr>
        <w:t>，岩性主要为峨眉山玄武岩，由基性熔岩和火山碎屑岩组成，其熔岩分为致密玄武岩类和杏仁状半玻晶玄武岩两类，致密玄武岩呈褐绿、灰黑色，成分由斜长石、玻璃质和绿泥石组成；杏仁状半玻晶玄武岩，此类岩石位于喷发旋回顶部，已全部风化为灰绿、红绿色，节理发育，铁染较重，致密块状，杏仁状构造，岩石成分与致密玄武岩相似，其杏仁充填物为绿泥石和石英，杏仁大小一般为0</w:t>
      </w:r>
      <w:r>
        <w:t>.02</w:t>
      </w:r>
      <w:r>
        <w:rPr>
          <w:rFonts w:hint="eastAsia"/>
          <w:lang w:eastAsia="zh-CN"/>
        </w:rPr>
        <w:t>～</w:t>
      </w:r>
      <w:r>
        <w:t>0.42</w:t>
      </w:r>
      <w:r>
        <w:rPr>
          <w:rFonts w:hint="eastAsia"/>
        </w:rPr>
        <w:t>mm，形状为圆形、椭圆形及不规则状，排列无定向。火山碎屑岩主要有熔岩火山碎屑岩、火山碎屑岩类、层火山碎屑岩类，其成分与致密玄武岩、杏仁状半玻晶玄武岩类似。</w:t>
      </w:r>
    </w:p>
    <w:p w14:paraId="78D142D7">
      <w:pPr>
        <w:pStyle w:val="41"/>
        <w:bidi w:val="0"/>
      </w:pPr>
      <w:r>
        <w:rPr>
          <w:rFonts w:hint="eastAsia"/>
        </w:rPr>
        <w:t>早第三纪酸性喷出岩，分布于图幅中部，文麻断裂北侧，砚山白泥井至新民水库地区，岩性特征以流纹质块岩、流纹质晶屑玻屑凝灰岩、透长石流纹斑岩为主，矿物成分主要为透长石、石英、黑云母、微量金红石、锆石、金属矿物。多为次棱角状、棱角状及不规则状。</w:t>
      </w:r>
    </w:p>
    <w:bookmarkEnd w:id="301"/>
    <w:bookmarkEnd w:id="302"/>
    <w:p w14:paraId="2AE4A3F2">
      <w:pPr>
        <w:pStyle w:val="5"/>
        <w:bidi w:val="0"/>
      </w:pPr>
      <w:bookmarkStart w:id="308" w:name="_Toc185962277"/>
      <w:bookmarkStart w:id="309" w:name="_Toc218265572"/>
      <w:bookmarkStart w:id="310" w:name="_Toc180780449"/>
      <w:r>
        <w:rPr>
          <w:rFonts w:hint="eastAsia"/>
        </w:rPr>
        <w:t>矿区</w:t>
      </w:r>
      <w:r>
        <w:t>地质</w:t>
      </w:r>
      <w:bookmarkEnd w:id="308"/>
      <w:bookmarkEnd w:id="309"/>
      <w:bookmarkEnd w:id="310"/>
    </w:p>
    <w:p w14:paraId="2072392F">
      <w:pPr>
        <w:pStyle w:val="6"/>
        <w:bidi w:val="0"/>
      </w:pPr>
      <w:bookmarkStart w:id="311" w:name="_Toc484038163"/>
      <w:r>
        <w:rPr>
          <w:rFonts w:hint="eastAsia"/>
        </w:rPr>
        <w:t>地层</w:t>
      </w:r>
      <w:bookmarkEnd w:id="311"/>
    </w:p>
    <w:p w14:paraId="38824E32">
      <w:pPr>
        <w:pStyle w:val="41"/>
        <w:bidi w:val="0"/>
      </w:pPr>
      <w:bookmarkStart w:id="312" w:name="_Toc282084820"/>
      <w:r>
        <w:rPr>
          <w:rFonts w:hint="eastAsia"/>
        </w:rPr>
        <w:t>矿区内出露地层简单，主要为第四系残坡积层（Q）、</w:t>
      </w:r>
      <w:bookmarkStart w:id="313" w:name="_Hlk140678975"/>
      <w:r>
        <w:rPr>
          <w:rFonts w:hint="eastAsia"/>
        </w:rPr>
        <w:t>石炭系下统大塘组（C</w:t>
      </w:r>
      <w:r>
        <w:rPr>
          <w:rFonts w:hint="eastAsia"/>
          <w:vertAlign w:val="subscript"/>
        </w:rPr>
        <w:t>1</w:t>
      </w:r>
      <w:r>
        <w:rPr>
          <w:rFonts w:hint="eastAsia"/>
        </w:rPr>
        <w:t>d）、董有组（C</w:t>
      </w:r>
      <w:r>
        <w:rPr>
          <w:rFonts w:hint="eastAsia"/>
          <w:vertAlign w:val="subscript"/>
        </w:rPr>
        <w:t>1</w:t>
      </w:r>
      <w:r>
        <w:rPr>
          <w:rFonts w:hint="eastAsia"/>
        </w:rPr>
        <w:t>dn），由老到新分述如下：</w:t>
      </w:r>
    </w:p>
    <w:bookmarkEnd w:id="313"/>
    <w:p w14:paraId="79FE9593">
      <w:pPr>
        <w:pStyle w:val="41"/>
        <w:bidi w:val="0"/>
      </w:pPr>
      <w:bookmarkStart w:id="314" w:name="_Hlk140679098"/>
      <w:r>
        <w:t>（1）</w:t>
      </w:r>
      <w:r>
        <w:rPr>
          <w:rFonts w:hint="eastAsia"/>
        </w:rPr>
        <w:t>石炭系下统董有组（C</w:t>
      </w:r>
      <w:r>
        <w:rPr>
          <w:rFonts w:hint="eastAsia"/>
          <w:vertAlign w:val="subscript"/>
        </w:rPr>
        <w:t>1</w:t>
      </w:r>
      <w:r>
        <w:rPr>
          <w:rFonts w:hint="eastAsia"/>
        </w:rPr>
        <w:t>dn）</w:t>
      </w:r>
    </w:p>
    <w:p w14:paraId="36BD1832">
      <w:pPr>
        <w:pStyle w:val="41"/>
        <w:bidi w:val="0"/>
      </w:pPr>
      <w:r>
        <w:rPr>
          <w:rFonts w:hint="eastAsia"/>
        </w:rPr>
        <w:t>分布于矿区内东南部，岩性为深灰色中一厚层灰岩，局部为块状灰岩，结晶灰岩，采矿权范围内岩层总体向西倾斜，地层产状</w:t>
      </w:r>
      <w:r>
        <w:t>305°~310°∠30°</w:t>
      </w:r>
      <w:r>
        <w:rPr>
          <w:rFonts w:hint="eastAsia"/>
        </w:rPr>
        <w:t>~</w:t>
      </w:r>
      <w:r>
        <w:t>46°</w:t>
      </w:r>
      <w:r>
        <w:rPr>
          <w:rFonts w:hint="eastAsia"/>
        </w:rPr>
        <w:t>，地表岩石节理、裂隙发育，为矿山含矿层位。</w:t>
      </w:r>
    </w:p>
    <w:p w14:paraId="0F56104E">
      <w:pPr>
        <w:pStyle w:val="41"/>
        <w:bidi w:val="0"/>
      </w:pPr>
      <w:r>
        <w:rPr>
          <w:rFonts w:hint="eastAsia"/>
        </w:rPr>
        <w:t>（2）石炭系下统大塘组（C</w:t>
      </w:r>
      <w:r>
        <w:rPr>
          <w:rFonts w:hint="eastAsia"/>
          <w:vertAlign w:val="subscript"/>
        </w:rPr>
        <w:t>1</w:t>
      </w:r>
      <w:r>
        <w:rPr>
          <w:rFonts w:hint="eastAsia"/>
        </w:rPr>
        <w:t>d）</w:t>
      </w:r>
    </w:p>
    <w:bookmarkEnd w:id="314"/>
    <w:p w14:paraId="73BC4784">
      <w:pPr>
        <w:pStyle w:val="41"/>
        <w:bidi w:val="0"/>
      </w:pPr>
      <w:r>
        <w:rPr>
          <w:rFonts w:hint="eastAsia"/>
        </w:rPr>
        <w:t>分布于矿区及外围，</w:t>
      </w:r>
      <w:bookmarkStart w:id="315" w:name="_Hlk140679133"/>
      <w:r>
        <w:rPr>
          <w:rFonts w:hint="eastAsia"/>
        </w:rPr>
        <w:t>岩性为灰色生物屑泥晶灰岩，采矿权范围内岩层总体向东倾斜，地层产状</w:t>
      </w:r>
      <w:r>
        <w:t>305°~310°∠30°~46°</w:t>
      </w:r>
      <w:r>
        <w:rPr>
          <w:rFonts w:hint="eastAsia"/>
        </w:rPr>
        <w:t>。</w:t>
      </w:r>
      <w:bookmarkStart w:id="316" w:name="_Hlk206357300"/>
      <w:r>
        <w:rPr>
          <w:rFonts w:hint="eastAsia"/>
        </w:rPr>
        <w:t>地表岩石</w:t>
      </w:r>
      <w:bookmarkEnd w:id="316"/>
      <w:r>
        <w:rPr>
          <w:rFonts w:hint="eastAsia"/>
        </w:rPr>
        <w:t>节理、裂隙发育，为矿山含矿层位</w:t>
      </w:r>
      <w:bookmarkStart w:id="317" w:name="_Hlk140679085"/>
      <w:r>
        <w:rPr>
          <w:rFonts w:hint="eastAsia"/>
        </w:rPr>
        <w:t>。</w:t>
      </w:r>
      <w:bookmarkEnd w:id="317"/>
    </w:p>
    <w:bookmarkEnd w:id="315"/>
    <w:p w14:paraId="19108239">
      <w:pPr>
        <w:pStyle w:val="41"/>
        <w:bidi w:val="0"/>
      </w:pPr>
      <w:r>
        <w:rPr>
          <w:rFonts w:hint="eastAsia"/>
        </w:rPr>
        <w:t>（</w:t>
      </w:r>
      <w:r>
        <w:t>2</w:t>
      </w:r>
      <w:r>
        <w:rPr>
          <w:rFonts w:hint="eastAsia"/>
        </w:rPr>
        <w:t>）第四系残坡积层（Q）</w:t>
      </w:r>
    </w:p>
    <w:p w14:paraId="5779494B">
      <w:pPr>
        <w:pStyle w:val="41"/>
        <w:bidi w:val="0"/>
      </w:pPr>
      <w:bookmarkStart w:id="318" w:name="_Hlk140679027"/>
      <w:r>
        <w:rPr>
          <w:rFonts w:hint="eastAsia"/>
        </w:rPr>
        <w:t>主要分布于山脚、洼地、地形低凹平缓部位，为褐红色、褐色残积、坡积层粘土、含砾粘土组成。成分主要为砾石、砂、粘土、粉质黏土。</w:t>
      </w:r>
      <w:bookmarkEnd w:id="318"/>
      <w:r>
        <w:rPr>
          <w:rFonts w:hint="eastAsia"/>
        </w:rPr>
        <w:t>采矿权范围内由以往施工8个钻孔和本次8个钻探工程共16个和5条剥土工程控制，厚度</w:t>
      </w:r>
      <w:r>
        <w:t>0</w:t>
      </w:r>
      <w:r>
        <w:rPr>
          <w:rFonts w:hint="eastAsia"/>
        </w:rPr>
        <w:t>~1.30</w:t>
      </w:r>
      <w:r>
        <w:t>m</w:t>
      </w:r>
      <w:r>
        <w:rPr>
          <w:rFonts w:hint="eastAsia"/>
        </w:rPr>
        <w:t>。与下伏地层呈不整合接触。</w:t>
      </w:r>
    </w:p>
    <w:p w14:paraId="62FD9E55">
      <w:pPr>
        <w:pStyle w:val="6"/>
        <w:bidi w:val="0"/>
      </w:pPr>
      <w:bookmarkStart w:id="319" w:name="_Toc484038164"/>
      <w:r>
        <w:rPr>
          <w:rFonts w:hint="eastAsia"/>
        </w:rPr>
        <w:t>构造</w:t>
      </w:r>
      <w:bookmarkEnd w:id="312"/>
      <w:bookmarkEnd w:id="319"/>
    </w:p>
    <w:p w14:paraId="2DBFA1C0">
      <w:pPr>
        <w:pStyle w:val="41"/>
        <w:bidi w:val="0"/>
      </w:pPr>
      <w:bookmarkStart w:id="320" w:name="_Toc282084821"/>
      <w:r>
        <w:rPr>
          <w:rFonts w:hint="eastAsia"/>
        </w:rPr>
        <w:t>矿区地质构造简单，总体呈向东倾斜的单斜构造，地层及含矿层分布稳定，连续性好。地层倾向</w:t>
      </w:r>
      <w:r>
        <w:t>305°~310°</w:t>
      </w:r>
      <w:r>
        <w:rPr>
          <w:rFonts w:hint="eastAsia"/>
        </w:rPr>
        <w:t>，倾角</w:t>
      </w:r>
      <w:r>
        <w:t>30°~46°</w:t>
      </w:r>
      <w:r>
        <w:rPr>
          <w:rFonts w:hint="eastAsia"/>
        </w:rPr>
        <w:t>，矿区范围内平均产状305</w:t>
      </w:r>
      <w:r>
        <w:t>°∠</w:t>
      </w:r>
      <w:r>
        <w:rPr>
          <w:rFonts w:hint="eastAsia"/>
        </w:rPr>
        <w:t>30</w:t>
      </w:r>
      <w:r>
        <w:t>°</w:t>
      </w:r>
      <w:r>
        <w:rPr>
          <w:rFonts w:hint="eastAsia"/>
        </w:rPr>
        <w:t>。受区域地质构造的影响，矿区主要发育二组节理裂隙，其产状分别为：J1</w:t>
      </w:r>
      <w:r>
        <w:rPr>
          <w:rFonts w:hint="eastAsia"/>
          <w:lang w:eastAsia="zh-CN"/>
        </w:rPr>
        <w:t>:</w:t>
      </w:r>
      <w:r>
        <w:t>125°∠30°</w:t>
      </w:r>
      <w:r>
        <w:rPr>
          <w:rFonts w:hint="eastAsia"/>
        </w:rPr>
        <w:t>，延伸长0.5</w:t>
      </w:r>
      <w:r>
        <w:rPr>
          <w:rFonts w:hint="eastAsia"/>
          <w:lang w:eastAsia="zh-CN"/>
        </w:rPr>
        <w:t>～</w:t>
      </w:r>
      <w:r>
        <w:rPr>
          <w:rFonts w:hint="eastAsia"/>
        </w:rPr>
        <w:t>1.5m，节理、裂隙线密度3</w:t>
      </w:r>
      <w:r>
        <w:rPr>
          <w:rFonts w:hint="eastAsia"/>
          <w:lang w:eastAsia="zh-CN"/>
        </w:rPr>
        <w:t>～</w:t>
      </w:r>
      <w:r>
        <w:rPr>
          <w:rFonts w:hint="eastAsia"/>
        </w:rPr>
        <w:t>5条/m。裂隙面多为泥质充填，J2</w:t>
      </w:r>
      <w:r>
        <w:rPr>
          <w:rFonts w:hint="eastAsia"/>
          <w:lang w:eastAsia="zh-CN"/>
        </w:rPr>
        <w:t>:</w:t>
      </w:r>
      <w:r>
        <w:t>35°∠60°</w:t>
      </w:r>
      <w:r>
        <w:rPr>
          <w:rFonts w:hint="eastAsia"/>
        </w:rPr>
        <w:t>，延伸长0.5</w:t>
      </w:r>
      <w:r>
        <w:rPr>
          <w:rFonts w:hint="eastAsia"/>
          <w:lang w:eastAsia="zh-CN"/>
        </w:rPr>
        <w:t>～</w:t>
      </w:r>
      <w:r>
        <w:rPr>
          <w:rFonts w:hint="eastAsia"/>
        </w:rPr>
        <w:t>2m，节理、裂隙线密度3</w:t>
      </w:r>
      <w:r>
        <w:rPr>
          <w:rFonts w:hint="eastAsia"/>
          <w:lang w:eastAsia="zh-CN"/>
        </w:rPr>
        <w:t>～</w:t>
      </w:r>
      <w:r>
        <w:rPr>
          <w:rFonts w:hint="eastAsia"/>
        </w:rPr>
        <w:t>6条/m。裂隙面多张开，裂隙面为泥质充填。</w:t>
      </w:r>
    </w:p>
    <w:p w14:paraId="1329DA27">
      <w:pPr>
        <w:pStyle w:val="41"/>
        <w:bidi w:val="0"/>
      </w:pPr>
      <w:r>
        <w:rPr>
          <w:rFonts w:hint="eastAsia"/>
        </w:rPr>
        <w:t>经本次地质勘查工作，地表主要发育溶沟、溶槽、石芽，零星分布于矿区东北部斜坡地段，岩石表面多见溶隙、溶沟等。经本次施工的8个钻孔揭露显示，矿区深部、溶洞等现象，矿区构造复杂程度总体属简单类型。</w:t>
      </w:r>
    </w:p>
    <w:bookmarkEnd w:id="320"/>
    <w:p w14:paraId="6FD1E2F5">
      <w:pPr>
        <w:pStyle w:val="6"/>
        <w:bidi w:val="0"/>
      </w:pPr>
      <w:bookmarkStart w:id="321" w:name="_Toc211267972"/>
      <w:bookmarkStart w:id="322" w:name="_Toc183021277"/>
      <w:r>
        <w:rPr>
          <w:rFonts w:hint="eastAsia"/>
        </w:rPr>
        <w:t>岩浆岩</w:t>
      </w:r>
      <w:bookmarkEnd w:id="321"/>
      <w:bookmarkEnd w:id="322"/>
    </w:p>
    <w:p w14:paraId="61FCCC69">
      <w:pPr>
        <w:pStyle w:val="41"/>
        <w:bidi w:val="0"/>
      </w:pPr>
      <w:r>
        <w:rPr>
          <w:rFonts w:hint="eastAsia"/>
        </w:rPr>
        <w:t>矿区内无岩浆岩。</w:t>
      </w:r>
    </w:p>
    <w:p w14:paraId="3A3AB847">
      <w:pPr>
        <w:pStyle w:val="6"/>
        <w:bidi w:val="0"/>
        <w:rPr>
          <w:rFonts w:hint="eastAsia"/>
        </w:rPr>
      </w:pPr>
      <w:bookmarkStart w:id="323" w:name="_Toc211267973"/>
      <w:bookmarkStart w:id="324" w:name="_Toc183021278"/>
      <w:r>
        <w:rPr>
          <w:rFonts w:hint="eastAsia"/>
        </w:rPr>
        <w:t>变质作用及围岩蚀变</w:t>
      </w:r>
      <w:bookmarkEnd w:id="323"/>
      <w:bookmarkEnd w:id="324"/>
    </w:p>
    <w:p w14:paraId="24B49F26">
      <w:pPr>
        <w:pStyle w:val="41"/>
        <w:bidi w:val="0"/>
        <w:rPr>
          <w:rFonts w:hint="eastAsia"/>
        </w:rPr>
      </w:pPr>
      <w:r>
        <w:rPr>
          <w:rFonts w:hint="eastAsia"/>
        </w:rPr>
        <w:t>矿区内无变质作用或蚀变特征。</w:t>
      </w:r>
    </w:p>
    <w:p w14:paraId="6274E724">
      <w:pPr>
        <w:pStyle w:val="4"/>
        <w:bidi w:val="0"/>
        <w:rPr>
          <w:rFonts w:hint="default"/>
          <w:lang w:val="en-US" w:eastAsia="zh-CN"/>
        </w:rPr>
      </w:pPr>
      <w:r>
        <w:rPr>
          <w:rFonts w:hint="eastAsia"/>
          <w:lang w:val="en-US" w:eastAsia="zh-CN"/>
        </w:rPr>
        <w:t>气候气象</w:t>
      </w:r>
    </w:p>
    <w:p w14:paraId="3FFEC84F">
      <w:pPr>
        <w:pStyle w:val="41"/>
        <w:bidi w:val="0"/>
      </w:pPr>
      <w:r>
        <w:t>砚山县属低纬高</w:t>
      </w:r>
      <w:r>
        <w:rPr>
          <w:rFonts w:hint="eastAsia"/>
        </w:rPr>
        <w:t>原季风气候，四季不明显，干雨季分明，立体气候特征较明显。年温差小，全年平均气温12.50℃～19℃，最冷月（1月）平均气温6.60℃～10℃，最热月（7月）平均气温16.50℃～25℃，极端最高气温33.20℃，极端最低气温-7.8℃。年无霜期250～320d，年日照时数1400～2100小时，年降雨量840～1400mm。境内海拔高低相差1183米，形成河谷、平坝、山地3种</w:t>
      </w:r>
      <w:r>
        <w:rPr>
          <w:rFonts w:hint="eastAsia"/>
          <w:lang w:eastAsia="zh-CN"/>
        </w:rPr>
        <w:t>不同</w:t>
      </w:r>
      <w:r>
        <w:rPr>
          <w:rFonts w:hint="eastAsia"/>
        </w:rPr>
        <w:t>气候类型。年平均降雨量1008mm，全年日平均降雨量2.</w:t>
      </w:r>
      <w:r>
        <w:t>7</w:t>
      </w:r>
      <w:r>
        <w:rPr>
          <w:rFonts w:hint="eastAsia"/>
        </w:rPr>
        <w:t>6mm，雨季（5</w:t>
      </w:r>
      <w:r>
        <w:rPr>
          <w:rFonts w:hint="eastAsia"/>
          <w:lang w:eastAsia="zh-CN"/>
        </w:rPr>
        <w:t>—</w:t>
      </w:r>
      <w:r>
        <w:rPr>
          <w:rFonts w:hint="eastAsia"/>
        </w:rPr>
        <w:t>10月）日平均降雨量</w:t>
      </w:r>
      <w:r>
        <w:t>5</w:t>
      </w:r>
      <w:r>
        <w:rPr>
          <w:rFonts w:hint="eastAsia"/>
        </w:rPr>
        <w:t>.46mm，日最大降雨量77.3mm</w:t>
      </w:r>
      <w:r>
        <w:t>；年均日照</w:t>
      </w:r>
      <w:r>
        <w:rPr>
          <w:rFonts w:hint="eastAsia"/>
        </w:rPr>
        <w:t>289</w:t>
      </w:r>
      <w:r>
        <w:t>天</w:t>
      </w:r>
      <w:r>
        <w:rPr>
          <w:rFonts w:hint="eastAsia"/>
        </w:rPr>
        <w:t>，共</w:t>
      </w:r>
      <w:r>
        <w:t>计</w:t>
      </w:r>
      <w:r>
        <w:rPr>
          <w:rFonts w:hint="eastAsia"/>
        </w:rPr>
        <w:t>1934.9</w:t>
      </w:r>
      <w:r>
        <w:t>小时</w:t>
      </w:r>
      <w:r>
        <w:rPr>
          <w:rFonts w:hint="eastAsia"/>
        </w:rPr>
        <w:t>，年蒸发量1780.2mm</w:t>
      </w:r>
      <w:r>
        <w:t>。</w:t>
      </w:r>
      <w:r>
        <w:rPr>
          <w:rFonts w:hint="eastAsia"/>
        </w:rPr>
        <w:t>无霜期平均为250</w:t>
      </w:r>
      <w:r>
        <w:rPr>
          <w:rFonts w:hint="eastAsia"/>
          <w:lang w:eastAsia="zh-CN"/>
        </w:rPr>
        <w:t>～</w:t>
      </w:r>
      <w:r>
        <w:rPr>
          <w:rFonts w:hint="eastAsia"/>
        </w:rPr>
        <w:t>320天，极端</w:t>
      </w:r>
      <w:r>
        <w:t>最高气温：3</w:t>
      </w:r>
      <w:r>
        <w:rPr>
          <w:rFonts w:hint="eastAsia"/>
        </w:rPr>
        <w:t>3</w:t>
      </w:r>
      <w:r>
        <w:t>.</w:t>
      </w:r>
      <w:r>
        <w:rPr>
          <w:rFonts w:hint="eastAsia"/>
        </w:rPr>
        <w:t>4</w:t>
      </w:r>
      <w:r>
        <w:t>℃，最低气温：</w:t>
      </w:r>
      <w:r>
        <w:rPr>
          <w:rFonts w:hint="eastAsia"/>
        </w:rPr>
        <w:t>-7.8</w:t>
      </w:r>
      <w:r>
        <w:t>℃</w:t>
      </w:r>
      <w:r>
        <w:rPr>
          <w:rFonts w:hint="eastAsia"/>
        </w:rPr>
        <w:t>，</w:t>
      </w:r>
      <w:r>
        <w:rPr>
          <w:rFonts w:hint="eastAsia"/>
          <w:lang w:eastAsia="zh-CN"/>
        </w:rPr>
        <w:t>平均</w:t>
      </w:r>
      <w:r>
        <w:rPr>
          <w:rFonts w:hint="eastAsia"/>
        </w:rPr>
        <w:t>均气温16.5℃，全年昼夜温差11.5℃，</w:t>
      </w:r>
      <w:r>
        <w:t>平均相对湿度7</w:t>
      </w:r>
      <w:r>
        <w:rPr>
          <w:rFonts w:hint="eastAsia"/>
        </w:rPr>
        <w:t>9</w:t>
      </w:r>
      <w:r>
        <w:t>%；</w:t>
      </w:r>
      <w:r>
        <w:rPr>
          <w:rFonts w:hint="eastAsia"/>
        </w:rPr>
        <w:t>平均风速1.6</w:t>
      </w:r>
      <w:r>
        <w:rPr>
          <w:rFonts w:hint="eastAsia"/>
          <w:lang w:eastAsia="zh-CN"/>
        </w:rPr>
        <w:t>～</w:t>
      </w:r>
      <w:r>
        <w:rPr>
          <w:rFonts w:hint="eastAsia"/>
        </w:rPr>
        <w:t>3.1m/s。主要风向偏东南风。</w:t>
      </w:r>
      <w:r>
        <w:t>由于气候适宜，光照充足，雨量充沛，适宜多种植物、农作物生长。</w:t>
      </w:r>
    </w:p>
    <w:p w14:paraId="0099220D">
      <w:pPr>
        <w:pStyle w:val="4"/>
        <w:bidi w:val="0"/>
        <w:rPr>
          <w:rFonts w:hint="eastAsia"/>
          <w:lang w:val="en-US" w:eastAsia="zh-CN"/>
        </w:rPr>
      </w:pPr>
      <w:r>
        <w:rPr>
          <w:rFonts w:hint="eastAsia"/>
          <w:lang w:val="en-US" w:eastAsia="zh-CN"/>
        </w:rPr>
        <w:t>地震</w:t>
      </w:r>
    </w:p>
    <w:p w14:paraId="0A494C6E">
      <w:pPr>
        <w:pStyle w:val="41"/>
        <w:bidi w:val="0"/>
      </w:pPr>
      <w:r>
        <w:rPr>
          <w:rFonts w:hint="eastAsia"/>
        </w:rPr>
        <w:t>矿区位于华南褶皱系（Ⅱ）、滇东南褶皱带</w:t>
      </w:r>
      <w:r>
        <w:t>（</w:t>
      </w:r>
      <w:r>
        <w:rPr>
          <w:rFonts w:hint="eastAsia"/>
        </w:rPr>
        <w:t>Ⅱ1</w:t>
      </w:r>
      <w:r>
        <w:t>）</w:t>
      </w:r>
      <w:r>
        <w:rPr>
          <w:rFonts w:hint="eastAsia"/>
        </w:rPr>
        <w:t>、文山-富宁断褶束（Ⅱ13）、薄竹山拱褶（Ⅱ13-1）的西部，马关-西畴北断裂从矿区外南东部通过，矿区地貌位于滇东喀斯特高原，滇东南岩溶山原亚区，构造侵蚀低中山地貌，以块状岩类较坚硬岩组为主</w:t>
      </w:r>
      <w:r>
        <w:t>，</w:t>
      </w:r>
      <w:r>
        <w:rPr>
          <w:rFonts w:hint="eastAsia"/>
        </w:rPr>
        <w:t>本区地震活动较频繁，最大震级5.5级，</w:t>
      </w:r>
      <w:r>
        <w:t>矿床充水的唯一来源为大气降水，开</w:t>
      </w:r>
      <w:r>
        <w:rPr>
          <w:rFonts w:hint="eastAsia"/>
        </w:rPr>
        <w:t>采</w:t>
      </w:r>
      <w:r>
        <w:t>方式为露天开</w:t>
      </w:r>
      <w:r>
        <w:rPr>
          <w:rFonts w:hint="eastAsia"/>
        </w:rPr>
        <w:t>采</w:t>
      </w:r>
      <w:r>
        <w:t>，对</w:t>
      </w:r>
      <w:r>
        <w:rPr>
          <w:rFonts w:hint="eastAsia"/>
        </w:rPr>
        <w:t>地表地形地貌及景观造成破坏。</w:t>
      </w:r>
    </w:p>
    <w:p w14:paraId="3905D135">
      <w:pPr>
        <w:pStyle w:val="41"/>
        <w:bidi w:val="0"/>
      </w:pPr>
      <w:r>
        <w:rPr>
          <w:rFonts w:hint="eastAsia"/>
        </w:rPr>
        <w:t>区内地震活动相对较弱</w:t>
      </w:r>
      <w:r>
        <w:rPr>
          <w:rFonts w:hint="eastAsia"/>
          <w:lang w:eastAsia="zh-CN"/>
        </w:rPr>
        <w:t>，根</w:t>
      </w:r>
      <w:r>
        <w:rPr>
          <w:rFonts w:hint="eastAsia"/>
        </w:rPr>
        <w:t>据省地震局的地震资料，百年未发生过强烈地震，1972~1980年间曾发生过13次地震，震级均在2.7~3.6级之间，1960年西畴鸡街发生的4.8级地震、2000年1月27日弥勒-邱北发生的5.5级地震、2005年8月13日文山秉烈发生的5.3级地震均波及本区，造成部分民房墙裂和掉瓦，本区</w:t>
      </w:r>
      <w:r>
        <w:t>区域稳定性为</w:t>
      </w:r>
      <w:r>
        <w:rPr>
          <w:rFonts w:hint="eastAsia"/>
        </w:rPr>
        <w:t>较</w:t>
      </w:r>
      <w:r>
        <w:t>稳定</w:t>
      </w:r>
      <w:r>
        <w:rPr>
          <w:rFonts w:hint="eastAsia"/>
        </w:rPr>
        <w:t>。</w:t>
      </w:r>
    </w:p>
    <w:p w14:paraId="2F37AF67">
      <w:pPr>
        <w:pStyle w:val="41"/>
        <w:bidi w:val="0"/>
      </w:pPr>
      <w:r>
        <w:rPr>
          <w:rFonts w:hint="eastAsia"/>
        </w:rPr>
        <w:t>根据《中国地震动参数区划图（GB18306-2015）》和《建筑抗震设计规范》（GB50011-2010）2016年版，矿区所在地地震动峰值加速度为0.05g，地震动反应谱特征周期为0.40s，抗震设防烈度为六度区，设计地震分组为第二组，矿区区域地壳稳定性属稳定区。</w:t>
      </w:r>
    </w:p>
    <w:p w14:paraId="2AEFA6B9">
      <w:pPr>
        <w:pStyle w:val="4"/>
        <w:bidi w:val="0"/>
        <w:rPr>
          <w:rFonts w:hint="default"/>
          <w:lang w:val="en-US" w:eastAsia="zh-CN"/>
        </w:rPr>
      </w:pPr>
      <w:r>
        <w:rPr>
          <w:rFonts w:hint="eastAsia"/>
          <w:lang w:val="en-US" w:eastAsia="zh-CN"/>
        </w:rPr>
        <w:t>水文地质</w:t>
      </w:r>
    </w:p>
    <w:p w14:paraId="2C575F95">
      <w:pPr>
        <w:pStyle w:val="5"/>
        <w:bidi w:val="0"/>
      </w:pPr>
      <w:r>
        <w:rPr>
          <w:rFonts w:hint="eastAsia"/>
        </w:rPr>
        <w:t>区域含、隔水层分布及其水文地质特征</w:t>
      </w:r>
    </w:p>
    <w:p w14:paraId="2EFAABA6">
      <w:pPr>
        <w:pStyle w:val="41"/>
        <w:bidi w:val="0"/>
      </w:pPr>
      <w:r>
        <w:t>区域广泛出露</w:t>
      </w:r>
      <w:r>
        <w:rPr>
          <w:rFonts w:hint="eastAsia"/>
        </w:rPr>
        <w:t>第四系、下第三系（N）、三叠系（吨）、二叠系（P）、石炭系（C）、泥盆系（D）、奥陶系（O）、寒武系（∈）</w:t>
      </w:r>
      <w:r>
        <w:t>，区内断裂构造、节理裂隙发育。区内地下水类型主要为孔隙水、岩溶裂隙水和基岩裂隙水。具有如下水文特征：</w:t>
      </w:r>
    </w:p>
    <w:p w14:paraId="6197D4F2">
      <w:pPr>
        <w:pStyle w:val="41"/>
        <w:bidi w:val="0"/>
      </w:pPr>
      <w:r>
        <w:rPr>
          <w:rFonts w:hint="eastAsia"/>
        </w:rPr>
        <w:t>（1）</w:t>
      </w:r>
      <w:r>
        <w:t>第四系（Q）砂碎石土孔隙水含水层</w:t>
      </w:r>
    </w:p>
    <w:p w14:paraId="18D1395C">
      <w:pPr>
        <w:pStyle w:val="41"/>
        <w:bidi w:val="0"/>
      </w:pPr>
      <w:r>
        <w:rPr>
          <w:rFonts w:hint="eastAsia"/>
        </w:rPr>
        <w:t>褐红色、紫红色、灰黄色粘土夹岩块、砾石、砂</w:t>
      </w:r>
      <w:r>
        <w:t>，</w:t>
      </w:r>
      <w:r>
        <w:rPr>
          <w:rFonts w:hint="eastAsia"/>
        </w:rPr>
        <w:t>厚0~1.3m。主要分布于矿区外围的低洼平缓区斜坡地带，</w:t>
      </w:r>
      <w:r>
        <w:t>沿山坡平缓地段基岩表部出露，</w:t>
      </w:r>
      <w:r>
        <w:rPr>
          <w:rFonts w:hint="eastAsia"/>
        </w:rPr>
        <w:t>主要含上层滞水，含水层厚度小，富水性弱，仅雨季含部分水、枯季无水，该岩层地下水主要接受大气降水补给，垂直渗透补给岩溶水。</w:t>
      </w:r>
    </w:p>
    <w:p w14:paraId="2D92320D">
      <w:pPr>
        <w:pStyle w:val="41"/>
        <w:bidi w:val="0"/>
      </w:pPr>
      <w:r>
        <w:rPr>
          <w:rFonts w:hint="eastAsia"/>
        </w:rPr>
        <w:t>（2）</w:t>
      </w:r>
      <w:r>
        <w:t>基岩裂隙含（隔）水层</w:t>
      </w:r>
    </w:p>
    <w:p w14:paraId="5C96D5F7">
      <w:pPr>
        <w:pStyle w:val="41"/>
        <w:bidi w:val="0"/>
      </w:pPr>
      <w:r>
        <w:t>分布于</w:t>
      </w:r>
      <w:r>
        <w:rPr>
          <w:rFonts w:hint="eastAsia"/>
        </w:rPr>
        <w:t>矿</w:t>
      </w:r>
      <w:r>
        <w:t>区</w:t>
      </w:r>
      <w:r>
        <w:rPr>
          <w:rFonts w:hint="eastAsia"/>
        </w:rPr>
        <w:t>外围</w:t>
      </w:r>
      <w:r>
        <w:t>。</w:t>
      </w:r>
      <w:r>
        <w:rPr>
          <w:rFonts w:hint="eastAsia"/>
        </w:rPr>
        <w:t>区内</w:t>
      </w:r>
      <w:r>
        <w:t>该类含（隔）水岩系主要涉及</w:t>
      </w:r>
      <w:r>
        <w:rPr>
          <w:rFonts w:hint="eastAsia"/>
        </w:rPr>
        <w:t>翠峰山组（D1c）、坡脚组（D1p）、法郎组（D2f）、砚山组（Ey），岩性</w:t>
      </w:r>
      <w:r>
        <w:t>由</w:t>
      </w:r>
      <w:r>
        <w:rPr>
          <w:rFonts w:hint="eastAsia"/>
        </w:rPr>
        <w:t>页岩、细</w:t>
      </w:r>
      <w:r>
        <w:t>砂</w:t>
      </w:r>
      <w:r>
        <w:rPr>
          <w:rFonts w:hint="eastAsia"/>
        </w:rPr>
        <w:t>岩</w:t>
      </w:r>
      <w:r>
        <w:t>、砂岩、泥岩、</w:t>
      </w:r>
      <w:r>
        <w:rPr>
          <w:rFonts w:hint="eastAsia"/>
        </w:rPr>
        <w:t>粉砂质泥岩、粉砂岩、石英细砂岩、泥质粉砂岩等岩石裂隙发育，</w:t>
      </w:r>
      <w:r>
        <w:t>含基岩裂隙水，富水性随裂隙率而变，一般浅部较强，深部逐渐减弱。</w:t>
      </w:r>
      <w:r>
        <w:rPr>
          <w:rFonts w:hint="eastAsia"/>
        </w:rPr>
        <w:t>地下水多呈管隙流，分布不均，富水性较弱-中等。</w:t>
      </w:r>
    </w:p>
    <w:p w14:paraId="219B5C3E">
      <w:pPr>
        <w:pStyle w:val="41"/>
        <w:bidi w:val="0"/>
      </w:pPr>
      <w:r>
        <w:rPr>
          <w:rFonts w:hint="eastAsia"/>
        </w:rPr>
        <w:t>（3）</w:t>
      </w:r>
      <w:r>
        <w:t>碳酸盐岩类溶蚀裂隙水含水层</w:t>
      </w:r>
    </w:p>
    <w:p w14:paraId="602E857F">
      <w:pPr>
        <w:pStyle w:val="41"/>
        <w:bidi w:val="0"/>
      </w:pPr>
      <w:r>
        <w:rPr>
          <w:rFonts w:hint="eastAsia"/>
        </w:rPr>
        <w:t>主要</w:t>
      </w:r>
      <w:r>
        <w:t>分布于</w:t>
      </w:r>
      <w:r>
        <w:rPr>
          <w:rFonts w:hint="eastAsia"/>
        </w:rPr>
        <w:t>矿</w:t>
      </w:r>
      <w:r>
        <w:t>区</w:t>
      </w:r>
      <w:r>
        <w:rPr>
          <w:rFonts w:hint="eastAsia"/>
        </w:rPr>
        <w:t>及其外围，矿区内仅分布石炭系下统大塘组（C1d）、董有组（C1dn）。</w:t>
      </w:r>
      <w:r>
        <w:t>区内该类含（隔）水岩系主要涉及</w:t>
      </w:r>
      <w:r>
        <w:rPr>
          <w:rFonts w:hint="eastAsia"/>
        </w:rPr>
        <w:t>歇场组（∈3x）、芭蕉箐组（D1b）、古木组（D2g）、大塘组（C1d）、董有组（C1dn）威宁组（C2w）、马平组（C3m）、吴家坪组（P2w）上部、洗马塘组（D1x）、个旧组一段（D2ga）、个旧组二段（D2gb）</w:t>
      </w:r>
      <w:r>
        <w:t>，岩</w:t>
      </w:r>
      <w:r>
        <w:rPr>
          <w:rFonts w:hint="eastAsia"/>
        </w:rPr>
        <w:t>性</w:t>
      </w:r>
      <w:r>
        <w:t>由</w:t>
      </w:r>
      <w:r>
        <w:rPr>
          <w:rFonts w:hint="eastAsia"/>
        </w:rPr>
        <w:t>白云质灰岩、泥灰岩、</w:t>
      </w:r>
      <w:r>
        <w:t>白云岩、灰岩、</w:t>
      </w:r>
      <w:r>
        <w:rPr>
          <w:rFonts w:hint="eastAsia"/>
        </w:rPr>
        <w:t>生物碎屑灰岩等</w:t>
      </w:r>
      <w:r>
        <w:t>组成。</w:t>
      </w:r>
      <w:r>
        <w:rPr>
          <w:rFonts w:hint="eastAsia"/>
        </w:rPr>
        <w:t>据区域资料，大塘组（C1d）、董有组（C1dn）岩溶含水层（组），上部中一块状灰岩夹白云岩：下部中一厚层灰岩夹生物碎灰岩；局部夹硅质条带灰岩硅质岩。粉</w:t>
      </w:r>
      <w:r>
        <w:rPr>
          <w:rFonts w:hint="eastAsia"/>
          <w:lang w:eastAsia="zh-CN"/>
        </w:rPr>
        <w:t>晶</w:t>
      </w:r>
      <w:r>
        <w:rPr>
          <w:rFonts w:hint="eastAsia"/>
        </w:rPr>
        <w:t>结构为主，少量的细晶和粒结构。岩溶发育强烈，地下水多呈管隙流，</w:t>
      </w:r>
      <w:r>
        <w:rPr>
          <w:rFonts w:hint="eastAsia"/>
          <w:lang w:eastAsia="zh-CN"/>
        </w:rPr>
        <w:t>分布</w:t>
      </w:r>
      <w:r>
        <w:rPr>
          <w:rFonts w:hint="eastAsia"/>
        </w:rPr>
        <w:t>不均，Mo-3.73-40.729-0.04499.5166=0.58-536Cv=1.95，暗河4条占图幅的26%流量149~3375，富水性以强级为主。本次勘查的主要目的矿体即赋存于石炭系下统大塘组（C1d）、董有组（C1dn）地层中。</w:t>
      </w:r>
    </w:p>
    <w:p w14:paraId="124C4805">
      <w:pPr>
        <w:pStyle w:val="5"/>
        <w:bidi w:val="0"/>
      </w:pPr>
      <w:r>
        <w:t>区域地下水的补给、径流及排泄</w:t>
      </w:r>
    </w:p>
    <w:p w14:paraId="1373991F">
      <w:pPr>
        <w:pStyle w:val="41"/>
        <w:bidi w:val="0"/>
      </w:pPr>
      <w:r>
        <w:t>大气降水是区域各含水层的主要补给来源。在松散岩层和基岩分布区，大气降水在裸露地段渗入，顺层面及构造、风化裂隙面径流，遇地形切割深处，以散流方式排泄，水文地质条件较简单。</w:t>
      </w:r>
    </w:p>
    <w:p w14:paraId="5FBADB10">
      <w:pPr>
        <w:pStyle w:val="5"/>
        <w:bidi w:val="0"/>
        <w:rPr>
          <w:rFonts w:hint="default"/>
          <w:lang w:val="en-US" w:eastAsia="zh-CN"/>
        </w:rPr>
      </w:pPr>
      <w:r>
        <w:rPr>
          <w:rFonts w:hint="eastAsia"/>
        </w:rPr>
        <w:t>矿区水文地质</w:t>
      </w:r>
    </w:p>
    <w:p w14:paraId="4B3ADAEE">
      <w:pPr>
        <w:pStyle w:val="41"/>
        <w:bidi w:val="0"/>
        <w:rPr>
          <w:b/>
          <w:bCs/>
        </w:rPr>
      </w:pPr>
      <w:r>
        <w:rPr>
          <w:rFonts w:hint="eastAsia"/>
          <w:b/>
          <w:bCs/>
          <w:lang w:eastAsia="zh-CN"/>
        </w:rPr>
        <w:t>（</w:t>
      </w:r>
      <w:r>
        <w:rPr>
          <w:rFonts w:hint="eastAsia"/>
          <w:b/>
          <w:bCs/>
          <w:lang w:val="en-US" w:eastAsia="zh-CN"/>
        </w:rPr>
        <w:t>1）</w:t>
      </w:r>
      <w:r>
        <w:rPr>
          <w:rFonts w:hint="eastAsia"/>
          <w:b/>
          <w:bCs/>
        </w:rPr>
        <w:t>概述</w:t>
      </w:r>
    </w:p>
    <w:p w14:paraId="2BEDC630">
      <w:pPr>
        <w:pStyle w:val="41"/>
        <w:bidi w:val="0"/>
      </w:pPr>
      <w:r>
        <w:rPr>
          <w:rFonts w:hint="eastAsia"/>
        </w:rPr>
        <w:t>矿区水文地质单元是红舍克水库水文地质单元。</w:t>
      </w:r>
    </w:p>
    <w:p w14:paraId="5BD8DE3A">
      <w:pPr>
        <w:pStyle w:val="41"/>
        <w:bidi w:val="0"/>
      </w:pPr>
      <w:r>
        <w:rPr>
          <w:rFonts w:hint="eastAsia"/>
        </w:rPr>
        <w:t>矿区地处云贵高原东南缘，属构造侵蚀、溶蚀低中山地貌，地势总体中间高四周低，矿区及周边最高点位于矿区北部山顶，海拔1687.7</w:t>
      </w:r>
      <w:r>
        <w:t>m</w:t>
      </w:r>
      <w:r>
        <w:rPr>
          <w:rFonts w:hint="eastAsia"/>
        </w:rPr>
        <w:t>，最低点位于采矿权范围西部，海拔1555</w:t>
      </w:r>
      <w:r>
        <w:t>m</w:t>
      </w:r>
      <w:r>
        <w:rPr>
          <w:rFonts w:hint="eastAsia"/>
        </w:rPr>
        <w:t>（为矿区最低侵蚀基准面），相对高差132.7</w:t>
      </w:r>
      <w:r>
        <w:t>m</w:t>
      </w:r>
      <w:r>
        <w:rPr>
          <w:rFonts w:hint="eastAsia"/>
        </w:rPr>
        <w:t>。地形一般坡度27~30</w:t>
      </w:r>
      <w:r>
        <w:t>°</w:t>
      </w:r>
      <w:r>
        <w:rPr>
          <w:rFonts w:hint="eastAsia"/>
        </w:rPr>
        <w:t>，局部坡度48</w:t>
      </w:r>
      <w:r>
        <w:t>°</w:t>
      </w:r>
      <w:r>
        <w:rPr>
          <w:rFonts w:hint="eastAsia"/>
        </w:rPr>
        <w:t>。总体地形地貌条件简单。</w:t>
      </w:r>
    </w:p>
    <w:p w14:paraId="29D23927">
      <w:pPr>
        <w:pStyle w:val="41"/>
        <w:bidi w:val="0"/>
      </w:pPr>
      <w:r>
        <w:rPr>
          <w:rFonts w:hint="eastAsia"/>
        </w:rPr>
        <w:t>矿区周边地形平缓地带多为旱地，斜坡地段多为荒山，植被中等发育，大部岩石裸露地表，无天然保护林和可用经济林，山坡和地坎生长有灌木、杂草及少量小乔木。</w:t>
      </w:r>
    </w:p>
    <w:p w14:paraId="00E75E18">
      <w:pPr>
        <w:pStyle w:val="41"/>
        <w:bidi w:val="0"/>
      </w:pPr>
      <w:r>
        <w:rPr>
          <w:rFonts w:hint="eastAsia"/>
        </w:rPr>
        <w:t>矿区范围外西南部存在一个天然水塘，长约160m，宽约40m，由大气降雨及地下水补给，水位随着大气降雨变化，均低于最低侵蚀基准面1555m，对矿山开采无影响。</w:t>
      </w:r>
    </w:p>
    <w:p w14:paraId="471178CA">
      <w:pPr>
        <w:pStyle w:val="41"/>
        <w:bidi w:val="0"/>
      </w:pPr>
      <w:r>
        <w:rPr>
          <w:rFonts w:hint="eastAsia"/>
        </w:rPr>
        <w:t>矿区内地表水不发育，雨季流量较大，旱季干枯</w:t>
      </w:r>
      <w:r>
        <w:rPr>
          <w:rFonts w:hint="eastAsia"/>
          <w:lang w:eastAsia="zh-CN"/>
        </w:rPr>
        <w:t>，根</w:t>
      </w:r>
      <w:r>
        <w:rPr>
          <w:rFonts w:hint="eastAsia"/>
        </w:rPr>
        <w:t>据本次施工的钻孔揭露，未见地下水活动迹象，矿区地下水主要靠大气降水补给，主要以泉流和裂隙渗出形式排泄。矿山开采最低开采标高为1565m，位于最低侵蚀基准面标高（1555m）以上10m，区内地形坡度一般在10</w:t>
      </w:r>
      <w:r>
        <w:t>°</w:t>
      </w:r>
      <w:r>
        <w:rPr>
          <w:rFonts w:hint="eastAsia"/>
        </w:rPr>
        <w:t>至50</w:t>
      </w:r>
      <w:r>
        <w:t>°</w:t>
      </w:r>
      <w:r>
        <w:rPr>
          <w:rFonts w:hint="eastAsia"/>
        </w:rPr>
        <w:t>之间，开采方式为露天开采，矿山开采的灰岩矿处于斜坡及山顶上，地形有利于地表水及未来矿坑水自然排水。</w:t>
      </w:r>
    </w:p>
    <w:p w14:paraId="195891FA">
      <w:pPr>
        <w:pStyle w:val="41"/>
        <w:bidi w:val="0"/>
        <w:rPr>
          <w:b/>
          <w:bCs/>
        </w:rPr>
      </w:pPr>
      <w:r>
        <w:rPr>
          <w:rFonts w:hint="eastAsia"/>
          <w:b/>
          <w:bCs/>
          <w:lang w:eastAsia="zh-CN"/>
        </w:rPr>
        <w:t>（</w:t>
      </w:r>
      <w:r>
        <w:rPr>
          <w:rFonts w:hint="eastAsia"/>
          <w:b/>
          <w:bCs/>
          <w:lang w:val="en-US" w:eastAsia="zh-CN"/>
        </w:rPr>
        <w:t>2）</w:t>
      </w:r>
      <w:r>
        <w:rPr>
          <w:rFonts w:hint="eastAsia"/>
          <w:b/>
          <w:bCs/>
        </w:rPr>
        <w:t>岩（矿）层的富水性</w:t>
      </w:r>
    </w:p>
    <w:p w14:paraId="75E4E4A1">
      <w:pPr>
        <w:pStyle w:val="41"/>
        <w:bidi w:val="0"/>
      </w:pPr>
      <w:r>
        <w:rPr>
          <w:rFonts w:hint="eastAsia"/>
        </w:rPr>
        <w:t>根据矿区水文地质调查；钻孔简易水文观测；矿区岩性及地下水赋存形式、水理性质和水力特征等因素，将矿区含（隔）水层地层特征</w:t>
      </w:r>
      <w:r>
        <w:rPr>
          <w:lang w:val="zh-CN"/>
        </w:rPr>
        <w:t>分述如下：</w:t>
      </w:r>
    </w:p>
    <w:p w14:paraId="6923F942">
      <w:pPr>
        <w:pStyle w:val="41"/>
        <w:bidi w:val="0"/>
      </w:pPr>
      <w:r>
        <w:rPr>
          <w:rFonts w:hint="eastAsia"/>
          <w:lang w:val="en-US" w:eastAsia="zh-CN"/>
        </w:rPr>
        <w:t>1）</w:t>
      </w:r>
      <w:r>
        <w:rPr>
          <w:rFonts w:hint="eastAsia"/>
        </w:rPr>
        <w:t>松散岩类孔隙含水层（组）</w:t>
      </w:r>
    </w:p>
    <w:p w14:paraId="241E5416">
      <w:pPr>
        <w:pStyle w:val="41"/>
        <w:bidi w:val="0"/>
      </w:pPr>
      <w:r>
        <w:rPr>
          <w:rFonts w:hint="eastAsia"/>
        </w:rPr>
        <w:t>分布于矿区低洼平缓区及斜坡地带，主要为褐红色、褐黄色粘土夹、亚粘土、砾石、砂组成</w:t>
      </w:r>
      <w:r>
        <w:t>，</w:t>
      </w:r>
      <w:r>
        <w:rPr>
          <w:rFonts w:hint="eastAsia"/>
        </w:rPr>
        <w:t>厚0~1.30m，</w:t>
      </w:r>
      <w:r>
        <w:t>与下伏地层呈不整合接触。结构疏松，滞水性强，仅雨后偶见有渗水</w:t>
      </w:r>
      <w:r>
        <w:rPr>
          <w:rFonts w:hint="eastAsia"/>
        </w:rPr>
        <w:t>现象，含水层厚度小，富水性弱，仅雨季含部分水、枯季无水。该岩层地下水主要接受大气降水补给，垂直渗透补给岩溶水。对开采有一定的影响。</w:t>
      </w:r>
    </w:p>
    <w:p w14:paraId="3A8C942D">
      <w:pPr>
        <w:pStyle w:val="41"/>
        <w:bidi w:val="0"/>
      </w:pPr>
      <w:r>
        <w:rPr>
          <w:rFonts w:hint="eastAsia"/>
          <w:lang w:val="en-US" w:eastAsia="zh-CN"/>
        </w:rPr>
        <w:t>2）</w:t>
      </w:r>
      <w:r>
        <w:rPr>
          <w:rFonts w:hint="eastAsia"/>
        </w:rPr>
        <w:t>碳酸盐岩岩溶含水层</w:t>
      </w:r>
    </w:p>
    <w:p w14:paraId="3E1D676D">
      <w:pPr>
        <w:pStyle w:val="41"/>
        <w:bidi w:val="0"/>
      </w:pPr>
      <w:r>
        <w:rPr>
          <w:rFonts w:hint="eastAsia"/>
        </w:rPr>
        <w:t>石炭系下统大塘组（C</w:t>
      </w:r>
      <w:r>
        <w:rPr>
          <w:rFonts w:hint="eastAsia"/>
          <w:vertAlign w:val="subscript"/>
        </w:rPr>
        <w:t>1</w:t>
      </w:r>
      <w:r>
        <w:rPr>
          <w:rFonts w:hint="eastAsia"/>
        </w:rPr>
        <w:t>d）、董有组（C</w:t>
      </w:r>
      <w:r>
        <w:rPr>
          <w:rFonts w:hint="eastAsia"/>
          <w:vertAlign w:val="subscript"/>
        </w:rPr>
        <w:t>1</w:t>
      </w:r>
      <w:r>
        <w:rPr>
          <w:rFonts w:hint="eastAsia"/>
        </w:rPr>
        <w:t>dn）灰岩岩溶含水层出露于整个矿区及外围</w:t>
      </w:r>
      <w:r>
        <w:t>，</w:t>
      </w:r>
      <w:r>
        <w:rPr>
          <w:rFonts w:hint="eastAsia"/>
        </w:rPr>
        <w:t>岩性主要为灰色生物屑泥晶灰岩组成，厚度＞50m，矿区范围内的岩石大部分已开采揭露</w:t>
      </w:r>
      <w:bookmarkStart w:id="325" w:name="_Hlk195039698"/>
      <w:r>
        <w:rPr>
          <w:rFonts w:hint="eastAsia"/>
        </w:rPr>
        <w:t>，西侧岩石局部</w:t>
      </w:r>
      <w:r>
        <w:t>呈半埋藏型</w:t>
      </w:r>
      <w:r>
        <w:rPr>
          <w:rFonts w:hint="eastAsia"/>
          <w:lang w:eastAsia="zh-CN"/>
        </w:rPr>
        <w:t>，根</w:t>
      </w:r>
      <w:r>
        <w:t>据</w:t>
      </w:r>
      <w:r>
        <w:rPr>
          <w:rFonts w:hint="eastAsia"/>
        </w:rPr>
        <w:t>本次</w:t>
      </w:r>
      <w:r>
        <w:t>施工</w:t>
      </w:r>
      <w:r>
        <w:rPr>
          <w:rFonts w:hint="eastAsia"/>
        </w:rPr>
        <w:t>的</w:t>
      </w:r>
      <w:r>
        <w:t>钻孔</w:t>
      </w:r>
      <w:r>
        <w:rPr>
          <w:rFonts w:hint="eastAsia"/>
        </w:rPr>
        <w:t>最深ZK5-2钻孔控制最低标高1545.41m，未见地下水活动迹象。</w:t>
      </w:r>
      <w:r>
        <w:t>该含水层（组）</w:t>
      </w:r>
      <w:r>
        <w:rPr>
          <w:rFonts w:hint="eastAsia"/>
        </w:rPr>
        <w:t>地层中的灰岩节理、裂隙发育，含岩溶裂隙水，据1</w:t>
      </w:r>
      <w:r>
        <w:rPr>
          <w:rFonts w:hint="eastAsia"/>
          <w:lang w:eastAsia="zh-CN"/>
        </w:rPr>
        <w:t>:</w:t>
      </w:r>
      <w:r>
        <w:rPr>
          <w:rFonts w:hint="eastAsia"/>
        </w:rPr>
        <w:t>20万文山幅区域水文地质资料，该段岩溶发育强烈，地下水多呈管隙流，分布不均。多年平均</w:t>
      </w:r>
      <w:r>
        <w:rPr>
          <w:rFonts w:hint="eastAsia"/>
          <w:lang w:eastAsia="zh-CN"/>
        </w:rPr>
        <w:t>径流</w:t>
      </w:r>
      <w:r>
        <w:rPr>
          <w:rFonts w:hint="eastAsia"/>
        </w:rPr>
        <w:t>模量M=3.73</w:t>
      </w:r>
      <w:r>
        <w:rPr>
          <w:rFonts w:hint="eastAsia"/>
          <w:lang w:eastAsia="zh-CN"/>
        </w:rPr>
        <w:t>～</w:t>
      </w:r>
      <w:r>
        <w:rPr>
          <w:rFonts w:hint="eastAsia"/>
        </w:rPr>
        <w:t>40.72L/s·km</w:t>
      </w:r>
      <w:r>
        <w:rPr>
          <w:rFonts w:hint="eastAsia"/>
          <w:vertAlign w:val="superscript"/>
        </w:rPr>
        <w:t>2</w:t>
      </w:r>
      <w:r>
        <w:rPr>
          <w:rFonts w:hint="eastAsia"/>
        </w:rPr>
        <w:t>，钻孔单位涌水量q=0.0449</w:t>
      </w:r>
      <w:r>
        <w:rPr>
          <w:rFonts w:hint="eastAsia"/>
          <w:lang w:eastAsia="zh-CN"/>
        </w:rPr>
        <w:t>～</w:t>
      </w:r>
      <w:r>
        <w:rPr>
          <w:rFonts w:hint="eastAsia"/>
        </w:rPr>
        <w:t>9.5166L/s·m，暗泉流量Q=0.58</w:t>
      </w:r>
      <w:r>
        <w:rPr>
          <w:rFonts w:hint="eastAsia"/>
          <w:lang w:eastAsia="zh-CN"/>
        </w:rPr>
        <w:t>～</w:t>
      </w:r>
      <w:r>
        <w:rPr>
          <w:rFonts w:hint="eastAsia"/>
        </w:rPr>
        <w:t>536L/s，变差系数Cv=1.95。地下水类属HCO</w:t>
      </w:r>
      <w:r>
        <w:rPr>
          <w:rFonts w:hint="eastAsia"/>
          <w:vertAlign w:val="subscript"/>
        </w:rPr>
        <w:t>3</w:t>
      </w:r>
      <w:r>
        <w:rPr>
          <w:rFonts w:hint="eastAsia"/>
        </w:rPr>
        <w:t>-Ca型。经本次调查，矿区周边无泉点，无落水洞。勘查区主要为</w:t>
      </w:r>
      <w:r>
        <w:t>溶蚀裂隙水</w:t>
      </w:r>
      <w:r>
        <w:rPr>
          <w:rFonts w:hint="eastAsia"/>
        </w:rPr>
        <w:t>，补给主要来源于大气降水及孔隙水下渗，沿节理裂隙与溶蚀孔隙运移。</w:t>
      </w:r>
      <w:r>
        <w:t>为矿体及矿床直接</w:t>
      </w:r>
      <w:r>
        <w:rPr>
          <w:rFonts w:hint="eastAsia"/>
        </w:rPr>
        <w:t>底板</w:t>
      </w:r>
      <w:r>
        <w:t>充水含水层，富水性中等。</w:t>
      </w:r>
      <w:r>
        <w:rPr>
          <w:rFonts w:hint="eastAsia"/>
        </w:rPr>
        <w:t>对矿床充水影响较小。</w:t>
      </w:r>
      <w:bookmarkEnd w:id="325"/>
    </w:p>
    <w:p w14:paraId="09159BB7">
      <w:pPr>
        <w:pStyle w:val="41"/>
        <w:bidi w:val="0"/>
        <w:rPr>
          <w:b/>
          <w:bCs/>
        </w:rPr>
      </w:pPr>
      <w:r>
        <w:rPr>
          <w:rFonts w:hint="eastAsia"/>
          <w:b/>
          <w:bCs/>
          <w:lang w:eastAsia="zh-CN"/>
        </w:rPr>
        <w:t>（</w:t>
      </w:r>
      <w:r>
        <w:rPr>
          <w:rFonts w:hint="eastAsia"/>
          <w:b/>
          <w:bCs/>
          <w:lang w:val="en-US" w:eastAsia="zh-CN"/>
        </w:rPr>
        <w:t>3）</w:t>
      </w:r>
      <w:r>
        <w:rPr>
          <w:rFonts w:hint="eastAsia"/>
          <w:b/>
          <w:bCs/>
        </w:rPr>
        <w:t>钻孔揭露水文地质特征</w:t>
      </w:r>
    </w:p>
    <w:p w14:paraId="1D036A2A">
      <w:pPr>
        <w:pStyle w:val="41"/>
        <w:bidi w:val="0"/>
      </w:pPr>
      <w:r>
        <w:rPr>
          <w:rFonts w:hint="eastAsia"/>
        </w:rPr>
        <w:t>结合以往施工8个钻孔及本次工作新增施工钻孔8个，所有施工的钻孔均进行了静止水位观察，并对本次施工8个钻孔均进行了水文地质编录。据矿区内施工的Z</w:t>
      </w:r>
      <w:r>
        <w:t>K</w:t>
      </w:r>
      <w:r>
        <w:rPr>
          <w:rFonts w:hint="eastAsia"/>
        </w:rPr>
        <w:t>2-1、Z</w:t>
      </w:r>
      <w:r>
        <w:t>K</w:t>
      </w:r>
      <w:r>
        <w:rPr>
          <w:rFonts w:hint="eastAsia"/>
        </w:rPr>
        <w:t>2-2、Z</w:t>
      </w:r>
      <w:r>
        <w:t>K</w:t>
      </w:r>
      <w:r>
        <w:rPr>
          <w:rFonts w:hint="eastAsia"/>
        </w:rPr>
        <w:t>2-3、Z</w:t>
      </w:r>
      <w:r>
        <w:t>K</w:t>
      </w:r>
      <w:r>
        <w:rPr>
          <w:rFonts w:hint="eastAsia"/>
        </w:rPr>
        <w:t>3-1、Z</w:t>
      </w:r>
      <w:r>
        <w:t>K</w:t>
      </w:r>
      <w:r>
        <w:rPr>
          <w:rFonts w:hint="eastAsia"/>
        </w:rPr>
        <w:t>3-2、Z</w:t>
      </w:r>
      <w:r>
        <w:t>K</w:t>
      </w:r>
      <w:r>
        <w:rPr>
          <w:rFonts w:hint="eastAsia"/>
        </w:rPr>
        <w:t>4-1、Z</w:t>
      </w:r>
      <w:r>
        <w:t>K</w:t>
      </w:r>
      <w:r>
        <w:rPr>
          <w:rFonts w:hint="eastAsia"/>
        </w:rPr>
        <w:t>5-1、Z</w:t>
      </w:r>
      <w:r>
        <w:t>K</w:t>
      </w:r>
      <w:r>
        <w:rPr>
          <w:rFonts w:hint="eastAsia"/>
        </w:rPr>
        <w:t>5-2共8个钻孔终孔静止水位观测，均为干孔，无静止水位。该岩溶含水层枯水期地下水位低于钻孔孔深。即在钻孔控制范围内，矿层主要处于岩溶含水层地下水的垂直入渗带范围，而资源量估算最低标高1565m，高于该岩溶含水层枯水期地下水位。资源量估算范围内无岩溶含水层地下水活动的迹象，矿体分布于垂直入渗带范围内，透水但不含水。该含水层（段）地表岩溶不发育，地表岩溶形态以降雨侵蚀多溶隙、溶沟为主。据统计，钻孔揭露该部位岩层时冲洗液消耗量较大，钻孔全孔漏水。本次核实工作钻探工程揭露控制最低标高1545.41m（ZK5-2）。仍未见地下水位，因此矿区范围内地下水位埋深在本次钻孔控制地下水位深度以下。</w:t>
      </w:r>
    </w:p>
    <w:p w14:paraId="6D4C2014">
      <w:pPr>
        <w:pStyle w:val="41"/>
        <w:bidi w:val="0"/>
      </w:pPr>
      <w:r>
        <w:rPr>
          <w:rFonts w:hint="eastAsia"/>
        </w:rPr>
        <w:t>钻孔水文地质特征简述如下：</w:t>
      </w:r>
    </w:p>
    <w:p w14:paraId="1C778638">
      <w:pPr>
        <w:pStyle w:val="41"/>
        <w:bidi w:val="0"/>
      </w:pPr>
      <w:r>
        <w:rPr>
          <w:rFonts w:hint="eastAsia"/>
        </w:rPr>
        <w:t>本次施工钻孔开孔于石炭系下统大塘组（D1d）、董有组（D1dn）地层中，全部钻孔终孔于石炭系下统大塘组（D1d）、董有组（D1dn）地层中。岩性主要为灰色块状生物碎屑灰岩，块状构造</w:t>
      </w:r>
      <w:r>
        <w:t>，</w:t>
      </w:r>
      <w:r>
        <w:rPr>
          <w:rFonts w:hint="eastAsia"/>
        </w:rPr>
        <w:t>该段岩芯局部破碎，岩石节理裂隙发育。为岩溶蚀裂隙水含水层，富水性中等。</w:t>
      </w:r>
    </w:p>
    <w:p w14:paraId="3064DC00">
      <w:pPr>
        <w:pStyle w:val="41"/>
        <w:bidi w:val="0"/>
        <w:rPr>
          <w:b/>
          <w:bCs/>
        </w:rPr>
      </w:pPr>
      <w:r>
        <w:rPr>
          <w:rFonts w:hint="eastAsia"/>
          <w:b/>
          <w:bCs/>
          <w:lang w:eastAsia="zh-CN"/>
        </w:rPr>
        <w:t>（</w:t>
      </w:r>
      <w:r>
        <w:rPr>
          <w:rFonts w:hint="eastAsia"/>
          <w:b/>
          <w:bCs/>
          <w:lang w:val="en-US" w:eastAsia="zh-CN"/>
        </w:rPr>
        <w:t>4）</w:t>
      </w:r>
      <w:r>
        <w:rPr>
          <w:rFonts w:hint="eastAsia"/>
          <w:b/>
          <w:bCs/>
        </w:rPr>
        <w:t>露天采场揭露水文地质特征</w:t>
      </w:r>
    </w:p>
    <w:p w14:paraId="2858B4AF">
      <w:pPr>
        <w:pStyle w:val="41"/>
        <w:bidi w:val="0"/>
      </w:pPr>
      <w:r>
        <w:rPr>
          <w:rFonts w:hint="eastAsia"/>
        </w:rPr>
        <w:t>该矿山为露天开采，目前形成了两个采空区，现状下Ⅰ号开采面积约为55244m</w:t>
      </w:r>
      <w:r>
        <w:rPr>
          <w:rFonts w:hint="eastAsia"/>
          <w:vertAlign w:val="superscript"/>
        </w:rPr>
        <w:t>2</w:t>
      </w:r>
      <w:r>
        <w:rPr>
          <w:rFonts w:hint="eastAsia"/>
        </w:rPr>
        <w:t>，开采底界标高约为1578.4m；Ⅱ号开采面积约为104819m</w:t>
      </w:r>
      <w:r>
        <w:rPr>
          <w:rFonts w:hint="eastAsia"/>
          <w:vertAlign w:val="superscript"/>
        </w:rPr>
        <w:t>2</w:t>
      </w:r>
      <w:r>
        <w:rPr>
          <w:rFonts w:hint="eastAsia"/>
        </w:rPr>
        <w:t>，开采底界标高约为1579.5m，矿区内无地表水体分布</w:t>
      </w:r>
      <w:r>
        <w:rPr>
          <w:rFonts w:hint="eastAsia"/>
          <w:lang w:eastAsia="zh-CN"/>
        </w:rPr>
        <w:t>，根</w:t>
      </w:r>
      <w:r>
        <w:rPr>
          <w:rFonts w:hint="eastAsia"/>
        </w:rPr>
        <w:t>据以往开采情况未揭露地下水，主要充水来源于大气降水，采场地处山坡，排水方式为自然排水。</w:t>
      </w:r>
      <w:r>
        <w:t>向沟谷或地形低凹处排泄</w:t>
      </w:r>
      <w:r>
        <w:rPr>
          <w:rFonts w:hint="eastAsia"/>
        </w:rPr>
        <w:t>至岩溶洼地中。</w:t>
      </w:r>
    </w:p>
    <w:p w14:paraId="6E185864">
      <w:pPr>
        <w:pStyle w:val="41"/>
        <w:bidi w:val="0"/>
        <w:rPr>
          <w:b/>
          <w:bCs/>
          <w:i w:val="0"/>
          <w:iCs w:val="0"/>
        </w:rPr>
      </w:pPr>
      <w:r>
        <w:rPr>
          <w:rFonts w:hint="eastAsia"/>
          <w:b/>
          <w:bCs/>
          <w:i w:val="0"/>
          <w:iCs w:val="0"/>
          <w:lang w:eastAsia="zh-CN"/>
        </w:rPr>
        <w:t>（</w:t>
      </w:r>
      <w:r>
        <w:rPr>
          <w:rFonts w:hint="eastAsia"/>
          <w:b/>
          <w:bCs/>
          <w:i w:val="0"/>
          <w:iCs w:val="0"/>
          <w:lang w:val="en-US" w:eastAsia="zh-CN"/>
        </w:rPr>
        <w:t>5）</w:t>
      </w:r>
      <w:r>
        <w:rPr>
          <w:rFonts w:hint="eastAsia"/>
          <w:b/>
          <w:bCs/>
          <w:i w:val="0"/>
          <w:iCs w:val="0"/>
        </w:rPr>
        <w:t>地下水动态特征及其补给、径流、排泄</w:t>
      </w:r>
    </w:p>
    <w:p w14:paraId="3703E4B9">
      <w:pPr>
        <w:pStyle w:val="41"/>
        <w:bidi w:val="0"/>
      </w:pPr>
      <w:r>
        <w:rPr>
          <w:rFonts w:hint="eastAsia"/>
        </w:rPr>
        <w:t>矿区地层中的地下水类型主要为碳酸盐岩类裂隙含水层，矿区位于其补给径流区。</w:t>
      </w:r>
    </w:p>
    <w:p w14:paraId="2B6A525E">
      <w:pPr>
        <w:pStyle w:val="41"/>
        <w:bidi w:val="0"/>
      </w:pPr>
      <w:r>
        <w:rPr>
          <w:rFonts w:hint="eastAsia"/>
        </w:rPr>
        <w:t>矿区地下水的补给来源有两种：一种是大气降水的直接补给。矿区为松散堆积层孔隙水及裂隙含水层分布，节理、裂隙发育，是大气降水渗透补给的有利条件。根据1/20万文山幅区域水文地质报告，大气降水是矿区地下水的主要补给来源，其次是矿区相邻含水层侧向补给。</w:t>
      </w:r>
    </w:p>
    <w:p w14:paraId="28E6ACBA">
      <w:pPr>
        <w:pStyle w:val="41"/>
        <w:bidi w:val="0"/>
        <w:rPr>
          <w:b/>
          <w:bCs/>
        </w:rPr>
      </w:pPr>
      <w:r>
        <w:rPr>
          <w:rFonts w:hint="eastAsia"/>
          <w:b/>
          <w:bCs/>
          <w:lang w:eastAsia="zh-CN"/>
        </w:rPr>
        <w:t>（</w:t>
      </w:r>
      <w:r>
        <w:rPr>
          <w:rFonts w:hint="eastAsia"/>
          <w:b/>
          <w:bCs/>
          <w:lang w:val="en-US" w:eastAsia="zh-CN"/>
        </w:rPr>
        <w:t>6）</w:t>
      </w:r>
      <w:r>
        <w:rPr>
          <w:rFonts w:hint="eastAsia"/>
          <w:b/>
          <w:bCs/>
        </w:rPr>
        <w:t>主要水文地质问题</w:t>
      </w:r>
    </w:p>
    <w:p w14:paraId="347D2779">
      <w:pPr>
        <w:pStyle w:val="41"/>
        <w:bidi w:val="0"/>
      </w:pPr>
      <w:r>
        <w:rPr>
          <w:rFonts w:hint="eastAsia"/>
        </w:rPr>
        <w:t>矿区采场地下水位低于露采水平，因此未来开采矿坑水为直接落入矿坑的大气降水和通过矿坑外围汇水面积流入矿坑的大气降水。由于露采标高高于自然排泄面标高，矿坑水通过明沟自然排水。</w:t>
      </w:r>
    </w:p>
    <w:p w14:paraId="406026DF">
      <w:pPr>
        <w:pStyle w:val="41"/>
        <w:bidi w:val="0"/>
      </w:pPr>
      <w:r>
        <w:rPr>
          <w:rFonts w:hint="eastAsia"/>
        </w:rPr>
        <w:t>未来露天采矿坑坑口汇水面积较大，建议在露采坑境界外开挖防洪沟，防止矿坑外的地表水涌入</w:t>
      </w:r>
      <w:r>
        <w:t>。</w:t>
      </w:r>
    </w:p>
    <w:p w14:paraId="43C011A7">
      <w:pPr>
        <w:pStyle w:val="41"/>
        <w:bidi w:val="0"/>
        <w:rPr>
          <w:b/>
          <w:bCs/>
        </w:rPr>
      </w:pPr>
      <w:r>
        <w:rPr>
          <w:rFonts w:hint="eastAsia"/>
          <w:b/>
          <w:bCs/>
          <w:lang w:eastAsia="zh-CN"/>
        </w:rPr>
        <w:t>（</w:t>
      </w:r>
      <w:r>
        <w:rPr>
          <w:rFonts w:hint="eastAsia"/>
          <w:b/>
          <w:bCs/>
          <w:lang w:val="en-US" w:eastAsia="zh-CN"/>
        </w:rPr>
        <w:t>7）</w:t>
      </w:r>
      <w:r>
        <w:rPr>
          <w:rFonts w:hint="eastAsia"/>
          <w:b/>
          <w:bCs/>
        </w:rPr>
        <w:t>水文地质勘查类型</w:t>
      </w:r>
    </w:p>
    <w:p w14:paraId="3A7208F0">
      <w:pPr>
        <w:pStyle w:val="41"/>
        <w:bidi w:val="0"/>
        <w:rPr>
          <w:rFonts w:hint="eastAsia"/>
        </w:rPr>
      </w:pPr>
      <w:r>
        <w:rPr>
          <w:rFonts w:hint="eastAsia"/>
        </w:rPr>
        <w:t>矿体赋存于石炭系下统大塘组、董有组中，岩性主要为灰色生物屑泥微晶灰岩，地表风化较为强烈，为裂隙含水层，矿区内未见有泉点分布，总体富水性中等，钻孔简易水文地质观测，钻孔钻进中冲洗液消耗量较大，全孔漏水。现状露天采坑最低标高1545.41m，矿区主要为</w:t>
      </w:r>
      <w:r>
        <w:t>溶蚀裂隙水</w:t>
      </w:r>
      <w:r>
        <w:rPr>
          <w:rFonts w:hint="eastAsia"/>
        </w:rPr>
        <w:t>，</w:t>
      </w:r>
      <w:r>
        <w:t>富水性中等</w:t>
      </w:r>
      <w:r>
        <w:rPr>
          <w:rFonts w:hint="eastAsia"/>
        </w:rPr>
        <w:t>，地下水对矿床无充水影响，采坑涌水来源于季节性大气降雨，经自然斜坡及冲沟自流排泄。</w:t>
      </w:r>
      <w:bookmarkStart w:id="326" w:name="_Hlk197961601"/>
      <w:r>
        <w:rPr>
          <w:rFonts w:hint="eastAsia"/>
        </w:rPr>
        <w:t>矿床水文地质勘查类型划分为以大气降雨为唯一充水来源的简单类型</w:t>
      </w:r>
      <w:bookmarkEnd w:id="326"/>
      <w:r>
        <w:rPr>
          <w:rFonts w:hint="eastAsia"/>
        </w:rPr>
        <w:t>。</w:t>
      </w:r>
    </w:p>
    <w:p w14:paraId="4CA455D8">
      <w:pPr>
        <w:pStyle w:val="4"/>
        <w:bidi w:val="0"/>
      </w:pPr>
      <w:r>
        <w:rPr>
          <w:rFonts w:hint="eastAsia"/>
        </w:rPr>
        <w:t>地表水系及动态</w:t>
      </w:r>
    </w:p>
    <w:p w14:paraId="226634AC">
      <w:pPr>
        <w:pStyle w:val="41"/>
        <w:bidi w:val="0"/>
      </w:pPr>
      <w:r>
        <w:rPr>
          <w:rFonts w:hint="eastAsia"/>
        </w:rPr>
        <w:t>砚山县地处红河、珠江两流域分水岭，河网密度小。砚山县属珠江流域西江水系面积1548.85km2，占41.4%；属红河流域泸江水系面积2189.15km</w:t>
      </w:r>
      <w:r>
        <w:rPr>
          <w:rFonts w:hint="eastAsia"/>
          <w:vertAlign w:val="superscript"/>
        </w:rPr>
        <w:t>2</w:t>
      </w:r>
      <w:r>
        <w:rPr>
          <w:rFonts w:hint="eastAsia"/>
        </w:rPr>
        <w:t>，占58.6%。主要河流有公革河、阿山龙河、八嘎河、稼依河、翁达河、贵马河6条小河，总长：213.9km，流域面积2769.67km</w:t>
      </w:r>
      <w:r>
        <w:rPr>
          <w:rFonts w:hint="eastAsia"/>
          <w:vertAlign w:val="superscript"/>
        </w:rPr>
        <w:t>2</w:t>
      </w:r>
      <w:r>
        <w:rPr>
          <w:rFonts w:hint="eastAsia"/>
        </w:rPr>
        <w:t>，可灌溉农田耕地551270亩。人工湖、天然湖星罗棋布。其中西江水系有2条（公革河和阿三龙河），泸江水系有4条（稼依河、翁达河、八嘎河及贵马河）。</w:t>
      </w:r>
    </w:p>
    <w:p w14:paraId="3343C07C">
      <w:pPr>
        <w:pStyle w:val="41"/>
        <w:bidi w:val="0"/>
        <w:rPr>
          <w:rFonts w:hint="eastAsia"/>
        </w:rPr>
      </w:pPr>
      <w:r>
        <w:rPr>
          <w:rFonts w:hint="eastAsia"/>
        </w:rPr>
        <w:t>项目区附近流经河流为公革河属西江水系，发源于江那镇龙潭寨，途经回龙、听湖两水库，流至者腊乡大新寨与阿野支流汇合，流出县境后称南丘河，下段为清水江。公革河在县境内全长94km，流域面积1371.56km</w:t>
      </w:r>
      <w:r>
        <w:rPr>
          <w:rFonts w:hint="eastAsia"/>
          <w:vertAlign w:val="superscript"/>
        </w:rPr>
        <w:t>2</w:t>
      </w:r>
      <w:r>
        <w:rPr>
          <w:rFonts w:hint="eastAsia"/>
        </w:rPr>
        <w:t>，河床高差215m，坡降2.30‰，平均海拔1578.20m，控制水量4520.86万</w:t>
      </w:r>
      <w:r>
        <w:rPr>
          <w:rFonts w:hint="eastAsia"/>
          <w:lang w:eastAsia="zh-CN"/>
        </w:rPr>
        <w:t>m</w:t>
      </w:r>
      <w:r>
        <w:rPr>
          <w:rFonts w:hint="eastAsia"/>
          <w:vertAlign w:val="superscript"/>
          <w:lang w:eastAsia="zh-CN"/>
        </w:rPr>
        <w:t>3</w:t>
      </w:r>
      <w:r>
        <w:rPr>
          <w:rFonts w:hint="eastAsia"/>
        </w:rPr>
        <w:t>，灌溉面积511015亩。扩建项目西南边约</w:t>
      </w:r>
      <w:r>
        <w:rPr>
          <w:rFonts w:hint="eastAsia"/>
          <w:lang w:val="en-US" w:eastAsia="zh-CN"/>
        </w:rPr>
        <w:t>51</w:t>
      </w:r>
      <w:r>
        <w:rPr>
          <w:rFonts w:hint="eastAsia"/>
        </w:rPr>
        <w:t>0m处有一小水库（石马水库），功能为农灌，无饮用功能，隶属文山监狱砚山分监，主要功能用于砚山分监、水泥厂、葡萄园的农业、生产用水。</w:t>
      </w:r>
    </w:p>
    <w:p w14:paraId="4ABA1BE6">
      <w:pPr>
        <w:pStyle w:val="41"/>
        <w:bidi w:val="0"/>
        <w:rPr>
          <w:rFonts w:hint="eastAsia"/>
        </w:rPr>
      </w:pPr>
      <w:r>
        <w:rPr>
          <w:rFonts w:hint="eastAsia"/>
          <w:lang w:val="en-US" w:eastAsia="zh-CN"/>
        </w:rPr>
        <w:t>积</w:t>
      </w:r>
      <w:r>
        <w:rPr>
          <w:rFonts w:hint="eastAsia"/>
        </w:rPr>
        <w:t>水塘，属文山监狱，库容</w:t>
      </w:r>
      <w:r>
        <w:rPr>
          <w:rFonts w:hint="eastAsia"/>
          <w:lang w:eastAsia="zh-CN"/>
        </w:rPr>
        <w:t>20多万m</w:t>
      </w:r>
      <w:r>
        <w:rPr>
          <w:rFonts w:hint="eastAsia"/>
          <w:vertAlign w:val="superscript"/>
          <w:lang w:eastAsia="zh-CN"/>
        </w:rPr>
        <w:t>3</w:t>
      </w:r>
      <w:r>
        <w:rPr>
          <w:rFonts w:hint="eastAsia"/>
        </w:rPr>
        <w:t>，功能农业用水，灌溉面积约300亩，无村民用水，一般10年中约有4年会干，4月5月会干，属沼泽地，渗漏较严重。</w:t>
      </w:r>
    </w:p>
    <w:p w14:paraId="48EA1DCA">
      <w:pPr>
        <w:pStyle w:val="41"/>
        <w:bidi w:val="0"/>
        <w:rPr>
          <w:rFonts w:hint="eastAsia"/>
        </w:rPr>
      </w:pPr>
      <w:r>
        <w:rPr>
          <w:rFonts w:hint="eastAsia"/>
          <w:lang w:val="en-US" w:eastAsia="zh-CN"/>
        </w:rPr>
        <w:t>红舍克下坝</w:t>
      </w:r>
      <w:r>
        <w:rPr>
          <w:rFonts w:hint="eastAsia"/>
        </w:rPr>
        <w:t>水库，属红舍克村（自然村），库容约60万</w:t>
      </w:r>
      <w:r>
        <w:rPr>
          <w:rFonts w:hint="eastAsia"/>
          <w:lang w:eastAsia="zh-CN"/>
        </w:rPr>
        <w:t>m</w:t>
      </w:r>
      <w:r>
        <w:rPr>
          <w:rFonts w:hint="eastAsia"/>
          <w:vertAlign w:val="superscript"/>
          <w:lang w:eastAsia="zh-CN"/>
        </w:rPr>
        <w:t>3</w:t>
      </w:r>
      <w:r>
        <w:rPr>
          <w:rFonts w:hint="eastAsia"/>
        </w:rPr>
        <w:t>，功能为饮用及农业用水，灌溉面积约水田2000亩，旱地约200亩，周边村民用水，用水人数约1000人，一般10年中约有2年会干，4月5月会干，属沼泽地，渗漏较严重。</w:t>
      </w:r>
    </w:p>
    <w:p w14:paraId="4AB22EE1">
      <w:pPr>
        <w:pStyle w:val="41"/>
        <w:bidi w:val="0"/>
        <w:rPr>
          <w:rFonts w:hint="eastAsia"/>
          <w:lang w:val="en-US" w:eastAsia="zh-CN"/>
        </w:rPr>
      </w:pPr>
      <w:r>
        <w:rPr>
          <w:rFonts w:hint="eastAsia"/>
        </w:rPr>
        <w:t>红舍克水库，属县水务局，在扩建项目北面约</w:t>
      </w:r>
      <w:r>
        <w:rPr>
          <w:rFonts w:hint="eastAsia"/>
          <w:lang w:val="en-US" w:eastAsia="zh-CN"/>
        </w:rPr>
        <w:t>2.8</w:t>
      </w:r>
      <w:r>
        <w:rPr>
          <w:rFonts w:hint="eastAsia"/>
        </w:rPr>
        <w:t>km处，红舍克水库位于红舍克村，红舍克水库下游为公革河支流，属于西江水系，径流面积为26.80km</w:t>
      </w:r>
      <w:r>
        <w:rPr>
          <w:rFonts w:hint="eastAsia"/>
          <w:vertAlign w:val="superscript"/>
        </w:rPr>
        <w:t>2</w:t>
      </w:r>
      <w:r>
        <w:rPr>
          <w:rFonts w:hint="eastAsia"/>
        </w:rPr>
        <w:t>，年产水量为585万</w:t>
      </w:r>
      <w:r>
        <w:rPr>
          <w:rFonts w:hint="eastAsia"/>
          <w:lang w:eastAsia="zh-CN"/>
        </w:rPr>
        <w:t>m</w:t>
      </w:r>
      <w:r>
        <w:rPr>
          <w:rFonts w:hint="eastAsia"/>
          <w:vertAlign w:val="superscript"/>
          <w:lang w:eastAsia="zh-CN"/>
        </w:rPr>
        <w:t>3</w:t>
      </w:r>
      <w:r>
        <w:rPr>
          <w:rFonts w:hint="eastAsia"/>
        </w:rPr>
        <w:t>，坝顶高程为1543.0m，总库容为722.0万</w:t>
      </w:r>
      <w:r>
        <w:rPr>
          <w:rFonts w:hint="eastAsia"/>
          <w:lang w:eastAsia="zh-CN"/>
        </w:rPr>
        <w:t>m</w:t>
      </w:r>
      <w:r>
        <w:rPr>
          <w:rFonts w:hint="eastAsia"/>
          <w:vertAlign w:val="superscript"/>
          <w:lang w:eastAsia="zh-CN"/>
        </w:rPr>
        <w:t>3</w:t>
      </w:r>
      <w:r>
        <w:rPr>
          <w:rFonts w:hint="eastAsia"/>
        </w:rPr>
        <w:t>，兴利库容为483.0万</w:t>
      </w:r>
      <w:r>
        <w:rPr>
          <w:rFonts w:hint="eastAsia"/>
          <w:lang w:eastAsia="zh-CN"/>
        </w:rPr>
        <w:t>m</w:t>
      </w:r>
      <w:r>
        <w:rPr>
          <w:rFonts w:hint="eastAsia"/>
          <w:vertAlign w:val="superscript"/>
          <w:lang w:eastAsia="zh-CN"/>
        </w:rPr>
        <w:t>3</w:t>
      </w:r>
      <w:r>
        <w:rPr>
          <w:rFonts w:hint="eastAsia"/>
        </w:rPr>
        <w:t>，年可供水量为476万</w:t>
      </w:r>
      <w:r>
        <w:rPr>
          <w:rFonts w:hint="eastAsia"/>
          <w:lang w:eastAsia="zh-CN"/>
        </w:rPr>
        <w:t>m</w:t>
      </w:r>
      <w:r>
        <w:rPr>
          <w:rFonts w:hint="eastAsia"/>
          <w:vertAlign w:val="superscript"/>
          <w:lang w:eastAsia="zh-CN"/>
        </w:rPr>
        <w:t>3</w:t>
      </w:r>
      <w:r>
        <w:rPr>
          <w:rFonts w:hint="eastAsia"/>
        </w:rPr>
        <w:t>。功能为饮用、农业用水、工业用水等，目前农业用水约150万</w:t>
      </w:r>
      <w:r>
        <w:rPr>
          <w:rFonts w:hint="eastAsia"/>
          <w:lang w:eastAsia="zh-CN"/>
        </w:rPr>
        <w:t>m</w:t>
      </w:r>
      <w:r>
        <w:rPr>
          <w:rFonts w:hint="eastAsia"/>
          <w:vertAlign w:val="superscript"/>
          <w:lang w:eastAsia="zh-CN"/>
        </w:rPr>
        <w:t>3</w:t>
      </w:r>
      <w:r>
        <w:rPr>
          <w:rFonts w:hint="eastAsia"/>
        </w:rPr>
        <w:t>，工业用水约50万</w:t>
      </w:r>
      <w:r>
        <w:rPr>
          <w:rFonts w:hint="eastAsia"/>
          <w:lang w:eastAsia="zh-CN"/>
        </w:rPr>
        <w:t>m</w:t>
      </w:r>
      <w:r>
        <w:rPr>
          <w:rFonts w:hint="eastAsia"/>
          <w:vertAlign w:val="superscript"/>
          <w:lang w:eastAsia="zh-CN"/>
        </w:rPr>
        <w:t>3</w:t>
      </w:r>
      <w:r>
        <w:rPr>
          <w:rFonts w:hint="eastAsia"/>
        </w:rPr>
        <w:t>，周围村民用水人数约6000人。</w:t>
      </w:r>
      <w:r>
        <w:rPr>
          <w:rFonts w:hint="eastAsia"/>
          <w:lang w:val="en-US" w:eastAsia="zh-CN"/>
        </w:rPr>
        <w:t>红舍克水库于2019年划为饮用水源保护区。</w:t>
      </w:r>
    </w:p>
    <w:p w14:paraId="1D61E0AC">
      <w:pPr>
        <w:pStyle w:val="41"/>
        <w:bidi w:val="0"/>
      </w:pPr>
      <w:r>
        <w:t>红舍克水库为小（一）型水库，径流区地表水系不太发育，无较大的新冲沟，水库补给来源主要为季节性大气降水补给。红舍克水库上游分布石马水库、石门水库、红舍克上坝水库、红舍克下坝水库、小舍克水库等</w:t>
      </w:r>
      <w:r>
        <w:rPr>
          <w:lang w:val="en-US" w:eastAsia="en-US"/>
        </w:rPr>
        <w:t>5</w:t>
      </w:r>
      <w:r>
        <w:t>座小型水库，呈两组阶梯式串联，分别为石马水库一石门水库一红舍克下坝水库一红舍克水库，小舍克水库一红舍克上坝水库一红舍克下坝水库一红舍克水库。</w:t>
      </w:r>
    </w:p>
    <w:p w14:paraId="1B9F378D">
      <w:pPr>
        <w:pStyle w:val="4"/>
        <w:bidi w:val="0"/>
        <w:rPr>
          <w:rFonts w:hint="eastAsia"/>
          <w:lang w:val="en-US" w:eastAsia="zh-CN"/>
        </w:rPr>
      </w:pPr>
      <w:r>
        <w:rPr>
          <w:rFonts w:hint="eastAsia"/>
          <w:lang w:val="en-US" w:eastAsia="zh-CN"/>
        </w:rPr>
        <w:t>土壤</w:t>
      </w:r>
    </w:p>
    <w:p w14:paraId="3F29E75C">
      <w:pPr>
        <w:pStyle w:val="41"/>
        <w:bidi w:val="0"/>
      </w:pPr>
      <w:r>
        <w:rPr>
          <w:lang w:val="en-US" w:eastAsia="zh-CN"/>
        </w:rPr>
        <w:t>评价区位于云南省文山州砚山县江那镇铳卡村石门坎一带，区域地处滇东南喀斯特地貌区，地形以缓坡、丘陵、岩溶剥蚀盆地为主，地表岩性以碳酸盐岩、碎屑岩分布较广。</w:t>
      </w:r>
    </w:p>
    <w:p w14:paraId="757B58AB">
      <w:pPr>
        <w:pStyle w:val="41"/>
        <w:bidi w:val="0"/>
      </w:pPr>
      <w:r>
        <w:rPr>
          <w:lang w:val="en-US" w:eastAsia="zh-CN"/>
        </w:rPr>
        <w:t>区域土壤类型以红壤为主，局部地段分布石灰岩土及少量紫色土，海拔多在 1400～1600m之间，属典型山地红壤分布区。土壤质地以砂壤土、轻壤土为主，土质较为疏松，通透性较好，土层厚度一般在0.5～1.5m，局部岩溶地段土层较薄、石砾含量相对较高。</w:t>
      </w:r>
    </w:p>
    <w:p w14:paraId="5D3770DC">
      <w:pPr>
        <w:pStyle w:val="41"/>
        <w:bidi w:val="0"/>
        <w:rPr>
          <w:lang w:val="en-US" w:eastAsia="zh-CN"/>
        </w:rPr>
      </w:pPr>
      <w:r>
        <w:rPr>
          <w:lang w:val="en-US" w:eastAsia="zh-CN"/>
        </w:rPr>
        <w:t>土壤呈微酸性至中性，pH值多在5.5～6.8之间；土壤有机质含量中等，氮素含量相对较高，有效磷、速效钾总体处于中等偏低水平，肥力属中等水平。区域无重金属及有机物污染历史。</w:t>
      </w:r>
    </w:p>
    <w:p w14:paraId="7D391013">
      <w:pPr>
        <w:pStyle w:val="3"/>
        <w:bidi w:val="0"/>
        <w:rPr>
          <w:lang w:val="en-US" w:eastAsia="zh-CN"/>
        </w:rPr>
      </w:pPr>
      <w:r>
        <w:rPr>
          <w:rFonts w:hint="default"/>
        </w:rPr>
        <w:t>生态环境现</w:t>
      </w:r>
      <w:r>
        <w:rPr>
          <w:rFonts w:hint="default"/>
          <w:lang w:val="en-US" w:eastAsia="zh-CN"/>
        </w:rPr>
        <w:t>调查与评价</w:t>
      </w:r>
    </w:p>
    <w:p w14:paraId="58AC972B">
      <w:pPr>
        <w:pStyle w:val="4"/>
        <w:bidi w:val="0"/>
      </w:pPr>
      <w:bookmarkStart w:id="327" w:name="_Ref114050279"/>
      <w:bookmarkStart w:id="328" w:name="_Ref114050890"/>
      <w:bookmarkStart w:id="329" w:name="_Toc149657638"/>
      <w:r>
        <w:t>调查概况</w:t>
      </w:r>
      <w:bookmarkEnd w:id="327"/>
      <w:bookmarkEnd w:id="328"/>
      <w:bookmarkEnd w:id="329"/>
    </w:p>
    <w:p w14:paraId="70303093">
      <w:pPr>
        <w:pStyle w:val="5"/>
        <w:bidi w:val="0"/>
      </w:pPr>
      <w:bookmarkStart w:id="330" w:name="_Toc149657641"/>
      <w:bookmarkStart w:id="331" w:name="_Toc118058175"/>
      <w:r>
        <w:t>调查范围</w:t>
      </w:r>
    </w:p>
    <w:p w14:paraId="40912C5E">
      <w:pPr>
        <w:pStyle w:val="41"/>
        <w:bidi w:val="0"/>
      </w:pPr>
      <w:r>
        <w:rPr>
          <w:rFonts w:hint="eastAsia"/>
        </w:rPr>
        <w:t>与评价范围保持一致，调查区域涵盖项目施工活动的直接影响区域和间接影响区域，其中特别关注：项目直接影响区</w:t>
      </w:r>
      <w:r>
        <w:rPr>
          <w:rFonts w:hint="eastAsia"/>
          <w:lang w:eastAsia="zh-CN"/>
        </w:rPr>
        <w:t>、</w:t>
      </w:r>
      <w:r>
        <w:rPr>
          <w:rFonts w:hint="eastAsia"/>
        </w:rPr>
        <w:t>可能受到工程实施间接影响的野生动物生境。根据本项目建设情况，确定本次生态评价范围为</w:t>
      </w:r>
      <w:r>
        <w:rPr>
          <w:rFonts w:hint="eastAsia"/>
          <w:lang w:val="en-US" w:eastAsia="zh-CN"/>
        </w:rPr>
        <w:t>项目矿界</w:t>
      </w:r>
      <w:r>
        <w:rPr>
          <w:rFonts w:hint="eastAsia"/>
        </w:rPr>
        <w:t>向外扩</w:t>
      </w:r>
      <w:r>
        <w:rPr>
          <w:rFonts w:hint="eastAsia"/>
          <w:lang w:val="en-US" w:eastAsia="zh-CN"/>
        </w:rPr>
        <w:t>500</w:t>
      </w:r>
      <w:r>
        <w:rPr>
          <w:rFonts w:hint="eastAsia"/>
        </w:rPr>
        <w:t>m矿区范围，共</w:t>
      </w:r>
      <w:r>
        <w:rPr>
          <w:rFonts w:hint="eastAsia"/>
          <w:lang w:val="en-US" w:eastAsia="zh-CN"/>
        </w:rPr>
        <w:t>231.98</w:t>
      </w:r>
      <w:r>
        <w:rPr>
          <w:rFonts w:hint="eastAsia"/>
        </w:rPr>
        <w:t>hm</w:t>
      </w:r>
      <w:r>
        <w:rPr>
          <w:rFonts w:hint="eastAsia"/>
          <w:vertAlign w:val="superscript"/>
        </w:rPr>
        <w:t>2</w:t>
      </w:r>
      <w:r>
        <w:rPr>
          <w:rFonts w:hint="eastAsia"/>
        </w:rPr>
        <w:t>。</w:t>
      </w:r>
    </w:p>
    <w:p w14:paraId="1F33B4D7">
      <w:pPr>
        <w:pStyle w:val="5"/>
        <w:bidi w:val="0"/>
      </w:pPr>
      <w:r>
        <w:rPr>
          <w:rFonts w:hint="eastAsia"/>
        </w:rPr>
        <w:t>调查内容及方法</w:t>
      </w:r>
      <w:bookmarkEnd w:id="330"/>
    </w:p>
    <w:p w14:paraId="1DAD5727">
      <w:pPr>
        <w:pStyle w:val="41"/>
        <w:bidi w:val="0"/>
        <w:rPr>
          <w:b/>
          <w:bCs/>
        </w:rPr>
      </w:pPr>
      <w:r>
        <w:rPr>
          <w:rFonts w:hint="eastAsia"/>
          <w:b/>
          <w:bCs/>
          <w:lang w:eastAsia="zh-CN"/>
        </w:rPr>
        <w:t>（</w:t>
      </w:r>
      <w:r>
        <w:rPr>
          <w:rFonts w:hint="eastAsia"/>
          <w:b/>
          <w:bCs/>
          <w:lang w:val="en-US" w:eastAsia="zh-CN"/>
        </w:rPr>
        <w:t>1）</w:t>
      </w:r>
      <w:r>
        <w:rPr>
          <w:rFonts w:hint="eastAsia"/>
          <w:b/>
          <w:bCs/>
        </w:rPr>
        <w:t>调查内容：</w:t>
      </w:r>
    </w:p>
    <w:p w14:paraId="475484A4">
      <w:pPr>
        <w:pStyle w:val="41"/>
        <w:bidi w:val="0"/>
        <w:rPr>
          <w:rFonts w:hint="eastAsia"/>
        </w:rPr>
      </w:pPr>
      <w:r>
        <w:rPr>
          <w:rFonts w:hint="eastAsia"/>
        </w:rPr>
        <w:t>本项目陆生生态为三级，根据《环境影响评价技术导则 生态影响》</w:t>
      </w:r>
      <w:r>
        <w:rPr>
          <w:rFonts w:hint="eastAsia"/>
          <w:lang w:eastAsia="zh-CN"/>
        </w:rPr>
        <w:t>（</w:t>
      </w:r>
      <w:r>
        <w:rPr>
          <w:rFonts w:hint="eastAsia"/>
        </w:rPr>
        <w:t>HJ19</w:t>
      </w:r>
      <w:r>
        <w:rPr>
          <w:rFonts w:hint="eastAsia"/>
          <w:lang w:val="en-US" w:eastAsia="zh-CN"/>
        </w:rPr>
        <w:t>-</w:t>
      </w:r>
      <w:r>
        <w:rPr>
          <w:rFonts w:hint="eastAsia"/>
        </w:rPr>
        <w:t>2022</w:t>
      </w:r>
      <w:r>
        <w:rPr>
          <w:rFonts w:hint="eastAsia"/>
          <w:lang w:eastAsia="zh-CN"/>
        </w:rPr>
        <w:t>）</w:t>
      </w:r>
      <w:r>
        <w:rPr>
          <w:rFonts w:hint="eastAsia"/>
        </w:rPr>
        <w:t>，三级评价现状调查以收集有效资料为主，可开展必要的遥感调查或现场校核。三级评价可采用定性描述或面积、比例等定量指标，重点对评价范围内的土地利用现状、植被现状、野生动植物现状等进行分析，编制土地利用现状图、植被类型图、生态保护目标分布图等图件。本次三级评价以收集资料为主，辅以遥感调查和现场调查访问。</w:t>
      </w:r>
    </w:p>
    <w:p w14:paraId="619BD0D1">
      <w:pPr>
        <w:pStyle w:val="41"/>
        <w:bidi w:val="0"/>
        <w:rPr>
          <w:b/>
          <w:bCs/>
        </w:rPr>
      </w:pPr>
      <w:r>
        <w:rPr>
          <w:rFonts w:hint="eastAsia"/>
          <w:b/>
          <w:bCs/>
          <w:lang w:eastAsia="zh-CN"/>
        </w:rPr>
        <w:t>（</w:t>
      </w:r>
      <w:r>
        <w:rPr>
          <w:rFonts w:hint="eastAsia"/>
          <w:b/>
          <w:bCs/>
          <w:lang w:val="en-US" w:eastAsia="zh-CN"/>
        </w:rPr>
        <w:t>2）</w:t>
      </w:r>
      <w:r>
        <w:rPr>
          <w:rFonts w:hint="eastAsia"/>
          <w:b/>
          <w:bCs/>
        </w:rPr>
        <w:t>调查方法：</w:t>
      </w:r>
    </w:p>
    <w:p w14:paraId="31A6D5FE">
      <w:pPr>
        <w:pStyle w:val="41"/>
        <w:bidi w:val="0"/>
        <w:rPr>
          <w:b/>
          <w:bCs/>
        </w:rPr>
      </w:pPr>
      <w:r>
        <w:rPr>
          <w:rFonts w:hint="eastAsia"/>
          <w:b/>
          <w:bCs/>
          <w:lang w:val="en-US" w:eastAsia="zh-CN"/>
        </w:rPr>
        <w:t>1）</w:t>
      </w:r>
      <w:r>
        <w:rPr>
          <w:rFonts w:hint="eastAsia"/>
          <w:b/>
          <w:bCs/>
        </w:rPr>
        <w:t>土地利用现状调查</w:t>
      </w:r>
    </w:p>
    <w:p w14:paraId="686C329C">
      <w:pPr>
        <w:pStyle w:val="41"/>
        <w:bidi w:val="0"/>
      </w:pPr>
      <w:r>
        <w:rPr>
          <w:rFonts w:hint="eastAsia"/>
        </w:rPr>
        <w:t>评价区域土地利用现状基于第三次全国国土调查结果、高分辨率遥感影像利用GIS软件进行人工目视解译，遥感影像采用影像分辨率为10m哨兵二号</w:t>
      </w:r>
      <w:r>
        <w:rPr>
          <w:rFonts w:hint="eastAsia"/>
          <w:lang w:eastAsia="zh-CN"/>
        </w:rPr>
        <w:t>（</w:t>
      </w:r>
      <w:r>
        <w:rPr>
          <w:rFonts w:hint="eastAsia"/>
        </w:rPr>
        <w:t>Sentine1-2</w:t>
      </w:r>
      <w:r>
        <w:rPr>
          <w:rFonts w:hint="eastAsia"/>
          <w:lang w:eastAsia="zh-CN"/>
        </w:rPr>
        <w:t>）</w:t>
      </w:r>
      <w:r>
        <w:rPr>
          <w:rFonts w:hint="eastAsia"/>
        </w:rPr>
        <w:t>L2A级数据产品，同时结合区域天地图、谷歌地图0.5m分辨率影像以及重点调查区域现场调查无人机航拍影像作为解译基础底图按照《环境影响评价技术导则 生态影响》</w:t>
      </w:r>
      <w:r>
        <w:rPr>
          <w:rFonts w:hint="eastAsia"/>
          <w:lang w:eastAsia="zh-CN"/>
        </w:rPr>
        <w:t>（</w:t>
      </w:r>
      <w:r>
        <w:rPr>
          <w:rFonts w:hint="eastAsia"/>
        </w:rPr>
        <w:t>HJ 19-2022</w:t>
      </w:r>
      <w:r>
        <w:rPr>
          <w:rFonts w:hint="eastAsia"/>
          <w:lang w:eastAsia="zh-CN"/>
        </w:rPr>
        <w:t>）</w:t>
      </w:r>
      <w:r>
        <w:rPr>
          <w:rFonts w:hint="eastAsia"/>
        </w:rPr>
        <w:t>要求，通过人工目视判读遥感影像及现场调查核实，将评价范围内的土地利用类型按 GB/T 21010-2017 土地利用分类体系进行分类。统计评价区土地利用类型、面积及空间分布，编制土地利用类型分布图。</w:t>
      </w:r>
    </w:p>
    <w:p w14:paraId="19DE7380">
      <w:pPr>
        <w:pStyle w:val="41"/>
        <w:bidi w:val="0"/>
        <w:rPr>
          <w:b/>
          <w:bCs/>
        </w:rPr>
      </w:pPr>
      <w:r>
        <w:rPr>
          <w:rFonts w:hint="eastAsia"/>
          <w:b/>
          <w:bCs/>
          <w:lang w:val="en-US" w:eastAsia="zh-CN"/>
        </w:rPr>
        <w:t>（2）</w:t>
      </w:r>
      <w:r>
        <w:rPr>
          <w:rFonts w:hint="eastAsia"/>
          <w:b/>
          <w:bCs/>
        </w:rPr>
        <w:t>陆生动植物调查</w:t>
      </w:r>
    </w:p>
    <w:p w14:paraId="0601AD66">
      <w:pPr>
        <w:pStyle w:val="41"/>
        <w:bidi w:val="0"/>
      </w:pPr>
      <w:r>
        <w:rPr>
          <w:rFonts w:hint="eastAsia"/>
        </w:rPr>
        <w:t>本次陆生生态调查与评价收集的相关基础资料主要包括</w:t>
      </w:r>
      <w:r>
        <w:rPr>
          <w:rFonts w:hint="eastAsia"/>
          <w:lang w:val="en-US" w:eastAsia="zh-CN"/>
        </w:rPr>
        <w:t>文山壮族苗族自治州</w:t>
      </w:r>
      <w:r>
        <w:rPr>
          <w:rFonts w:hint="eastAsia"/>
        </w:rPr>
        <w:t>林草、生态环保、农业自然资源等部门提供的相关资料；《中国植被》《中国高等植物图鉴》《云南植被》《中国两栖动物检索及图解》《中国鸟类分类与分布名录》《中国鸟类图鉴》《中国鸟类特有种》《中国云南野生动物》《云南鸟类》《云南两栖爬行动物</w:t>
      </w:r>
      <w:r>
        <w:rPr>
          <w:rFonts w:hint="eastAsia"/>
          <w:lang w:eastAsia="zh-CN"/>
        </w:rPr>
        <w:t>》</w:t>
      </w:r>
      <w:r>
        <w:rPr>
          <w:rFonts w:hint="eastAsia"/>
        </w:rPr>
        <w:t>等著作。本次对评价区植被类型、动物组成进行现场调查和访问核实，记录评价区主要植被类型、沿途观察到的动物种类，核实评价区范围内的重要植物及古树名木、重要动物，绘制评价区范围内的植被类型图、植被覆盖度图等。</w:t>
      </w:r>
    </w:p>
    <w:p w14:paraId="0965E8DE">
      <w:pPr>
        <w:pStyle w:val="41"/>
        <w:bidi w:val="0"/>
        <w:rPr>
          <w:b/>
          <w:bCs/>
        </w:rPr>
      </w:pPr>
      <w:r>
        <w:rPr>
          <w:rFonts w:hint="eastAsia"/>
          <w:b/>
          <w:bCs/>
          <w:lang w:val="en-US" w:eastAsia="zh-CN"/>
        </w:rPr>
        <w:t>（3）</w:t>
      </w:r>
      <w:r>
        <w:rPr>
          <w:rFonts w:hint="eastAsia"/>
          <w:b/>
          <w:bCs/>
        </w:rPr>
        <w:t>生态系统调查</w:t>
      </w:r>
    </w:p>
    <w:p w14:paraId="25A332B7">
      <w:pPr>
        <w:pStyle w:val="41"/>
        <w:bidi w:val="0"/>
        <w:rPr>
          <w:rFonts w:hint="eastAsia"/>
        </w:rPr>
      </w:pPr>
      <w:r>
        <w:t>按照《全国生态状况调查评估技术规范——生态系统遥感解译与野外核查》（HJ1166——2021）中生态系统分类体系，结合评价区域土地利用现状调查</w:t>
      </w:r>
      <w:r>
        <w:rPr>
          <w:rFonts w:hint="eastAsia"/>
        </w:rPr>
        <w:t>结果，统计评价区生态系统类型、面积及空间分布，编制生态系统类型分布图。</w:t>
      </w:r>
    </w:p>
    <w:p w14:paraId="4057F398">
      <w:pPr>
        <w:pStyle w:val="41"/>
        <w:bidi w:val="0"/>
        <w:rPr>
          <w:rFonts w:hint="eastAsia"/>
          <w:b/>
          <w:bCs/>
        </w:rPr>
      </w:pPr>
      <w:r>
        <w:rPr>
          <w:rFonts w:hint="eastAsia"/>
          <w:b/>
          <w:bCs/>
          <w:lang w:val="en-US" w:eastAsia="zh-CN"/>
        </w:rPr>
        <w:t>（4）景观</w:t>
      </w:r>
      <w:r>
        <w:rPr>
          <w:rFonts w:hint="eastAsia"/>
          <w:b/>
          <w:bCs/>
        </w:rPr>
        <w:t>调查</w:t>
      </w:r>
    </w:p>
    <w:p w14:paraId="60AED564">
      <w:pPr>
        <w:pStyle w:val="41"/>
        <w:bidi w:val="0"/>
      </w:pPr>
      <w:r>
        <w:rPr>
          <w:rFonts w:hint="eastAsia"/>
        </w:rPr>
        <w:t>景观生态环境调查主要是从大尺度上对项目区域进行环境监测与调查。通过野外对景观要素的形状、大小、密度</w:t>
      </w:r>
      <w:r>
        <w:rPr>
          <w:rFonts w:hint="eastAsia"/>
          <w:lang w:eastAsia="zh-CN"/>
        </w:rPr>
        <w:t>、对</w:t>
      </w:r>
      <w:r>
        <w:rPr>
          <w:rFonts w:hint="eastAsia"/>
        </w:rPr>
        <w:t>接情况以及景观多样性指数等，结合空间统计方法，采用空间分析，波谱分析等方法来描述景观在空间结构上的变化情况，景观格局的野外调查主要是结合地理信息系统的空间分布，现场核实、记录廊道、斑块的空间信息等。以野外GPS定点的植物群落生态学调查结果和野外实时勾绘了植被类型的地形图为基础，参考卫星遥感照片解译结果，利用3S技术制作评价区的植被分布图。归并各类森林群落、灌丛群落、草地群落等，制作出包含主要生态系统类型和斑块类型的景观生态体系分布图。</w:t>
      </w:r>
    </w:p>
    <w:p w14:paraId="470A7A33">
      <w:pPr>
        <w:pStyle w:val="41"/>
        <w:bidi w:val="0"/>
        <w:rPr>
          <w:rFonts w:hint="eastAsia"/>
        </w:rPr>
      </w:pPr>
      <w:r>
        <w:t>景观指数是能够反映景观格局特征的定量化指标，分为三个级别，代表三种不同的应用尺度，即斑块级别指数、斑块类型级别指数和景观级别指数，可根据需要选取相应的指标，采用FRAGSTATS等景观格局分析软件进行计算分析。</w:t>
      </w:r>
    </w:p>
    <w:p w14:paraId="00DD5473">
      <w:pPr>
        <w:pStyle w:val="4"/>
        <w:bidi w:val="0"/>
      </w:pPr>
      <w:r>
        <w:t>土地利用现状</w:t>
      </w:r>
      <w:bookmarkEnd w:id="331"/>
      <w:r>
        <w:rPr>
          <w:rFonts w:hint="eastAsia"/>
        </w:rPr>
        <w:t>评价</w:t>
      </w:r>
    </w:p>
    <w:p w14:paraId="287A67EF">
      <w:pPr>
        <w:pStyle w:val="41"/>
        <w:bidi w:val="0"/>
        <w:rPr>
          <w:rFonts w:hint="eastAsia"/>
          <w:lang w:eastAsia="zh-CN"/>
        </w:rPr>
      </w:pPr>
      <w:bookmarkStart w:id="332" w:name="_Toc118058186"/>
      <w:r>
        <w:t>评价区域土地利用现状调查基于高分辨率遥感影像利用GIS软件进行人工目视解译，区域遥感影像采用区域</w:t>
      </w:r>
      <w:r>
        <w:rPr>
          <w:rFonts w:hint="eastAsia"/>
        </w:rPr>
        <w:t xml:space="preserve"> </w:t>
      </w:r>
      <w:r>
        <w:t>202</w:t>
      </w:r>
      <w:r>
        <w:rPr>
          <w:rFonts w:hint="eastAsia"/>
          <w:lang w:val="en-US" w:eastAsia="zh-CN"/>
        </w:rPr>
        <w:t>5</w:t>
      </w:r>
      <w:r>
        <w:rPr>
          <w:rFonts w:hint="eastAsia"/>
        </w:rPr>
        <w:t>年</w:t>
      </w:r>
      <w:r>
        <w:rPr>
          <w:rFonts w:hint="eastAsia"/>
          <w:lang w:val="en-US" w:eastAsia="zh-CN"/>
        </w:rPr>
        <w:t>6</w:t>
      </w:r>
      <w:r>
        <w:rPr>
          <w:rFonts w:hint="eastAsia"/>
        </w:rPr>
        <w:t>月的</w:t>
      </w:r>
      <w:r>
        <w:t>0.5m分辨率卫星影像作为解译基础底图，按照《环境影响评价技术导则 生态影响》（HJ 19-2022）要求，通过人工目视判读及部分现场调查数据，将评价范围内的土地利用类型按 GB/T 21010-2017 土地利用分类体系进行分类，形成土地利用现状矢量数据库，并以二级类型作为基础制图单位制作评价区域土地利用现状图，如图所示</w:t>
      </w:r>
      <w:r>
        <w:rPr>
          <w:rFonts w:hint="eastAsia"/>
          <w:lang w:eastAsia="zh-CN"/>
        </w:rPr>
        <w:t>：</w:t>
      </w:r>
    </w:p>
    <w:p w14:paraId="308CD697">
      <w:pPr>
        <w:pStyle w:val="43"/>
        <w:bidi w:val="0"/>
        <w:rPr>
          <w:rFonts w:cs="Times New Roman"/>
        </w:rPr>
      </w:pPr>
      <w:r>
        <w:rPr>
          <w:rStyle w:val="74"/>
          <w:kern w:val="2"/>
        </w:rPr>
        <w:drawing>
          <wp:inline distT="0" distB="0" distL="114300" distR="114300">
            <wp:extent cx="5661025" cy="3959860"/>
            <wp:effectExtent l="0" t="0" r="8255" b="2540"/>
            <wp:docPr id="8" name="图片 8" descr="E:/02-生态调查/2026-01-23砚山县红舍克东山石灰石矿项目生态图绘制/04-项目成果/生态图0123/附图4 土地利用现状图.jpg附图4 土地利用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02-生态调查/2026-01-23砚山县红舍克东山石灰石矿项目生态图绘制/04-项目成果/生态图0123/附图4 土地利用现状图.jpg附图4 土地利用现状图"/>
                    <pic:cNvPicPr>
                      <a:picLocks noChangeAspect="1"/>
                    </pic:cNvPicPr>
                  </pic:nvPicPr>
                  <pic:blipFill>
                    <a:blip r:embed="rId29"/>
                    <a:srcRect l="1080" t="1704" r="911" b="3630"/>
                    <a:stretch>
                      <a:fillRect/>
                    </a:stretch>
                  </pic:blipFill>
                  <pic:spPr>
                    <a:xfrm>
                      <a:off x="0" y="0"/>
                      <a:ext cx="5661025" cy="3959860"/>
                    </a:xfrm>
                    <a:prstGeom prst="rect">
                      <a:avLst/>
                    </a:prstGeom>
                  </pic:spPr>
                </pic:pic>
              </a:graphicData>
            </a:graphic>
          </wp:inline>
        </w:drawing>
      </w:r>
      <w:r>
        <w:rPr>
          <w:rStyle w:val="71"/>
        </w:rPr>
        <w:t>图</w:t>
      </w:r>
      <w:r>
        <w:rPr>
          <w:rStyle w:val="71"/>
          <w:rFonts w:hint="eastAsia" w:eastAsia="宋体"/>
          <w:lang w:val="en-US" w:eastAsia="zh-CN"/>
        </w:rPr>
        <w:t>5.2</w:t>
      </w:r>
      <w:r>
        <w:rPr>
          <w:rStyle w:val="71"/>
        </w:rPr>
        <w:noBreakHyphen/>
      </w:r>
      <w:r>
        <w:rPr>
          <w:rStyle w:val="71"/>
        </w:rPr>
        <w:fldChar w:fldCharType="begin"/>
      </w:r>
      <w:r>
        <w:rPr>
          <w:rStyle w:val="71"/>
        </w:rPr>
        <w:instrText xml:space="preserve"> SEQ 图表 \* ARABIC \s 2 </w:instrText>
      </w:r>
      <w:r>
        <w:rPr>
          <w:rStyle w:val="71"/>
        </w:rPr>
        <w:fldChar w:fldCharType="separate"/>
      </w:r>
      <w:r>
        <w:rPr>
          <w:rStyle w:val="71"/>
        </w:rPr>
        <w:t>1</w:t>
      </w:r>
      <w:r>
        <w:rPr>
          <w:rStyle w:val="71"/>
        </w:rPr>
        <w:fldChar w:fldCharType="end"/>
      </w:r>
      <w:r>
        <w:rPr>
          <w:rStyle w:val="71"/>
        </w:rPr>
        <w:t xml:space="preserve"> 评价范围土地利用现状图</w:t>
      </w:r>
    </w:p>
    <w:p w14:paraId="261138FF">
      <w:pPr>
        <w:pStyle w:val="41"/>
        <w:bidi w:val="0"/>
      </w:pPr>
      <w:r>
        <w:t>对评价范围内各土地利用类型面积进行统计分析，结果如下表所示。</w:t>
      </w:r>
    </w:p>
    <w:p w14:paraId="7DC455D1">
      <w:pPr>
        <w:pStyle w:val="45"/>
        <w:bidi w:val="0"/>
      </w:pPr>
      <w:r>
        <w:t>表</w:t>
      </w:r>
      <w:r>
        <w:rPr>
          <w:rFonts w:hint="eastAsia"/>
          <w:lang w:val="en-US" w:eastAsia="zh-CN"/>
        </w:rPr>
        <w:t>5.2-1</w:t>
      </w:r>
      <w:r>
        <w:t>评价范围土地利用现状统计表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2"/>
        <w:gridCol w:w="2283"/>
        <w:gridCol w:w="1503"/>
        <w:gridCol w:w="1029"/>
        <w:gridCol w:w="922"/>
      </w:tblGrid>
      <w:tr w14:paraId="0BF1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4" w:type="pct"/>
            <w:gridSpan w:val="2"/>
            <w:shd w:val="clear" w:color="auto" w:fill="auto"/>
            <w:noWrap/>
            <w:vAlign w:val="center"/>
          </w:tcPr>
          <w:p w14:paraId="701D2231">
            <w:pPr>
              <w:pStyle w:val="43"/>
              <w:bidi w:val="0"/>
              <w:rPr>
                <w:rFonts w:hint="eastAsia"/>
                <w:b/>
                <w:bCs/>
                <w:lang w:val="en-US" w:eastAsia="zh-CN"/>
              </w:rPr>
            </w:pPr>
            <w:r>
              <w:rPr>
                <w:rFonts w:hint="eastAsia"/>
                <w:b/>
                <w:bCs/>
                <w:lang w:val="en-US" w:eastAsia="zh-CN"/>
              </w:rPr>
              <w:t>土地利用分类</w:t>
            </w:r>
          </w:p>
        </w:tc>
        <w:tc>
          <w:tcPr>
            <w:tcW w:w="881" w:type="pct"/>
            <w:vMerge w:val="restart"/>
            <w:shd w:val="clear" w:color="auto" w:fill="auto"/>
            <w:noWrap/>
            <w:vAlign w:val="center"/>
          </w:tcPr>
          <w:p w14:paraId="28B5A7F7">
            <w:pPr>
              <w:pStyle w:val="43"/>
              <w:bidi w:val="0"/>
              <w:rPr>
                <w:rFonts w:hint="eastAsia"/>
                <w:b/>
                <w:bCs/>
                <w:lang w:val="en-US" w:eastAsia="zh-CN"/>
              </w:rPr>
            </w:pPr>
            <w:r>
              <w:rPr>
                <w:rFonts w:hint="eastAsia"/>
                <w:b/>
                <w:bCs/>
                <w:lang w:val="en-US" w:eastAsia="zh-CN"/>
              </w:rPr>
              <w:t>面积（公顷）</w:t>
            </w:r>
          </w:p>
        </w:tc>
        <w:tc>
          <w:tcPr>
            <w:tcW w:w="603" w:type="pct"/>
            <w:vMerge w:val="restart"/>
            <w:shd w:val="clear" w:color="auto" w:fill="auto"/>
            <w:vAlign w:val="center"/>
          </w:tcPr>
          <w:p w14:paraId="5BF97370">
            <w:pPr>
              <w:pStyle w:val="43"/>
              <w:bidi w:val="0"/>
              <w:rPr>
                <w:rFonts w:hint="eastAsia"/>
                <w:b/>
                <w:bCs/>
                <w:lang w:val="en-US" w:eastAsia="zh-CN"/>
              </w:rPr>
            </w:pPr>
            <w:r>
              <w:rPr>
                <w:rFonts w:hint="eastAsia"/>
                <w:b/>
                <w:bCs/>
                <w:lang w:val="en-US" w:eastAsia="zh-CN"/>
              </w:rPr>
              <w:t>占比（%）</w:t>
            </w:r>
          </w:p>
        </w:tc>
        <w:tc>
          <w:tcPr>
            <w:tcW w:w="540" w:type="pct"/>
            <w:vMerge w:val="restart"/>
            <w:shd w:val="clear" w:color="auto" w:fill="auto"/>
            <w:vAlign w:val="center"/>
          </w:tcPr>
          <w:p w14:paraId="0BCE7F2F">
            <w:pPr>
              <w:pStyle w:val="43"/>
              <w:bidi w:val="0"/>
              <w:rPr>
                <w:rFonts w:hint="eastAsia"/>
                <w:b/>
                <w:bCs/>
                <w:lang w:val="en-US" w:eastAsia="zh-CN"/>
              </w:rPr>
            </w:pPr>
            <w:r>
              <w:rPr>
                <w:rFonts w:hint="eastAsia"/>
                <w:b/>
                <w:bCs/>
                <w:lang w:val="en-US" w:eastAsia="zh-CN"/>
              </w:rPr>
              <w:t>斑块数</w:t>
            </w:r>
          </w:p>
        </w:tc>
      </w:tr>
      <w:tr w14:paraId="23A1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shd w:val="clear" w:color="auto" w:fill="auto"/>
            <w:noWrap/>
            <w:vAlign w:val="center"/>
          </w:tcPr>
          <w:p w14:paraId="5B049D45">
            <w:pPr>
              <w:pStyle w:val="43"/>
              <w:bidi w:val="0"/>
              <w:rPr>
                <w:rFonts w:hint="eastAsia"/>
                <w:b/>
                <w:bCs/>
                <w:lang w:val="en-US" w:eastAsia="zh-CN"/>
              </w:rPr>
            </w:pPr>
            <w:r>
              <w:rPr>
                <w:rFonts w:hint="eastAsia"/>
                <w:b/>
                <w:bCs/>
                <w:lang w:val="en-US" w:eastAsia="zh-CN"/>
              </w:rPr>
              <w:t>一级类</w:t>
            </w:r>
          </w:p>
        </w:tc>
        <w:tc>
          <w:tcPr>
            <w:tcW w:w="1338" w:type="pct"/>
            <w:shd w:val="clear" w:color="auto" w:fill="auto"/>
            <w:noWrap/>
            <w:vAlign w:val="center"/>
          </w:tcPr>
          <w:p w14:paraId="5B124DD6">
            <w:pPr>
              <w:pStyle w:val="43"/>
              <w:bidi w:val="0"/>
              <w:rPr>
                <w:rFonts w:hint="eastAsia"/>
                <w:b/>
                <w:bCs/>
                <w:lang w:val="en-US" w:eastAsia="zh-CN"/>
              </w:rPr>
            </w:pPr>
            <w:r>
              <w:rPr>
                <w:rFonts w:hint="eastAsia"/>
                <w:b/>
                <w:bCs/>
                <w:lang w:val="en-US" w:eastAsia="zh-CN"/>
              </w:rPr>
              <w:t>二级类</w:t>
            </w:r>
          </w:p>
        </w:tc>
        <w:tc>
          <w:tcPr>
            <w:tcW w:w="881" w:type="pct"/>
            <w:vMerge w:val="continue"/>
            <w:shd w:val="clear" w:color="auto" w:fill="F2F2F2"/>
            <w:noWrap/>
            <w:vAlign w:val="center"/>
          </w:tcPr>
          <w:p w14:paraId="6840E88D">
            <w:pPr>
              <w:pStyle w:val="43"/>
              <w:bidi w:val="0"/>
              <w:rPr>
                <w:rFonts w:hint="eastAsia"/>
                <w:lang w:val="en-US" w:eastAsia="zh-CN"/>
              </w:rPr>
            </w:pPr>
          </w:p>
        </w:tc>
        <w:tc>
          <w:tcPr>
            <w:tcW w:w="603" w:type="pct"/>
            <w:vMerge w:val="continue"/>
            <w:shd w:val="clear" w:color="auto" w:fill="F2F2F2"/>
            <w:vAlign w:val="center"/>
          </w:tcPr>
          <w:p w14:paraId="1D2652F3">
            <w:pPr>
              <w:pStyle w:val="43"/>
              <w:bidi w:val="0"/>
              <w:rPr>
                <w:rFonts w:hint="eastAsia"/>
                <w:lang w:val="en-US" w:eastAsia="zh-CN"/>
              </w:rPr>
            </w:pPr>
          </w:p>
        </w:tc>
        <w:tc>
          <w:tcPr>
            <w:tcW w:w="540" w:type="pct"/>
            <w:vMerge w:val="continue"/>
            <w:shd w:val="clear" w:color="auto" w:fill="F2F2F2"/>
            <w:vAlign w:val="center"/>
          </w:tcPr>
          <w:p w14:paraId="6248F311">
            <w:pPr>
              <w:pStyle w:val="43"/>
              <w:bidi w:val="0"/>
              <w:rPr>
                <w:rFonts w:hint="eastAsia"/>
                <w:lang w:val="en-US" w:eastAsia="zh-CN"/>
              </w:rPr>
            </w:pPr>
          </w:p>
        </w:tc>
      </w:tr>
      <w:tr w14:paraId="5D23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noWrap/>
            <w:vAlign w:val="center"/>
          </w:tcPr>
          <w:p w14:paraId="5A851B09">
            <w:pPr>
              <w:pStyle w:val="43"/>
              <w:bidi w:val="0"/>
              <w:rPr>
                <w:rFonts w:hint="eastAsia"/>
                <w:lang w:val="en-US" w:eastAsia="zh-CN"/>
              </w:rPr>
            </w:pPr>
            <w:r>
              <w:rPr>
                <w:rFonts w:hint="eastAsia"/>
                <w:lang w:val="en-US" w:eastAsia="zh-CN"/>
              </w:rPr>
              <w:t>01耕地</w:t>
            </w:r>
          </w:p>
        </w:tc>
        <w:tc>
          <w:tcPr>
            <w:tcW w:w="1338" w:type="pct"/>
            <w:noWrap/>
            <w:vAlign w:val="center"/>
          </w:tcPr>
          <w:p w14:paraId="5A60AC99">
            <w:pPr>
              <w:pStyle w:val="43"/>
              <w:bidi w:val="0"/>
              <w:rPr>
                <w:rFonts w:hint="eastAsia"/>
                <w:lang w:val="en-US" w:eastAsia="zh-CN"/>
              </w:rPr>
            </w:pPr>
            <w:r>
              <w:rPr>
                <w:rFonts w:hint="eastAsia"/>
                <w:lang w:val="en-US" w:eastAsia="zh-CN"/>
              </w:rPr>
              <w:t>0103旱地</w:t>
            </w:r>
          </w:p>
        </w:tc>
        <w:tc>
          <w:tcPr>
            <w:tcW w:w="1502" w:type="dxa"/>
            <w:noWrap/>
            <w:vAlign w:val="center"/>
          </w:tcPr>
          <w:p w14:paraId="03021FD0">
            <w:pPr>
              <w:pStyle w:val="43"/>
              <w:bidi w:val="0"/>
              <w:rPr>
                <w:rFonts w:hint="eastAsia"/>
                <w:lang w:val="en-US" w:eastAsia="zh-CN"/>
              </w:rPr>
            </w:pPr>
            <w:r>
              <w:rPr>
                <w:rFonts w:hint="default"/>
                <w:lang w:val="en-US" w:eastAsia="zh-CN"/>
              </w:rPr>
              <w:t>83.96</w:t>
            </w:r>
          </w:p>
        </w:tc>
        <w:tc>
          <w:tcPr>
            <w:tcW w:w="1028" w:type="dxa"/>
            <w:noWrap/>
            <w:vAlign w:val="center"/>
          </w:tcPr>
          <w:p w14:paraId="291D33DE">
            <w:pPr>
              <w:pStyle w:val="43"/>
              <w:bidi w:val="0"/>
              <w:rPr>
                <w:rFonts w:hint="eastAsia"/>
                <w:lang w:val="en-US" w:eastAsia="zh-CN"/>
              </w:rPr>
            </w:pPr>
            <w:r>
              <w:rPr>
                <w:rFonts w:hint="default"/>
                <w:lang w:val="en-US" w:eastAsia="zh-CN"/>
              </w:rPr>
              <w:t>36.19</w:t>
            </w:r>
          </w:p>
        </w:tc>
        <w:tc>
          <w:tcPr>
            <w:tcW w:w="922" w:type="dxa"/>
            <w:noWrap/>
            <w:vAlign w:val="center"/>
          </w:tcPr>
          <w:p w14:paraId="700E3A81">
            <w:pPr>
              <w:pStyle w:val="43"/>
              <w:bidi w:val="0"/>
              <w:rPr>
                <w:rFonts w:hint="eastAsia"/>
                <w:lang w:val="en-US" w:eastAsia="zh-CN"/>
              </w:rPr>
            </w:pPr>
            <w:r>
              <w:rPr>
                <w:rFonts w:hint="default"/>
                <w:lang w:val="en-US" w:eastAsia="zh-CN"/>
              </w:rPr>
              <w:t>23</w:t>
            </w:r>
          </w:p>
        </w:tc>
      </w:tr>
      <w:tr w14:paraId="3B4E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noWrap/>
            <w:vAlign w:val="center"/>
          </w:tcPr>
          <w:p w14:paraId="17B64BE9">
            <w:pPr>
              <w:pStyle w:val="43"/>
              <w:bidi w:val="0"/>
              <w:rPr>
                <w:rFonts w:hint="eastAsia"/>
                <w:lang w:val="en-US" w:eastAsia="zh-CN"/>
              </w:rPr>
            </w:pPr>
            <w:r>
              <w:rPr>
                <w:rFonts w:hint="eastAsia"/>
                <w:lang w:val="en-US" w:eastAsia="zh-CN"/>
              </w:rPr>
              <w:t>02园地</w:t>
            </w:r>
          </w:p>
        </w:tc>
        <w:tc>
          <w:tcPr>
            <w:tcW w:w="1338" w:type="pct"/>
            <w:noWrap/>
            <w:vAlign w:val="center"/>
          </w:tcPr>
          <w:p w14:paraId="6CFD9E0F">
            <w:pPr>
              <w:pStyle w:val="43"/>
              <w:bidi w:val="0"/>
              <w:rPr>
                <w:rFonts w:hint="default"/>
                <w:lang w:val="en-US" w:eastAsia="zh-CN"/>
              </w:rPr>
            </w:pPr>
            <w:r>
              <w:rPr>
                <w:rFonts w:hint="eastAsia"/>
                <w:lang w:val="en-US" w:eastAsia="zh-CN"/>
              </w:rPr>
              <w:t>0201果园</w:t>
            </w:r>
          </w:p>
        </w:tc>
        <w:tc>
          <w:tcPr>
            <w:tcW w:w="1502" w:type="dxa"/>
            <w:noWrap/>
            <w:vAlign w:val="center"/>
          </w:tcPr>
          <w:p w14:paraId="6187B140">
            <w:pPr>
              <w:pStyle w:val="43"/>
              <w:bidi w:val="0"/>
              <w:rPr>
                <w:rFonts w:hint="eastAsia"/>
                <w:lang w:val="en-US" w:eastAsia="zh-CN"/>
              </w:rPr>
            </w:pPr>
            <w:r>
              <w:rPr>
                <w:rFonts w:hint="default"/>
                <w:lang w:val="en-US" w:eastAsia="zh-CN"/>
              </w:rPr>
              <w:t>14.00</w:t>
            </w:r>
          </w:p>
        </w:tc>
        <w:tc>
          <w:tcPr>
            <w:tcW w:w="1028" w:type="dxa"/>
            <w:noWrap/>
            <w:vAlign w:val="center"/>
          </w:tcPr>
          <w:p w14:paraId="14FB0AE7">
            <w:pPr>
              <w:pStyle w:val="43"/>
              <w:bidi w:val="0"/>
              <w:rPr>
                <w:rFonts w:hint="eastAsia"/>
                <w:lang w:val="en-US" w:eastAsia="zh-CN"/>
              </w:rPr>
            </w:pPr>
            <w:r>
              <w:rPr>
                <w:rFonts w:hint="default"/>
                <w:lang w:val="en-US" w:eastAsia="zh-CN"/>
              </w:rPr>
              <w:t>6.03</w:t>
            </w:r>
          </w:p>
        </w:tc>
        <w:tc>
          <w:tcPr>
            <w:tcW w:w="922" w:type="dxa"/>
            <w:noWrap/>
            <w:vAlign w:val="center"/>
          </w:tcPr>
          <w:p w14:paraId="514AB8D8">
            <w:pPr>
              <w:pStyle w:val="43"/>
              <w:bidi w:val="0"/>
              <w:rPr>
                <w:rFonts w:hint="eastAsia"/>
                <w:lang w:val="en-US" w:eastAsia="zh-CN"/>
              </w:rPr>
            </w:pPr>
            <w:r>
              <w:rPr>
                <w:rFonts w:hint="default"/>
                <w:lang w:val="en-US" w:eastAsia="zh-CN"/>
              </w:rPr>
              <w:t>9</w:t>
            </w:r>
          </w:p>
        </w:tc>
      </w:tr>
      <w:tr w14:paraId="4A13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restart"/>
            <w:noWrap/>
            <w:vAlign w:val="center"/>
          </w:tcPr>
          <w:p w14:paraId="164C220D">
            <w:pPr>
              <w:pStyle w:val="43"/>
              <w:bidi w:val="0"/>
              <w:rPr>
                <w:rFonts w:hint="eastAsia"/>
                <w:lang w:val="en-US" w:eastAsia="zh-CN"/>
              </w:rPr>
            </w:pPr>
            <w:r>
              <w:rPr>
                <w:rFonts w:hint="eastAsia"/>
                <w:lang w:val="en-US" w:eastAsia="zh-CN"/>
              </w:rPr>
              <w:t>03林地</w:t>
            </w:r>
          </w:p>
        </w:tc>
        <w:tc>
          <w:tcPr>
            <w:tcW w:w="1338" w:type="pct"/>
            <w:noWrap/>
            <w:vAlign w:val="center"/>
          </w:tcPr>
          <w:p w14:paraId="2A279E69">
            <w:pPr>
              <w:pStyle w:val="43"/>
              <w:bidi w:val="0"/>
              <w:rPr>
                <w:rFonts w:hint="default"/>
                <w:lang w:val="en-US" w:eastAsia="zh-CN"/>
              </w:rPr>
            </w:pPr>
            <w:r>
              <w:rPr>
                <w:rFonts w:hint="eastAsia"/>
                <w:lang w:val="en-US" w:eastAsia="zh-CN"/>
              </w:rPr>
              <w:t>0301乔木林地</w:t>
            </w:r>
          </w:p>
        </w:tc>
        <w:tc>
          <w:tcPr>
            <w:tcW w:w="1502" w:type="dxa"/>
            <w:noWrap/>
            <w:vAlign w:val="center"/>
          </w:tcPr>
          <w:p w14:paraId="64172AF8">
            <w:pPr>
              <w:pStyle w:val="43"/>
              <w:bidi w:val="0"/>
              <w:rPr>
                <w:rFonts w:hint="eastAsia"/>
                <w:lang w:val="en-US" w:eastAsia="zh-CN"/>
              </w:rPr>
            </w:pPr>
            <w:r>
              <w:rPr>
                <w:rFonts w:hint="default"/>
                <w:lang w:val="en-US" w:eastAsia="zh-CN"/>
              </w:rPr>
              <w:t>11.01</w:t>
            </w:r>
          </w:p>
        </w:tc>
        <w:tc>
          <w:tcPr>
            <w:tcW w:w="1028" w:type="dxa"/>
            <w:noWrap/>
            <w:vAlign w:val="center"/>
          </w:tcPr>
          <w:p w14:paraId="2A50D575">
            <w:pPr>
              <w:pStyle w:val="43"/>
              <w:bidi w:val="0"/>
              <w:rPr>
                <w:rFonts w:hint="eastAsia"/>
                <w:lang w:val="en-US" w:eastAsia="zh-CN"/>
              </w:rPr>
            </w:pPr>
            <w:r>
              <w:rPr>
                <w:rFonts w:hint="default"/>
                <w:lang w:val="en-US" w:eastAsia="zh-CN"/>
              </w:rPr>
              <w:t>4.75</w:t>
            </w:r>
          </w:p>
        </w:tc>
        <w:tc>
          <w:tcPr>
            <w:tcW w:w="922" w:type="dxa"/>
            <w:noWrap/>
            <w:vAlign w:val="center"/>
          </w:tcPr>
          <w:p w14:paraId="393C9AE6">
            <w:pPr>
              <w:pStyle w:val="43"/>
              <w:bidi w:val="0"/>
              <w:rPr>
                <w:rFonts w:hint="eastAsia"/>
                <w:lang w:val="en-US" w:eastAsia="zh-CN"/>
              </w:rPr>
            </w:pPr>
            <w:r>
              <w:rPr>
                <w:rFonts w:hint="default"/>
                <w:lang w:val="en-US" w:eastAsia="zh-CN"/>
              </w:rPr>
              <w:t>9</w:t>
            </w:r>
          </w:p>
        </w:tc>
      </w:tr>
      <w:tr w14:paraId="2123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continue"/>
            <w:noWrap/>
            <w:vAlign w:val="center"/>
          </w:tcPr>
          <w:p w14:paraId="3272F343">
            <w:pPr>
              <w:pStyle w:val="43"/>
              <w:bidi w:val="0"/>
              <w:rPr>
                <w:rFonts w:hint="eastAsia"/>
                <w:lang w:val="en-US" w:eastAsia="zh-CN"/>
              </w:rPr>
            </w:pPr>
          </w:p>
        </w:tc>
        <w:tc>
          <w:tcPr>
            <w:tcW w:w="1338" w:type="pct"/>
            <w:noWrap/>
            <w:vAlign w:val="center"/>
          </w:tcPr>
          <w:p w14:paraId="4B514AA3">
            <w:pPr>
              <w:pStyle w:val="43"/>
              <w:bidi w:val="0"/>
              <w:rPr>
                <w:rFonts w:hint="eastAsia"/>
                <w:lang w:val="en-US" w:eastAsia="zh-CN"/>
              </w:rPr>
            </w:pPr>
            <w:r>
              <w:rPr>
                <w:rFonts w:hint="eastAsia"/>
                <w:lang w:val="en-US" w:eastAsia="zh-CN"/>
              </w:rPr>
              <w:t>0305灌木林地</w:t>
            </w:r>
          </w:p>
        </w:tc>
        <w:tc>
          <w:tcPr>
            <w:tcW w:w="1502" w:type="dxa"/>
            <w:noWrap/>
            <w:vAlign w:val="center"/>
          </w:tcPr>
          <w:p w14:paraId="66A45183">
            <w:pPr>
              <w:pStyle w:val="43"/>
              <w:bidi w:val="0"/>
              <w:rPr>
                <w:rFonts w:hint="eastAsia"/>
                <w:lang w:val="en-US" w:eastAsia="zh-CN"/>
              </w:rPr>
            </w:pPr>
            <w:r>
              <w:rPr>
                <w:rFonts w:hint="default"/>
                <w:lang w:val="en-US" w:eastAsia="zh-CN"/>
              </w:rPr>
              <w:t>60.35</w:t>
            </w:r>
          </w:p>
        </w:tc>
        <w:tc>
          <w:tcPr>
            <w:tcW w:w="1028" w:type="dxa"/>
            <w:noWrap/>
            <w:vAlign w:val="center"/>
          </w:tcPr>
          <w:p w14:paraId="7A74EC50">
            <w:pPr>
              <w:pStyle w:val="43"/>
              <w:bidi w:val="0"/>
              <w:rPr>
                <w:rFonts w:hint="eastAsia"/>
                <w:lang w:val="en-US" w:eastAsia="zh-CN"/>
              </w:rPr>
            </w:pPr>
            <w:r>
              <w:rPr>
                <w:rFonts w:hint="default"/>
                <w:lang w:val="en-US" w:eastAsia="zh-CN"/>
              </w:rPr>
              <w:t>26.02</w:t>
            </w:r>
          </w:p>
        </w:tc>
        <w:tc>
          <w:tcPr>
            <w:tcW w:w="922" w:type="dxa"/>
            <w:noWrap/>
            <w:vAlign w:val="center"/>
          </w:tcPr>
          <w:p w14:paraId="503DF7C8">
            <w:pPr>
              <w:pStyle w:val="43"/>
              <w:bidi w:val="0"/>
              <w:rPr>
                <w:rFonts w:hint="eastAsia"/>
                <w:lang w:val="en-US" w:eastAsia="zh-CN"/>
              </w:rPr>
            </w:pPr>
            <w:r>
              <w:rPr>
                <w:rFonts w:hint="default"/>
                <w:lang w:val="en-US" w:eastAsia="zh-CN"/>
              </w:rPr>
              <w:t>32</w:t>
            </w:r>
          </w:p>
        </w:tc>
      </w:tr>
      <w:tr w14:paraId="792E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noWrap/>
            <w:vAlign w:val="center"/>
          </w:tcPr>
          <w:p w14:paraId="0DB375E7">
            <w:pPr>
              <w:pStyle w:val="43"/>
              <w:bidi w:val="0"/>
              <w:rPr>
                <w:rFonts w:hint="eastAsia"/>
                <w:lang w:val="en-US" w:eastAsia="zh-CN"/>
              </w:rPr>
            </w:pPr>
            <w:r>
              <w:rPr>
                <w:rFonts w:hint="eastAsia"/>
                <w:lang w:val="en-US" w:eastAsia="zh-CN"/>
              </w:rPr>
              <w:t>04草地</w:t>
            </w:r>
          </w:p>
        </w:tc>
        <w:tc>
          <w:tcPr>
            <w:tcW w:w="1338" w:type="pct"/>
            <w:noWrap/>
            <w:vAlign w:val="center"/>
          </w:tcPr>
          <w:p w14:paraId="38BED8FD">
            <w:pPr>
              <w:pStyle w:val="43"/>
              <w:bidi w:val="0"/>
              <w:rPr>
                <w:rFonts w:hint="default"/>
                <w:lang w:val="en-US" w:eastAsia="zh-CN"/>
              </w:rPr>
            </w:pPr>
            <w:r>
              <w:rPr>
                <w:rFonts w:hint="eastAsia"/>
                <w:lang w:val="en-US" w:eastAsia="zh-CN"/>
              </w:rPr>
              <w:t>0404其他草地</w:t>
            </w:r>
          </w:p>
        </w:tc>
        <w:tc>
          <w:tcPr>
            <w:tcW w:w="1502" w:type="dxa"/>
            <w:noWrap/>
            <w:vAlign w:val="center"/>
          </w:tcPr>
          <w:p w14:paraId="0C9732FC">
            <w:pPr>
              <w:pStyle w:val="43"/>
              <w:bidi w:val="0"/>
              <w:rPr>
                <w:rFonts w:hint="eastAsia"/>
                <w:lang w:val="en-US" w:eastAsia="zh-CN"/>
              </w:rPr>
            </w:pPr>
            <w:r>
              <w:rPr>
                <w:rFonts w:hint="default"/>
                <w:lang w:val="en-US" w:eastAsia="zh-CN"/>
              </w:rPr>
              <w:t>1.27</w:t>
            </w:r>
          </w:p>
        </w:tc>
        <w:tc>
          <w:tcPr>
            <w:tcW w:w="1028" w:type="dxa"/>
            <w:noWrap/>
            <w:vAlign w:val="center"/>
          </w:tcPr>
          <w:p w14:paraId="1F8BB58E">
            <w:pPr>
              <w:pStyle w:val="43"/>
              <w:bidi w:val="0"/>
              <w:rPr>
                <w:rFonts w:hint="eastAsia"/>
                <w:lang w:val="en-US" w:eastAsia="zh-CN"/>
              </w:rPr>
            </w:pPr>
            <w:r>
              <w:rPr>
                <w:rFonts w:hint="default"/>
                <w:lang w:val="en-US" w:eastAsia="zh-CN"/>
              </w:rPr>
              <w:t>0.55</w:t>
            </w:r>
          </w:p>
        </w:tc>
        <w:tc>
          <w:tcPr>
            <w:tcW w:w="922" w:type="dxa"/>
            <w:noWrap/>
            <w:vAlign w:val="center"/>
          </w:tcPr>
          <w:p w14:paraId="4DC0D16A">
            <w:pPr>
              <w:pStyle w:val="43"/>
              <w:bidi w:val="0"/>
              <w:rPr>
                <w:rFonts w:hint="eastAsia"/>
                <w:lang w:val="en-US" w:eastAsia="zh-CN"/>
              </w:rPr>
            </w:pPr>
            <w:r>
              <w:rPr>
                <w:rFonts w:hint="default"/>
                <w:lang w:val="en-US" w:eastAsia="zh-CN"/>
              </w:rPr>
              <w:t>7</w:t>
            </w:r>
          </w:p>
        </w:tc>
      </w:tr>
      <w:tr w14:paraId="6640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restart"/>
            <w:noWrap/>
            <w:vAlign w:val="center"/>
          </w:tcPr>
          <w:p w14:paraId="59C5D2EF">
            <w:pPr>
              <w:pStyle w:val="43"/>
              <w:bidi w:val="0"/>
              <w:rPr>
                <w:rFonts w:hint="default"/>
                <w:lang w:val="en-US" w:eastAsia="zh-CN"/>
              </w:rPr>
            </w:pPr>
            <w:r>
              <w:rPr>
                <w:rFonts w:hint="eastAsia"/>
                <w:lang w:val="en-US" w:eastAsia="zh-CN"/>
              </w:rPr>
              <w:t>06工矿仓储用地</w:t>
            </w:r>
          </w:p>
        </w:tc>
        <w:tc>
          <w:tcPr>
            <w:tcW w:w="1338" w:type="pct"/>
            <w:noWrap/>
            <w:vAlign w:val="center"/>
          </w:tcPr>
          <w:p w14:paraId="1E0FFDEF">
            <w:pPr>
              <w:pStyle w:val="43"/>
              <w:bidi w:val="0"/>
              <w:rPr>
                <w:rFonts w:hint="default"/>
                <w:lang w:val="en-US" w:eastAsia="zh-CN"/>
              </w:rPr>
            </w:pPr>
            <w:r>
              <w:rPr>
                <w:rFonts w:hint="eastAsia"/>
                <w:lang w:val="en-US" w:eastAsia="zh-CN"/>
              </w:rPr>
              <w:t>0601工业用地</w:t>
            </w:r>
          </w:p>
        </w:tc>
        <w:tc>
          <w:tcPr>
            <w:tcW w:w="1502" w:type="dxa"/>
            <w:noWrap/>
            <w:vAlign w:val="center"/>
          </w:tcPr>
          <w:p w14:paraId="6BAA6194">
            <w:pPr>
              <w:pStyle w:val="43"/>
              <w:bidi w:val="0"/>
              <w:rPr>
                <w:rFonts w:hint="eastAsia"/>
                <w:lang w:val="en-US" w:eastAsia="zh-CN"/>
              </w:rPr>
            </w:pPr>
            <w:r>
              <w:rPr>
                <w:rFonts w:hint="default"/>
                <w:lang w:val="en-US" w:eastAsia="zh-CN"/>
              </w:rPr>
              <w:t>16.86</w:t>
            </w:r>
          </w:p>
        </w:tc>
        <w:tc>
          <w:tcPr>
            <w:tcW w:w="1028" w:type="dxa"/>
            <w:noWrap/>
            <w:vAlign w:val="center"/>
          </w:tcPr>
          <w:p w14:paraId="059DC086">
            <w:pPr>
              <w:pStyle w:val="43"/>
              <w:bidi w:val="0"/>
              <w:rPr>
                <w:rFonts w:hint="eastAsia"/>
                <w:lang w:val="en-US" w:eastAsia="zh-CN"/>
              </w:rPr>
            </w:pPr>
            <w:r>
              <w:rPr>
                <w:rFonts w:hint="default"/>
                <w:lang w:val="en-US" w:eastAsia="zh-CN"/>
              </w:rPr>
              <w:t>7.27</w:t>
            </w:r>
          </w:p>
        </w:tc>
        <w:tc>
          <w:tcPr>
            <w:tcW w:w="922" w:type="dxa"/>
            <w:noWrap/>
            <w:vAlign w:val="center"/>
          </w:tcPr>
          <w:p w14:paraId="3F6BC35C">
            <w:pPr>
              <w:pStyle w:val="43"/>
              <w:bidi w:val="0"/>
              <w:rPr>
                <w:rFonts w:hint="eastAsia"/>
                <w:lang w:val="en-US" w:eastAsia="zh-CN"/>
              </w:rPr>
            </w:pPr>
            <w:r>
              <w:rPr>
                <w:rFonts w:hint="default"/>
                <w:lang w:val="en-US" w:eastAsia="zh-CN"/>
              </w:rPr>
              <w:t>1</w:t>
            </w:r>
          </w:p>
        </w:tc>
      </w:tr>
      <w:tr w14:paraId="0736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continue"/>
            <w:noWrap/>
            <w:vAlign w:val="center"/>
          </w:tcPr>
          <w:p w14:paraId="3A5A2BBD">
            <w:pPr>
              <w:pStyle w:val="43"/>
              <w:bidi w:val="0"/>
              <w:rPr>
                <w:rFonts w:hint="eastAsia"/>
                <w:lang w:val="en-US" w:eastAsia="zh-CN"/>
              </w:rPr>
            </w:pPr>
          </w:p>
        </w:tc>
        <w:tc>
          <w:tcPr>
            <w:tcW w:w="1338" w:type="pct"/>
            <w:noWrap/>
            <w:vAlign w:val="center"/>
          </w:tcPr>
          <w:p w14:paraId="69DFF451">
            <w:pPr>
              <w:pStyle w:val="43"/>
              <w:bidi w:val="0"/>
              <w:rPr>
                <w:rFonts w:hint="default"/>
                <w:lang w:val="en-US" w:eastAsia="zh-CN"/>
              </w:rPr>
            </w:pPr>
            <w:r>
              <w:rPr>
                <w:rFonts w:hint="eastAsia"/>
                <w:lang w:val="en-US" w:eastAsia="zh-CN"/>
              </w:rPr>
              <w:t>0602采矿用地</w:t>
            </w:r>
          </w:p>
        </w:tc>
        <w:tc>
          <w:tcPr>
            <w:tcW w:w="1502" w:type="dxa"/>
            <w:noWrap/>
            <w:vAlign w:val="center"/>
          </w:tcPr>
          <w:p w14:paraId="0080E924">
            <w:pPr>
              <w:pStyle w:val="43"/>
              <w:bidi w:val="0"/>
              <w:rPr>
                <w:rFonts w:hint="eastAsia"/>
                <w:lang w:val="en-US" w:eastAsia="zh-CN"/>
              </w:rPr>
            </w:pPr>
            <w:r>
              <w:rPr>
                <w:rFonts w:hint="default"/>
                <w:lang w:val="en-US" w:eastAsia="zh-CN"/>
              </w:rPr>
              <w:t>40.99</w:t>
            </w:r>
          </w:p>
        </w:tc>
        <w:tc>
          <w:tcPr>
            <w:tcW w:w="1028" w:type="dxa"/>
            <w:noWrap/>
            <w:vAlign w:val="center"/>
          </w:tcPr>
          <w:p w14:paraId="7230B6C3">
            <w:pPr>
              <w:pStyle w:val="43"/>
              <w:bidi w:val="0"/>
              <w:rPr>
                <w:rFonts w:hint="eastAsia"/>
                <w:lang w:val="en-US" w:eastAsia="zh-CN"/>
              </w:rPr>
            </w:pPr>
            <w:r>
              <w:rPr>
                <w:rFonts w:hint="default"/>
                <w:lang w:val="en-US" w:eastAsia="zh-CN"/>
              </w:rPr>
              <w:t>17.67</w:t>
            </w:r>
          </w:p>
        </w:tc>
        <w:tc>
          <w:tcPr>
            <w:tcW w:w="922" w:type="dxa"/>
            <w:noWrap/>
            <w:vAlign w:val="center"/>
          </w:tcPr>
          <w:p w14:paraId="535FF019">
            <w:pPr>
              <w:pStyle w:val="43"/>
              <w:bidi w:val="0"/>
              <w:rPr>
                <w:rFonts w:hint="eastAsia"/>
                <w:lang w:val="en-US" w:eastAsia="zh-CN"/>
              </w:rPr>
            </w:pPr>
            <w:r>
              <w:rPr>
                <w:rFonts w:hint="default"/>
                <w:lang w:val="en-US" w:eastAsia="zh-CN"/>
              </w:rPr>
              <w:t>7</w:t>
            </w:r>
          </w:p>
        </w:tc>
      </w:tr>
      <w:tr w14:paraId="2550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restart"/>
            <w:noWrap/>
            <w:vAlign w:val="center"/>
          </w:tcPr>
          <w:p w14:paraId="572070AA">
            <w:pPr>
              <w:pStyle w:val="43"/>
              <w:bidi w:val="0"/>
              <w:rPr>
                <w:rFonts w:hint="eastAsia"/>
                <w:lang w:val="en-US" w:eastAsia="zh-CN"/>
              </w:rPr>
            </w:pPr>
            <w:r>
              <w:rPr>
                <w:rFonts w:hint="eastAsia"/>
                <w:lang w:val="en-US" w:eastAsia="zh-CN"/>
              </w:rPr>
              <w:t>10交通运输用地</w:t>
            </w:r>
          </w:p>
        </w:tc>
        <w:tc>
          <w:tcPr>
            <w:tcW w:w="1338" w:type="pct"/>
            <w:noWrap/>
            <w:vAlign w:val="center"/>
          </w:tcPr>
          <w:p w14:paraId="0CF8E596">
            <w:pPr>
              <w:pStyle w:val="43"/>
              <w:bidi w:val="0"/>
              <w:rPr>
                <w:rFonts w:hint="default"/>
                <w:lang w:val="en-US" w:eastAsia="zh-CN"/>
              </w:rPr>
            </w:pPr>
            <w:r>
              <w:rPr>
                <w:rFonts w:hint="eastAsia"/>
                <w:lang w:val="en-US" w:eastAsia="zh-CN"/>
              </w:rPr>
              <w:t>1003公路用地</w:t>
            </w:r>
          </w:p>
        </w:tc>
        <w:tc>
          <w:tcPr>
            <w:tcW w:w="1502" w:type="dxa"/>
            <w:noWrap/>
            <w:vAlign w:val="center"/>
          </w:tcPr>
          <w:p w14:paraId="55470AB9">
            <w:pPr>
              <w:pStyle w:val="43"/>
              <w:bidi w:val="0"/>
              <w:rPr>
                <w:rFonts w:hint="eastAsia"/>
                <w:lang w:val="en-US" w:eastAsia="zh-CN"/>
              </w:rPr>
            </w:pPr>
            <w:r>
              <w:rPr>
                <w:rFonts w:hint="default"/>
                <w:lang w:val="en-US" w:eastAsia="zh-CN"/>
              </w:rPr>
              <w:t>0.86</w:t>
            </w:r>
          </w:p>
        </w:tc>
        <w:tc>
          <w:tcPr>
            <w:tcW w:w="1028" w:type="dxa"/>
            <w:noWrap/>
            <w:vAlign w:val="center"/>
          </w:tcPr>
          <w:p w14:paraId="207D8334">
            <w:pPr>
              <w:pStyle w:val="43"/>
              <w:bidi w:val="0"/>
              <w:rPr>
                <w:rFonts w:hint="eastAsia"/>
                <w:lang w:val="en-US" w:eastAsia="zh-CN"/>
              </w:rPr>
            </w:pPr>
            <w:r>
              <w:rPr>
                <w:rFonts w:hint="default"/>
                <w:lang w:val="en-US" w:eastAsia="zh-CN"/>
              </w:rPr>
              <w:t>0.37</w:t>
            </w:r>
          </w:p>
        </w:tc>
        <w:tc>
          <w:tcPr>
            <w:tcW w:w="922" w:type="dxa"/>
            <w:noWrap/>
            <w:vAlign w:val="center"/>
          </w:tcPr>
          <w:p w14:paraId="6A53E6D4">
            <w:pPr>
              <w:pStyle w:val="43"/>
              <w:bidi w:val="0"/>
              <w:rPr>
                <w:rFonts w:hint="eastAsia"/>
                <w:lang w:val="en-US" w:eastAsia="zh-CN"/>
              </w:rPr>
            </w:pPr>
            <w:r>
              <w:rPr>
                <w:rFonts w:hint="default"/>
                <w:lang w:val="en-US" w:eastAsia="zh-CN"/>
              </w:rPr>
              <w:t>1</w:t>
            </w:r>
          </w:p>
        </w:tc>
      </w:tr>
      <w:tr w14:paraId="6A7D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continue"/>
            <w:noWrap/>
            <w:vAlign w:val="center"/>
          </w:tcPr>
          <w:p w14:paraId="1153E847">
            <w:pPr>
              <w:pStyle w:val="43"/>
              <w:bidi w:val="0"/>
              <w:rPr>
                <w:rFonts w:hint="eastAsia"/>
                <w:lang w:val="en-US" w:eastAsia="zh-CN"/>
              </w:rPr>
            </w:pPr>
          </w:p>
        </w:tc>
        <w:tc>
          <w:tcPr>
            <w:tcW w:w="1338" w:type="pct"/>
            <w:noWrap/>
            <w:vAlign w:val="center"/>
          </w:tcPr>
          <w:p w14:paraId="5B02B1D9">
            <w:pPr>
              <w:pStyle w:val="43"/>
              <w:bidi w:val="0"/>
              <w:rPr>
                <w:rFonts w:hint="default"/>
                <w:lang w:val="en-US" w:eastAsia="zh-CN"/>
              </w:rPr>
            </w:pPr>
            <w:r>
              <w:rPr>
                <w:rFonts w:hint="eastAsia"/>
                <w:lang w:val="en-US" w:eastAsia="zh-CN"/>
              </w:rPr>
              <w:t>1006农村道路</w:t>
            </w:r>
          </w:p>
        </w:tc>
        <w:tc>
          <w:tcPr>
            <w:tcW w:w="1502" w:type="dxa"/>
            <w:noWrap/>
            <w:vAlign w:val="center"/>
          </w:tcPr>
          <w:p w14:paraId="116DCBAB">
            <w:pPr>
              <w:pStyle w:val="43"/>
              <w:bidi w:val="0"/>
              <w:rPr>
                <w:rFonts w:hint="eastAsia"/>
                <w:lang w:val="en-US" w:eastAsia="zh-CN"/>
              </w:rPr>
            </w:pPr>
            <w:r>
              <w:rPr>
                <w:rFonts w:hint="default"/>
                <w:lang w:val="en-US" w:eastAsia="zh-CN"/>
              </w:rPr>
              <w:t>0.63</w:t>
            </w:r>
          </w:p>
        </w:tc>
        <w:tc>
          <w:tcPr>
            <w:tcW w:w="1028" w:type="dxa"/>
            <w:noWrap/>
            <w:vAlign w:val="center"/>
          </w:tcPr>
          <w:p w14:paraId="3C2B1FEF">
            <w:pPr>
              <w:pStyle w:val="43"/>
              <w:bidi w:val="0"/>
              <w:rPr>
                <w:rFonts w:hint="eastAsia"/>
                <w:lang w:val="en-US" w:eastAsia="zh-CN"/>
              </w:rPr>
            </w:pPr>
            <w:r>
              <w:rPr>
                <w:rFonts w:hint="default"/>
                <w:lang w:val="en-US" w:eastAsia="zh-CN"/>
              </w:rPr>
              <w:t>0.27</w:t>
            </w:r>
          </w:p>
        </w:tc>
        <w:tc>
          <w:tcPr>
            <w:tcW w:w="922" w:type="dxa"/>
            <w:noWrap/>
            <w:vAlign w:val="center"/>
          </w:tcPr>
          <w:p w14:paraId="5D74F23B">
            <w:pPr>
              <w:pStyle w:val="43"/>
              <w:bidi w:val="0"/>
              <w:rPr>
                <w:rFonts w:hint="eastAsia"/>
                <w:lang w:val="en-US" w:eastAsia="zh-CN"/>
              </w:rPr>
            </w:pPr>
            <w:r>
              <w:rPr>
                <w:rFonts w:hint="default"/>
                <w:lang w:val="en-US" w:eastAsia="zh-CN"/>
              </w:rPr>
              <w:t>1</w:t>
            </w:r>
          </w:p>
        </w:tc>
      </w:tr>
      <w:tr w14:paraId="144F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restart"/>
            <w:noWrap/>
            <w:vAlign w:val="center"/>
          </w:tcPr>
          <w:p w14:paraId="0CF8AA0A">
            <w:pPr>
              <w:pStyle w:val="43"/>
              <w:bidi w:val="0"/>
              <w:rPr>
                <w:rFonts w:hint="default"/>
                <w:lang w:val="en-US" w:eastAsia="zh-CN"/>
              </w:rPr>
            </w:pPr>
            <w:r>
              <w:rPr>
                <w:rFonts w:hint="eastAsia"/>
                <w:lang w:val="en-US" w:eastAsia="zh-CN"/>
              </w:rPr>
              <w:t>11水域及水利设施用地</w:t>
            </w:r>
          </w:p>
        </w:tc>
        <w:tc>
          <w:tcPr>
            <w:tcW w:w="1338" w:type="pct"/>
            <w:noWrap/>
            <w:vAlign w:val="center"/>
          </w:tcPr>
          <w:p w14:paraId="146C0BF8">
            <w:pPr>
              <w:pStyle w:val="43"/>
              <w:bidi w:val="0"/>
              <w:rPr>
                <w:rFonts w:hint="default"/>
                <w:lang w:val="en-US" w:eastAsia="zh-CN"/>
              </w:rPr>
            </w:pPr>
            <w:r>
              <w:rPr>
                <w:rFonts w:hint="eastAsia"/>
                <w:lang w:val="en-US" w:eastAsia="zh-CN"/>
              </w:rPr>
              <w:t>1103水库水面</w:t>
            </w:r>
          </w:p>
        </w:tc>
        <w:tc>
          <w:tcPr>
            <w:tcW w:w="1502" w:type="dxa"/>
            <w:noWrap/>
            <w:vAlign w:val="center"/>
          </w:tcPr>
          <w:p w14:paraId="69C0B2C4">
            <w:pPr>
              <w:pStyle w:val="43"/>
              <w:bidi w:val="0"/>
              <w:rPr>
                <w:rFonts w:hint="eastAsia"/>
                <w:lang w:val="en-US" w:eastAsia="zh-CN"/>
              </w:rPr>
            </w:pPr>
            <w:r>
              <w:rPr>
                <w:rFonts w:hint="default"/>
                <w:lang w:val="en-US" w:eastAsia="zh-CN"/>
              </w:rPr>
              <w:t>0.82</w:t>
            </w:r>
          </w:p>
        </w:tc>
        <w:tc>
          <w:tcPr>
            <w:tcW w:w="1028" w:type="dxa"/>
            <w:noWrap/>
            <w:vAlign w:val="center"/>
          </w:tcPr>
          <w:p w14:paraId="79545A41">
            <w:pPr>
              <w:pStyle w:val="43"/>
              <w:bidi w:val="0"/>
              <w:rPr>
                <w:rFonts w:hint="eastAsia"/>
                <w:lang w:val="en-US" w:eastAsia="zh-CN"/>
              </w:rPr>
            </w:pPr>
            <w:r>
              <w:rPr>
                <w:rFonts w:hint="default"/>
                <w:lang w:val="en-US" w:eastAsia="zh-CN"/>
              </w:rPr>
              <w:t>0.35</w:t>
            </w:r>
          </w:p>
        </w:tc>
        <w:tc>
          <w:tcPr>
            <w:tcW w:w="922" w:type="dxa"/>
            <w:noWrap/>
            <w:vAlign w:val="center"/>
          </w:tcPr>
          <w:p w14:paraId="01328AF8">
            <w:pPr>
              <w:pStyle w:val="43"/>
              <w:bidi w:val="0"/>
              <w:rPr>
                <w:rFonts w:hint="eastAsia"/>
                <w:lang w:val="en-US" w:eastAsia="zh-CN"/>
              </w:rPr>
            </w:pPr>
            <w:r>
              <w:rPr>
                <w:rFonts w:hint="default"/>
                <w:lang w:val="en-US" w:eastAsia="zh-CN"/>
              </w:rPr>
              <w:t>1</w:t>
            </w:r>
          </w:p>
        </w:tc>
      </w:tr>
      <w:tr w14:paraId="0A18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vMerge w:val="continue"/>
            <w:noWrap/>
            <w:vAlign w:val="center"/>
          </w:tcPr>
          <w:p w14:paraId="46FE21A6">
            <w:pPr>
              <w:pStyle w:val="43"/>
              <w:bidi w:val="0"/>
              <w:rPr>
                <w:rFonts w:hint="eastAsia"/>
                <w:lang w:val="en-US" w:eastAsia="zh-CN"/>
              </w:rPr>
            </w:pPr>
          </w:p>
        </w:tc>
        <w:tc>
          <w:tcPr>
            <w:tcW w:w="1338" w:type="pct"/>
            <w:noWrap/>
            <w:vAlign w:val="center"/>
          </w:tcPr>
          <w:p w14:paraId="3AED56AE">
            <w:pPr>
              <w:pStyle w:val="43"/>
              <w:bidi w:val="0"/>
              <w:rPr>
                <w:rFonts w:hint="default"/>
                <w:lang w:val="en-US" w:eastAsia="zh-CN"/>
              </w:rPr>
            </w:pPr>
            <w:r>
              <w:rPr>
                <w:rFonts w:hint="eastAsia"/>
                <w:lang w:val="en-US" w:eastAsia="zh-CN"/>
              </w:rPr>
              <w:t>1104坑塘水面</w:t>
            </w:r>
          </w:p>
        </w:tc>
        <w:tc>
          <w:tcPr>
            <w:tcW w:w="1502" w:type="dxa"/>
            <w:noWrap/>
            <w:vAlign w:val="center"/>
          </w:tcPr>
          <w:p w14:paraId="281941DD">
            <w:pPr>
              <w:pStyle w:val="43"/>
              <w:bidi w:val="0"/>
              <w:rPr>
                <w:rFonts w:hint="eastAsia"/>
                <w:lang w:val="en-US" w:eastAsia="zh-CN"/>
              </w:rPr>
            </w:pPr>
            <w:r>
              <w:rPr>
                <w:rFonts w:hint="default"/>
                <w:lang w:val="en-US" w:eastAsia="zh-CN"/>
              </w:rPr>
              <w:t>1.23</w:t>
            </w:r>
          </w:p>
        </w:tc>
        <w:tc>
          <w:tcPr>
            <w:tcW w:w="1028" w:type="dxa"/>
            <w:noWrap/>
            <w:vAlign w:val="center"/>
          </w:tcPr>
          <w:p w14:paraId="6BC63FFF">
            <w:pPr>
              <w:pStyle w:val="43"/>
              <w:bidi w:val="0"/>
              <w:rPr>
                <w:rFonts w:hint="eastAsia"/>
                <w:lang w:val="en-US" w:eastAsia="zh-CN"/>
              </w:rPr>
            </w:pPr>
            <w:r>
              <w:rPr>
                <w:rFonts w:hint="default"/>
                <w:lang w:val="en-US" w:eastAsia="zh-CN"/>
              </w:rPr>
              <w:t>0.53</w:t>
            </w:r>
          </w:p>
        </w:tc>
        <w:tc>
          <w:tcPr>
            <w:tcW w:w="922" w:type="dxa"/>
            <w:noWrap/>
            <w:vAlign w:val="center"/>
          </w:tcPr>
          <w:p w14:paraId="7A5629CD">
            <w:pPr>
              <w:pStyle w:val="43"/>
              <w:bidi w:val="0"/>
              <w:rPr>
                <w:rFonts w:hint="eastAsia"/>
                <w:lang w:val="en-US" w:eastAsia="zh-CN"/>
              </w:rPr>
            </w:pPr>
            <w:r>
              <w:rPr>
                <w:rFonts w:hint="default"/>
                <w:lang w:val="en-US" w:eastAsia="zh-CN"/>
              </w:rPr>
              <w:t>1</w:t>
            </w:r>
          </w:p>
        </w:tc>
      </w:tr>
      <w:tr w14:paraId="00E2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4" w:type="pct"/>
            <w:gridSpan w:val="2"/>
            <w:noWrap/>
            <w:vAlign w:val="center"/>
          </w:tcPr>
          <w:p w14:paraId="74B6E4AE">
            <w:pPr>
              <w:pStyle w:val="43"/>
              <w:bidi w:val="0"/>
              <w:rPr>
                <w:rFonts w:hint="eastAsia"/>
                <w:lang w:val="en-US" w:eastAsia="zh-CN"/>
              </w:rPr>
            </w:pPr>
            <w:r>
              <w:rPr>
                <w:rFonts w:hint="eastAsia"/>
                <w:lang w:val="en-US" w:eastAsia="zh-CN"/>
              </w:rPr>
              <w:t>总计</w:t>
            </w:r>
          </w:p>
        </w:tc>
        <w:tc>
          <w:tcPr>
            <w:tcW w:w="1502" w:type="dxa"/>
            <w:noWrap/>
            <w:vAlign w:val="center"/>
          </w:tcPr>
          <w:p w14:paraId="276FCC4B">
            <w:pPr>
              <w:pStyle w:val="43"/>
              <w:bidi w:val="0"/>
              <w:rPr>
                <w:rFonts w:hint="eastAsia"/>
                <w:lang w:val="en-US" w:eastAsia="zh-CN"/>
              </w:rPr>
            </w:pPr>
            <w:r>
              <w:rPr>
                <w:rFonts w:hint="default"/>
                <w:lang w:val="en-US" w:eastAsia="zh-CN"/>
              </w:rPr>
              <w:t>231.98</w:t>
            </w:r>
          </w:p>
        </w:tc>
        <w:tc>
          <w:tcPr>
            <w:tcW w:w="1028" w:type="dxa"/>
            <w:noWrap/>
            <w:vAlign w:val="center"/>
          </w:tcPr>
          <w:p w14:paraId="06FD0E13">
            <w:pPr>
              <w:pStyle w:val="43"/>
              <w:bidi w:val="0"/>
              <w:rPr>
                <w:rFonts w:hint="eastAsia"/>
                <w:lang w:val="en-US" w:eastAsia="zh-CN"/>
              </w:rPr>
            </w:pPr>
            <w:r>
              <w:rPr>
                <w:rFonts w:hint="default"/>
                <w:lang w:val="en-US" w:eastAsia="zh-CN"/>
              </w:rPr>
              <w:t>100.00</w:t>
            </w:r>
          </w:p>
        </w:tc>
        <w:tc>
          <w:tcPr>
            <w:tcW w:w="922" w:type="dxa"/>
            <w:noWrap/>
            <w:vAlign w:val="center"/>
          </w:tcPr>
          <w:p w14:paraId="3511A48D">
            <w:pPr>
              <w:pStyle w:val="43"/>
              <w:bidi w:val="0"/>
              <w:rPr>
                <w:rFonts w:hint="eastAsia"/>
                <w:lang w:val="en-US" w:eastAsia="zh-CN"/>
              </w:rPr>
            </w:pPr>
            <w:r>
              <w:rPr>
                <w:rFonts w:hint="default"/>
                <w:lang w:val="en-US" w:eastAsia="zh-CN"/>
              </w:rPr>
              <w:t>92</w:t>
            </w:r>
          </w:p>
        </w:tc>
      </w:tr>
    </w:tbl>
    <w:p w14:paraId="0EE7A6DE">
      <w:pPr>
        <w:pStyle w:val="41"/>
        <w:bidi w:val="0"/>
      </w:pPr>
      <w:r>
        <w:rPr>
          <w:rFonts w:hint="eastAsia"/>
        </w:rPr>
        <w:t>根据土地利用统计结果，区域土地利用现状类型以</w:t>
      </w:r>
      <w:r>
        <w:rPr>
          <w:rFonts w:hint="eastAsia"/>
          <w:lang w:val="en-US" w:eastAsia="zh-CN"/>
        </w:rPr>
        <w:t>耕地</w:t>
      </w:r>
      <w:r>
        <w:rPr>
          <w:rFonts w:hint="eastAsia"/>
        </w:rPr>
        <w:t>为主，面积占比</w:t>
      </w:r>
      <w:r>
        <w:rPr>
          <w:rFonts w:hint="eastAsia"/>
          <w:lang w:val="en-US" w:eastAsia="zh-CN"/>
        </w:rPr>
        <w:t>为36.19</w:t>
      </w:r>
      <w:r>
        <w:rPr>
          <w:rFonts w:hint="eastAsia"/>
        </w:rPr>
        <w:t>%</w:t>
      </w:r>
      <w:r>
        <w:rPr>
          <w:rFonts w:hint="eastAsia"/>
          <w:lang w:eastAsia="zh-CN"/>
        </w:rPr>
        <w:t>；</w:t>
      </w:r>
      <w:r>
        <w:rPr>
          <w:rFonts w:hint="eastAsia"/>
          <w:lang w:val="en-US" w:eastAsia="zh-CN"/>
        </w:rPr>
        <w:t>其次为林地和工矿仓储用地，面积占比分别为30.77%、24.94%；</w:t>
      </w:r>
      <w:r>
        <w:rPr>
          <w:rFonts w:hint="eastAsia"/>
        </w:rPr>
        <w:t>园地</w:t>
      </w:r>
      <w:r>
        <w:rPr>
          <w:rFonts w:hint="eastAsia"/>
          <w:lang w:eastAsia="zh-CN"/>
        </w:rPr>
        <w:t>、</w:t>
      </w:r>
      <w:r>
        <w:rPr>
          <w:rFonts w:hint="eastAsia"/>
          <w:lang w:val="en-US" w:eastAsia="zh-CN"/>
        </w:rPr>
        <w:t>草地、</w:t>
      </w:r>
      <w:r>
        <w:rPr>
          <w:rFonts w:hint="eastAsia"/>
        </w:rPr>
        <w:t>交通运输用地</w:t>
      </w:r>
      <w:r>
        <w:rPr>
          <w:rFonts w:hint="eastAsia"/>
          <w:lang w:eastAsia="zh-CN"/>
        </w:rPr>
        <w:t>、</w:t>
      </w:r>
      <w:r>
        <w:rPr>
          <w:rFonts w:hint="eastAsia"/>
          <w:lang w:val="en-US" w:eastAsia="zh-CN"/>
        </w:rPr>
        <w:t>水域及水利设施用地</w:t>
      </w:r>
      <w:r>
        <w:rPr>
          <w:rFonts w:hint="eastAsia"/>
        </w:rPr>
        <w:t>面积</w:t>
      </w:r>
      <w:r>
        <w:rPr>
          <w:rFonts w:hint="eastAsia"/>
          <w:lang w:val="en-US" w:eastAsia="zh-CN"/>
        </w:rPr>
        <w:t>均较小，面积</w:t>
      </w:r>
      <w:r>
        <w:rPr>
          <w:rFonts w:hint="eastAsia"/>
        </w:rPr>
        <w:t>占比</w:t>
      </w:r>
      <w:r>
        <w:rPr>
          <w:rFonts w:hint="eastAsia"/>
          <w:lang w:val="en-US" w:eastAsia="zh-CN"/>
        </w:rPr>
        <w:t>依次</w:t>
      </w:r>
      <w:r>
        <w:rPr>
          <w:rFonts w:hint="eastAsia"/>
        </w:rPr>
        <w:t>为</w:t>
      </w:r>
      <w:r>
        <w:rPr>
          <w:rFonts w:hint="eastAsia"/>
          <w:lang w:val="en-US" w:eastAsia="zh-CN"/>
        </w:rPr>
        <w:t>6.03%、0.55%、0.64%、0.88%。</w:t>
      </w:r>
    </w:p>
    <w:p w14:paraId="67F94560">
      <w:pPr>
        <w:pStyle w:val="4"/>
        <w:bidi w:val="0"/>
      </w:pPr>
      <w:r>
        <w:rPr>
          <w:rFonts w:hint="eastAsia"/>
        </w:rPr>
        <w:t>植被</w:t>
      </w:r>
      <w:r>
        <w:t>现状</w:t>
      </w:r>
      <w:r>
        <w:rPr>
          <w:rFonts w:hint="eastAsia"/>
        </w:rPr>
        <w:t>评价</w:t>
      </w:r>
    </w:p>
    <w:p w14:paraId="60E75817">
      <w:pPr>
        <w:pStyle w:val="5"/>
        <w:bidi w:val="0"/>
      </w:pPr>
      <w:r>
        <w:rPr>
          <w:rFonts w:hint="eastAsia"/>
        </w:rPr>
        <w:t>植被资源概况</w:t>
      </w:r>
    </w:p>
    <w:p w14:paraId="262B5535">
      <w:pPr>
        <w:pStyle w:val="41"/>
        <w:bidi w:val="0"/>
        <w:rPr>
          <w:b/>
          <w:bCs/>
        </w:rPr>
      </w:pPr>
      <w:bookmarkStart w:id="333" w:name="_Toc118058178"/>
      <w:bookmarkEnd w:id="333"/>
      <w:r>
        <w:rPr>
          <w:rFonts w:hint="eastAsia"/>
          <w:b/>
          <w:bCs/>
          <w:lang w:eastAsia="zh-CN"/>
        </w:rPr>
        <w:t>（</w:t>
      </w:r>
      <w:r>
        <w:rPr>
          <w:rFonts w:hint="eastAsia"/>
          <w:b/>
          <w:bCs/>
          <w:lang w:val="en-US" w:eastAsia="zh-CN"/>
        </w:rPr>
        <w:t>1）</w:t>
      </w:r>
      <w:r>
        <w:rPr>
          <w:rFonts w:hint="eastAsia"/>
          <w:b/>
          <w:bCs/>
        </w:rPr>
        <w:t>评价区</w:t>
      </w:r>
      <w:r>
        <w:rPr>
          <w:b/>
          <w:bCs/>
        </w:rPr>
        <w:t>植被分区</w:t>
      </w:r>
    </w:p>
    <w:p w14:paraId="28360D85">
      <w:pPr>
        <w:pStyle w:val="41"/>
        <w:bidi w:val="0"/>
      </w:pPr>
      <w:r>
        <w:rPr>
          <w:rFonts w:hint="eastAsia"/>
        </w:rPr>
        <w:t>按照《云南植被》的分区，</w:t>
      </w:r>
      <w:r>
        <w:rPr>
          <w:rFonts w:hint="eastAsia"/>
          <w:lang w:eastAsia="zh-CN"/>
        </w:rPr>
        <w:t>项目</w:t>
      </w:r>
      <w:r>
        <w:rPr>
          <w:rFonts w:hint="eastAsia"/>
        </w:rPr>
        <w:t>所在地在植被分区上属于亚热带常绿阔叶林区域</w:t>
      </w:r>
      <w:r>
        <w:rPr>
          <w:rFonts w:hint="eastAsia"/>
          <w:lang w:eastAsia="zh-CN"/>
        </w:rPr>
        <w:t>（</w:t>
      </w:r>
      <w:r>
        <w:rPr>
          <w:rFonts w:hint="eastAsia"/>
        </w:rPr>
        <w:t>植被地带</w:t>
      </w:r>
      <w:r>
        <w:rPr>
          <w:rFonts w:hint="eastAsia"/>
          <w:lang w:eastAsia="zh-CN"/>
        </w:rPr>
        <w:t>）</w:t>
      </w:r>
      <w:r>
        <w:rPr>
          <w:rFonts w:hint="eastAsia"/>
        </w:rPr>
        <w:t>，西部</w:t>
      </w:r>
      <w:r>
        <w:rPr>
          <w:rFonts w:hint="eastAsia"/>
          <w:lang w:eastAsia="zh-CN"/>
        </w:rPr>
        <w:t>（</w:t>
      </w:r>
      <w:r>
        <w:rPr>
          <w:rFonts w:hint="eastAsia"/>
        </w:rPr>
        <w:t>半湿润</w:t>
      </w:r>
      <w:r>
        <w:rPr>
          <w:rFonts w:hint="eastAsia"/>
          <w:lang w:eastAsia="zh-CN"/>
        </w:rPr>
        <w:t>）</w:t>
      </w:r>
      <w:r>
        <w:rPr>
          <w:rFonts w:hint="eastAsia"/>
        </w:rPr>
        <w:t>常绿阔叶林亚区域</w:t>
      </w:r>
      <w:r>
        <w:rPr>
          <w:rFonts w:hint="eastAsia"/>
          <w:lang w:eastAsia="zh-CN"/>
        </w:rPr>
        <w:t>（</w:t>
      </w:r>
      <w:r>
        <w:rPr>
          <w:rFonts w:hint="eastAsia"/>
        </w:rPr>
        <w:t>植被亚带</w:t>
      </w:r>
      <w:r>
        <w:rPr>
          <w:rFonts w:hint="eastAsia"/>
          <w:lang w:eastAsia="zh-CN"/>
        </w:rPr>
        <w:t>）</w:t>
      </w:r>
      <w:r>
        <w:rPr>
          <w:rFonts w:hint="eastAsia"/>
        </w:rPr>
        <w:t>，高原亚热带南部季风常绿阔叶林地带</w:t>
      </w:r>
      <w:r>
        <w:rPr>
          <w:rFonts w:hint="eastAsia"/>
          <w:lang w:eastAsia="zh-CN"/>
        </w:rPr>
        <w:t>（</w:t>
      </w:r>
      <w:r>
        <w:rPr>
          <w:rFonts w:hint="eastAsia"/>
        </w:rPr>
        <w:t>植被地区</w:t>
      </w:r>
      <w:r>
        <w:rPr>
          <w:rFonts w:hint="eastAsia"/>
          <w:lang w:eastAsia="zh-CN"/>
        </w:rPr>
        <w:t>）</w:t>
      </w:r>
      <w:r>
        <w:rPr>
          <w:rFonts w:hint="eastAsia"/>
        </w:rPr>
        <w:t>，滇东南岩溶山原峡谷季风常绿阔叶林区</w:t>
      </w:r>
      <w:r>
        <w:rPr>
          <w:rFonts w:hint="eastAsia"/>
          <w:lang w:eastAsia="zh-CN"/>
        </w:rPr>
        <w:t>（</w:t>
      </w:r>
      <w:r>
        <w:rPr>
          <w:rFonts w:hint="eastAsia"/>
        </w:rPr>
        <w:t>植被小区</w:t>
      </w:r>
      <w:r>
        <w:rPr>
          <w:rFonts w:hint="eastAsia"/>
          <w:lang w:eastAsia="zh-CN"/>
        </w:rPr>
        <w:t>）</w:t>
      </w:r>
      <w:r>
        <w:rPr>
          <w:rFonts w:hint="eastAsia"/>
        </w:rPr>
        <w:t>，蒙自、元江岩溶高原峡谷云南松</w:t>
      </w:r>
      <w:r>
        <w:rPr>
          <w:rFonts w:hint="eastAsia"/>
          <w:lang w:eastAsia="zh-CN"/>
        </w:rPr>
        <w:t>、</w:t>
      </w:r>
      <w:r>
        <w:rPr>
          <w:rFonts w:hint="eastAsia"/>
        </w:rPr>
        <w:t>红木荷林、木棉、虾子花草丛亚区。植被分区构成如下：</w:t>
      </w:r>
    </w:p>
    <w:p w14:paraId="03257685">
      <w:pPr>
        <w:pStyle w:val="41"/>
        <w:bidi w:val="0"/>
      </w:pPr>
      <w:r>
        <w:rPr>
          <w:rFonts w:hint="eastAsia"/>
        </w:rPr>
        <w:t>Ⅱ亚热带常绿阔叶林区域</w:t>
      </w:r>
    </w:p>
    <w:p w14:paraId="113D3305">
      <w:pPr>
        <w:pStyle w:val="41"/>
        <w:bidi w:val="0"/>
      </w:pPr>
      <w:r>
        <w:rPr>
          <w:rFonts w:hint="eastAsia"/>
        </w:rPr>
        <w:t>Ⅱ</w:t>
      </w:r>
      <w:r>
        <w:t>A</w:t>
      </w:r>
      <w:r>
        <w:rPr>
          <w:rFonts w:hint="eastAsia"/>
        </w:rPr>
        <w:t>西部</w:t>
      </w:r>
      <w:r>
        <w:rPr>
          <w:rFonts w:hint="eastAsia"/>
          <w:lang w:eastAsia="zh-CN"/>
        </w:rPr>
        <w:t>（</w:t>
      </w:r>
      <w:r>
        <w:rPr>
          <w:rFonts w:hint="eastAsia"/>
        </w:rPr>
        <w:t>半湿润</w:t>
      </w:r>
      <w:r>
        <w:rPr>
          <w:rFonts w:hint="eastAsia"/>
          <w:lang w:eastAsia="zh-CN"/>
        </w:rPr>
        <w:t>）</w:t>
      </w:r>
      <w:r>
        <w:rPr>
          <w:rFonts w:hint="eastAsia"/>
        </w:rPr>
        <w:t>常绿阔叶林亚区域</w:t>
      </w:r>
    </w:p>
    <w:p w14:paraId="375CA968">
      <w:pPr>
        <w:pStyle w:val="41"/>
        <w:bidi w:val="0"/>
      </w:pPr>
      <w:r>
        <w:rPr>
          <w:rFonts w:hint="eastAsia"/>
        </w:rPr>
        <w:t>Ⅱ</w:t>
      </w:r>
      <w:r>
        <w:t>A</w:t>
      </w:r>
      <w:r>
        <w:rPr>
          <w:rFonts w:hint="eastAsia"/>
        </w:rPr>
        <w:t>ⅰ高原亚热带南部季风常绿阔叶林地带</w:t>
      </w:r>
    </w:p>
    <w:p w14:paraId="48352112">
      <w:pPr>
        <w:pStyle w:val="41"/>
        <w:bidi w:val="0"/>
      </w:pPr>
      <w:r>
        <w:rPr>
          <w:rFonts w:hint="eastAsia"/>
        </w:rPr>
        <w:t>Ⅱ</w:t>
      </w:r>
      <w:r>
        <w:t>A</w:t>
      </w:r>
      <w:r>
        <w:rPr>
          <w:rFonts w:hint="eastAsia"/>
        </w:rPr>
        <w:t>ⅰ-</w:t>
      </w:r>
      <w:r>
        <w:t>2</w:t>
      </w:r>
      <w:r>
        <w:rPr>
          <w:rFonts w:hint="eastAsia"/>
        </w:rPr>
        <w:t>滇东南岩溶山原峡谷季风常绿阔叶林区</w:t>
      </w:r>
    </w:p>
    <w:p w14:paraId="1965C241">
      <w:pPr>
        <w:pStyle w:val="41"/>
        <w:bidi w:val="0"/>
      </w:pPr>
      <w:r>
        <w:rPr>
          <w:rFonts w:hint="eastAsia"/>
        </w:rPr>
        <w:t>Ⅱ</w:t>
      </w:r>
      <w:r>
        <w:t>A</w:t>
      </w:r>
      <w:r>
        <w:rPr>
          <w:rFonts w:hint="eastAsia"/>
        </w:rPr>
        <w:t>ⅰ-</w:t>
      </w:r>
      <w:r>
        <w:t>2</w:t>
      </w:r>
      <w:r>
        <w:rPr>
          <w:rFonts w:hint="eastAsia"/>
        </w:rPr>
        <w:t>a蒙自、元江岩溶高原峡谷云南松</w:t>
      </w:r>
      <w:r>
        <w:rPr>
          <w:rFonts w:hint="eastAsia"/>
          <w:lang w:eastAsia="zh-CN"/>
        </w:rPr>
        <w:t>，</w:t>
      </w:r>
      <w:r>
        <w:rPr>
          <w:rFonts w:hint="eastAsia"/>
        </w:rPr>
        <w:t>红木荷林、木棉、虾子花草丛亚区</w:t>
      </w:r>
    </w:p>
    <w:p w14:paraId="37B1AD18">
      <w:pPr>
        <w:pStyle w:val="41"/>
        <w:bidi w:val="0"/>
      </w:pPr>
      <w:r>
        <w:rPr>
          <w:rFonts w:hint="eastAsia"/>
        </w:rPr>
        <w:t>本亚区占据本区西半部，约占全区面积的60%，包括红河哈尼族自治州、彝族</w:t>
      </w:r>
      <w:bookmarkStart w:id="334" w:name="OLE_LINK34"/>
      <w:bookmarkStart w:id="335" w:name="OLE_LINK35"/>
      <w:bookmarkStart w:id="336" w:name="OLE_LINK42"/>
      <w:r>
        <w:rPr>
          <w:rFonts w:hint="eastAsia"/>
        </w:rPr>
        <w:t>自</w:t>
      </w:r>
      <w:bookmarkEnd w:id="334"/>
      <w:bookmarkEnd w:id="335"/>
      <w:bookmarkEnd w:id="336"/>
      <w:r>
        <w:rPr>
          <w:rFonts w:hint="eastAsia"/>
        </w:rPr>
        <w:t>治州的大部分和玉溪专区大部分以及文山壮族苗族自治州西部的平远街等地。本亚区是滇东南高原上陷落盆地较发达的地段，沿断裂带有几列盆谷地分布，西北西一东南东向的红河深大断裂中发育有深陷的元江谷地，其东大致平行分布的为石屏一建水一鸡街一线地堑盆地偏东部分则为近南北向的平行断裂带，发育有开远、蒙自、竹园等断陷盆地。本亚区都处于东南季风和西南季风背风坡向的雨影部位，降水量较少，而且因有气流绝热下沉的增温效应，使本亚区成为云南省中南部一个显著的少雨区域，普遍较偏</w:t>
      </w:r>
      <w:r>
        <w:rPr>
          <w:rFonts w:hint="eastAsia"/>
          <w:lang w:eastAsia="zh-CN"/>
        </w:rPr>
        <w:t>干热</w:t>
      </w:r>
      <w:r>
        <w:rPr>
          <w:rFonts w:hint="eastAsia"/>
        </w:rPr>
        <w:t>，而且干热河谷植被发达。亚区内年降水量大都在800-1000毫米左右，干、湿季分明。全年无雾，湿度很低。年极端最高气温常出现在4或5月，最高达42.3℃：极端最低气温3.8℃。谷地中的典型土壤为燥红土，也被称为稀树草原土，其特点是淋溶弱，粘粒聚积于表层40厘米附近，且有钙质层存在，pH6.5</w:t>
      </w:r>
      <w:r>
        <w:rPr>
          <w:rFonts w:hint="eastAsia"/>
          <w:lang w:eastAsia="zh-CN"/>
        </w:rPr>
        <w:t>-</w:t>
      </w:r>
      <w:r>
        <w:rPr>
          <w:rFonts w:hint="eastAsia"/>
        </w:rPr>
        <w:t>6.7；土体中代换性铝和代换性含量少，而代换量可达18-28毫克当量/100克土。</w:t>
      </w:r>
    </w:p>
    <w:p w14:paraId="672637CF">
      <w:pPr>
        <w:pStyle w:val="41"/>
        <w:bidi w:val="0"/>
      </w:pPr>
      <w:r>
        <w:rPr>
          <w:rFonts w:hint="eastAsia"/>
        </w:rPr>
        <w:t>红河河谷内干热河谷植被发达，在海拔1000米以下即为典型的干热河谷稀树灌木草丛广泛分布，占据了河谷内广大的坡地和阶、台地，以旱生禾草的黄茅、芸香草、三芒草、双花草等占优势。在人类干扰较少的坡地，草被层发育较好，高达1米左右，其间散生单株灌丛，主要为圆锥黄荆、虾子花、朴叶扁担杆等。此外还有一些低矮的散生乔木，高仅5-7米，树干弯曲，分枝不高，树冠呈伞形，叶稀枝多，重要种类为余甘子、火绳树、滇黄杞等。在河谷两侧阶地多有肉</w:t>
      </w:r>
      <w:r>
        <w:rPr>
          <w:rFonts w:hint="eastAsia"/>
          <w:lang w:eastAsia="zh-CN"/>
        </w:rPr>
        <w:t>铩涞</w:t>
      </w:r>
      <w:r>
        <w:rPr>
          <w:rFonts w:hint="eastAsia"/>
        </w:rPr>
        <w:t>纵质旱生灌丛，最显著的有霸王鞭、</w:t>
      </w:r>
      <w:bookmarkStart w:id="337" w:name="OLE_LINK14"/>
      <w:bookmarkStart w:id="338" w:name="OLE_LINK15"/>
      <w:bookmarkStart w:id="339" w:name="OLE_LINK16"/>
      <w:r>
        <w:rPr>
          <w:rFonts w:hint="eastAsia"/>
        </w:rPr>
        <w:t>仙巴掌</w:t>
      </w:r>
      <w:bookmarkEnd w:id="337"/>
      <w:bookmarkEnd w:id="338"/>
      <w:bookmarkEnd w:id="339"/>
      <w:r>
        <w:rPr>
          <w:rFonts w:hint="eastAsia"/>
        </w:rPr>
        <w:t>等，高可达1.5-3.0米，有刺灌木金合欢、云实、刺黄果也常见，草本植物</w:t>
      </w:r>
      <w:r>
        <w:rPr>
          <w:rFonts w:hint="eastAsia"/>
          <w:lang w:eastAsia="zh-CN"/>
        </w:rPr>
        <w:t>也</w:t>
      </w:r>
      <w:r>
        <w:rPr>
          <w:rFonts w:hint="eastAsia"/>
        </w:rPr>
        <w:t>有刺和耐旱的种类如大花蒺藜、马齿苋、刺苋、黄细心、飞扬草等。在海拔约800米以上，以及局部水湿条件优厚的地段（如溪沟、缓坡）乔木种类和数量都有增加，并可形成疏林，但林木不高，仅10米左右，多为落叶树种，主要为滇榄仁、白枪杆、大沙叶、厚皮树。林下灌丛成丛生长，如山小桔、纤细雀梅藤，草本层比较发达，其中有较多的羊齿类。在</w:t>
      </w:r>
      <w:r>
        <w:rPr>
          <w:rFonts w:hint="eastAsia"/>
          <w:lang w:eastAsia="zh-CN"/>
        </w:rPr>
        <w:t>山</w:t>
      </w:r>
      <w:r>
        <w:rPr>
          <w:rFonts w:hint="eastAsia"/>
        </w:rPr>
        <w:t>水沟边等水湿条件优厚的地段发育有小果红椿，白头树，毛麻楝等为代表的半常绿季雨林“</w:t>
      </w:r>
      <w:r>
        <w:rPr>
          <w:rFonts w:hint="eastAsia"/>
          <w:lang w:eastAsia="zh-CN"/>
        </w:rPr>
        <w:t>片段</w:t>
      </w:r>
      <w:r>
        <w:rPr>
          <w:rFonts w:hint="eastAsia"/>
        </w:rPr>
        <w:t>”，还有杧果、刺桐、缅木、猫尾木、八宝树等，以及山黄麻、千张纸、毛叶柿、火绳树等落叶树种。</w:t>
      </w:r>
    </w:p>
    <w:p w14:paraId="295AE9EF">
      <w:pPr>
        <w:pStyle w:val="41"/>
        <w:bidi w:val="0"/>
        <w:rPr>
          <w:rFonts w:hint="eastAsia"/>
        </w:rPr>
      </w:pPr>
      <w:r>
        <w:rPr>
          <w:rFonts w:hint="eastAsia"/>
        </w:rPr>
        <w:t>红河谷地热量丰富、芒果、</w:t>
      </w:r>
      <w:r>
        <w:rPr>
          <w:rFonts w:hint="eastAsia"/>
          <w:lang w:eastAsia="zh-CN"/>
        </w:rPr>
        <w:t>菠萝蜜</w:t>
      </w:r>
      <w:r>
        <w:rPr>
          <w:rFonts w:hint="eastAsia"/>
        </w:rPr>
        <w:t>、</w:t>
      </w:r>
      <w:bookmarkStart w:id="340" w:name="OLE_LINK17"/>
      <w:bookmarkStart w:id="341" w:name="OLE_LINK23"/>
      <w:bookmarkStart w:id="342" w:name="OLE_LINK24"/>
      <w:r>
        <w:rPr>
          <w:rFonts w:hint="eastAsia"/>
        </w:rPr>
        <w:t>番石榴</w:t>
      </w:r>
      <w:bookmarkEnd w:id="340"/>
      <w:bookmarkEnd w:id="341"/>
      <w:bookmarkEnd w:id="342"/>
      <w:r>
        <w:rPr>
          <w:rFonts w:hint="eastAsia"/>
        </w:rPr>
        <w:t>、荔枝、木瓜、香蕉等果品以及槟榔都适于栽培。全亚区盆谷地内的气温条件大都适于双季稻加冬作的发展，元江坝子栽培双季稻已有数百年的历史，水源不足处则多栽培玉米等旱作：甘蔗种植较多，竹园、开远，元江等地是省内重要的蔗糖基地。石榴、番石榴、柑桔等都较多。</w:t>
      </w:r>
    </w:p>
    <w:p w14:paraId="15F02052">
      <w:pPr>
        <w:pStyle w:val="41"/>
        <w:bidi w:val="0"/>
        <w:rPr>
          <w:b/>
          <w:bCs/>
        </w:rPr>
      </w:pPr>
      <w:r>
        <w:rPr>
          <w:rFonts w:hint="eastAsia"/>
          <w:b/>
          <w:bCs/>
          <w:lang w:eastAsia="zh-CN"/>
        </w:rPr>
        <w:t>（</w:t>
      </w:r>
      <w:r>
        <w:rPr>
          <w:rFonts w:hint="eastAsia"/>
          <w:b/>
          <w:bCs/>
          <w:lang w:val="en-US" w:eastAsia="zh-CN"/>
        </w:rPr>
        <w:t>2）</w:t>
      </w:r>
      <w:r>
        <w:rPr>
          <w:rFonts w:hint="eastAsia"/>
          <w:b/>
          <w:bCs/>
        </w:rPr>
        <w:t>评价区植物组成与区系</w:t>
      </w:r>
    </w:p>
    <w:p w14:paraId="118967A4">
      <w:pPr>
        <w:pStyle w:val="41"/>
        <w:bidi w:val="0"/>
      </w:pPr>
      <w:r>
        <w:rPr>
          <w:rFonts w:hint="eastAsia"/>
        </w:rPr>
        <w:t>评价区域位于</w:t>
      </w:r>
      <w:r>
        <w:rPr>
          <w:rFonts w:hint="eastAsia"/>
          <w:lang w:val="en-US" w:eastAsia="zh-CN"/>
        </w:rPr>
        <w:t>云南省文山壮族苗族自治州砚山县，</w:t>
      </w:r>
      <w:r>
        <w:rPr>
          <w:rFonts w:hint="eastAsia"/>
        </w:rPr>
        <w:t>区域内植被以</w:t>
      </w:r>
      <w:r>
        <w:rPr>
          <w:rFonts w:hint="eastAsia"/>
          <w:lang w:val="en-US" w:eastAsia="zh-CN"/>
        </w:rPr>
        <w:t>农田作物</w:t>
      </w:r>
      <w:r>
        <w:rPr>
          <w:rFonts w:hint="eastAsia"/>
        </w:rPr>
        <w:t>为主，</w:t>
      </w:r>
      <w:r>
        <w:rPr>
          <w:rFonts w:hint="eastAsia"/>
          <w:lang w:val="en-US" w:eastAsia="zh-CN"/>
        </w:rPr>
        <w:t>主要由玉米、红薯等组成</w:t>
      </w:r>
      <w:r>
        <w:rPr>
          <w:rFonts w:hint="eastAsia"/>
          <w:lang w:eastAsia="zh-CN"/>
        </w:rPr>
        <w:t>；</w:t>
      </w:r>
      <w:r>
        <w:rPr>
          <w:rFonts w:hint="eastAsia"/>
          <w:lang w:val="en-US" w:eastAsia="zh-CN"/>
        </w:rPr>
        <w:t>其次为灌木植被</w:t>
      </w:r>
      <w:r>
        <w:rPr>
          <w:rFonts w:hint="eastAsia"/>
          <w:lang w:eastAsia="zh-CN"/>
        </w:rPr>
        <w:t>，</w:t>
      </w:r>
      <w:r>
        <w:rPr>
          <w:rFonts w:hint="eastAsia"/>
        </w:rPr>
        <w:t>优势植被群落为</w:t>
      </w:r>
      <w:r>
        <w:rPr>
          <w:rFonts w:hint="eastAsia"/>
          <w:lang w:val="en-US" w:eastAsia="zh-CN"/>
        </w:rPr>
        <w:t>椎连栎</w:t>
      </w:r>
      <w:r>
        <w:rPr>
          <w:rFonts w:hint="eastAsia"/>
        </w:rPr>
        <w:t>（</w:t>
      </w:r>
      <w:r>
        <w:rPr>
          <w:rFonts w:hint="eastAsia"/>
          <w:i/>
          <w:iCs/>
        </w:rPr>
        <w:t>Quercus franchetii Skan</w:t>
      </w:r>
      <w:r>
        <w:rPr>
          <w:rFonts w:hint="eastAsia"/>
        </w:rPr>
        <w:t>）</w:t>
      </w:r>
      <w:r>
        <w:rPr>
          <w:rFonts w:hint="eastAsia"/>
          <w:lang w:eastAsia="zh-CN"/>
        </w:rPr>
        <w:t>；</w:t>
      </w:r>
      <w:r>
        <w:rPr>
          <w:rFonts w:hint="eastAsia"/>
          <w:lang w:val="en-US" w:eastAsia="zh-CN"/>
        </w:rPr>
        <w:t>乔木植被和草本植被较少，其中乔木植被主要由云南松（</w:t>
      </w:r>
      <w:r>
        <w:rPr>
          <w:rFonts w:hint="eastAsia"/>
          <w:i/>
          <w:iCs/>
        </w:rPr>
        <w:t>Pinus yunnanensis</w:t>
      </w:r>
      <w:r>
        <w:rPr>
          <w:rFonts w:hint="eastAsia"/>
          <w:lang w:val="en-US" w:eastAsia="zh-CN"/>
        </w:rPr>
        <w:t>）和桉（</w:t>
      </w:r>
      <w:r>
        <w:rPr>
          <w:rFonts w:hint="eastAsia"/>
          <w:i/>
          <w:iCs/>
        </w:rPr>
        <w:t>Eucalyptus robusta</w:t>
      </w:r>
      <w:r>
        <w:rPr>
          <w:rFonts w:hint="eastAsia"/>
          <w:lang w:val="en-US" w:eastAsia="zh-CN"/>
        </w:rPr>
        <w:t>）组成，草本植被主要由拂子茅（</w:t>
      </w:r>
      <w:r>
        <w:rPr>
          <w:rFonts w:hint="eastAsia"/>
          <w:i/>
          <w:iCs/>
        </w:rPr>
        <w:t>Calamagrostis epigeios</w:t>
      </w:r>
      <w:r>
        <w:rPr>
          <w:rFonts w:hint="eastAsia"/>
          <w:lang w:val="en-US" w:eastAsia="zh-CN"/>
        </w:rPr>
        <w:t>）和艾（</w:t>
      </w:r>
      <w:r>
        <w:rPr>
          <w:rFonts w:hint="eastAsia"/>
          <w:i/>
          <w:iCs/>
        </w:rPr>
        <w:t>Artemisia argyi</w:t>
      </w:r>
      <w:r>
        <w:rPr>
          <w:rFonts w:hint="eastAsia"/>
          <w:lang w:val="en-US" w:eastAsia="zh-CN"/>
        </w:rPr>
        <w:t>）组成</w:t>
      </w:r>
      <w:r>
        <w:rPr>
          <w:rFonts w:hint="eastAsia"/>
          <w:lang w:eastAsia="zh-CN"/>
        </w:rPr>
        <w:t>。</w:t>
      </w:r>
      <w:r>
        <w:rPr>
          <w:rFonts w:hint="eastAsia"/>
          <w:lang w:val="en-US" w:eastAsia="zh-CN"/>
        </w:rPr>
        <w:t>评价区</w:t>
      </w:r>
      <w:r>
        <w:rPr>
          <w:rFonts w:hint="eastAsia"/>
        </w:rPr>
        <w:t>植被覆盖度</w:t>
      </w:r>
      <w:r>
        <w:rPr>
          <w:rFonts w:hint="eastAsia"/>
          <w:lang w:val="en-US" w:eastAsia="zh-CN"/>
        </w:rPr>
        <w:t>一般</w:t>
      </w:r>
      <w:r>
        <w:rPr>
          <w:rFonts w:hint="eastAsia"/>
        </w:rPr>
        <w:t>，群落结构</w:t>
      </w:r>
      <w:r>
        <w:rPr>
          <w:rFonts w:hint="eastAsia"/>
          <w:lang w:val="en-US" w:eastAsia="zh-CN"/>
        </w:rPr>
        <w:t>较</w:t>
      </w:r>
      <w:r>
        <w:rPr>
          <w:rFonts w:hint="eastAsia"/>
        </w:rPr>
        <w:t>稳定。</w:t>
      </w:r>
    </w:p>
    <w:p w14:paraId="034B80F5">
      <w:pPr>
        <w:pStyle w:val="41"/>
        <w:bidi w:val="0"/>
        <w:rPr>
          <w:b/>
          <w:bCs/>
        </w:rPr>
      </w:pPr>
      <w:r>
        <w:rPr>
          <w:rFonts w:hint="eastAsia"/>
          <w:b/>
          <w:bCs/>
          <w:lang w:eastAsia="zh-CN"/>
        </w:rPr>
        <w:t>（</w:t>
      </w:r>
      <w:r>
        <w:rPr>
          <w:rFonts w:hint="eastAsia"/>
          <w:b/>
          <w:bCs/>
          <w:lang w:val="en-US" w:eastAsia="zh-CN"/>
        </w:rPr>
        <w:t>3）</w:t>
      </w:r>
      <w:r>
        <w:rPr>
          <w:b/>
          <w:bCs/>
        </w:rPr>
        <w:t>评价区植被类型与空间分布</w:t>
      </w:r>
    </w:p>
    <w:p w14:paraId="029EEF81">
      <w:pPr>
        <w:pStyle w:val="41"/>
        <w:bidi w:val="0"/>
      </w:pPr>
      <w:r>
        <w:t>项目评价范围植被类型调查以资料收集与现场调查相结合的方式开展，评价区域植被类型图参照《1:1000000中国植被图》中植被分类体系</w:t>
      </w:r>
      <w:r>
        <w:rPr>
          <w:rFonts w:hint="eastAsia"/>
        </w:rPr>
        <w:t>，</w:t>
      </w:r>
      <w:r>
        <w:t>评价范围</w:t>
      </w:r>
      <w:r>
        <w:rPr>
          <w:rFonts w:hint="eastAsia"/>
        </w:rPr>
        <w:t>内共有一个植被型组，类型为草地</w:t>
      </w:r>
      <w:r>
        <w:t>，同时结合区域高分遥感数据、DEM数据、地面调查数据等进行评价范围植被类型遥感目视解译，勾画出植被类型矢量图斑</w:t>
      </w:r>
      <w:r>
        <w:rPr>
          <w:rFonts w:hint="eastAsia"/>
        </w:rPr>
        <w:t>，</w:t>
      </w:r>
      <w:r>
        <w:t>并利用GIS软件以植被群落调查结果制作评价范围植被类型图，结果如图所示。</w:t>
      </w:r>
    </w:p>
    <w:p w14:paraId="6CEA441E">
      <w:pPr>
        <w:pStyle w:val="43"/>
        <w:bidi w:val="0"/>
      </w:pPr>
      <w:r>
        <w:drawing>
          <wp:inline distT="0" distB="0" distL="114300" distR="114300">
            <wp:extent cx="5654040" cy="3959860"/>
            <wp:effectExtent l="0" t="0" r="0" b="2540"/>
            <wp:docPr id="10" name="图片 10" descr="E:/02-生态调查/2026-01-23砚山县红舍克东山石灰石矿项目生态图绘制/04-项目成果/生态图0123/附图5 植被类型图.jpg附图5 植被类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02-生态调查/2026-01-23砚山县红舍克东山石灰石矿项目生态图绘制/04-项目成果/生态图0123/附图5 植被类型图.jpg附图5 植被类型图"/>
                    <pic:cNvPicPr>
                      <a:picLocks noChangeAspect="1"/>
                    </pic:cNvPicPr>
                  </pic:nvPicPr>
                  <pic:blipFill>
                    <a:blip r:embed="rId30"/>
                    <a:srcRect l="1246" t="1606" r="885" b="3740"/>
                    <a:stretch>
                      <a:fillRect/>
                    </a:stretch>
                  </pic:blipFill>
                  <pic:spPr>
                    <a:xfrm>
                      <a:off x="0" y="0"/>
                      <a:ext cx="5654040" cy="3959860"/>
                    </a:xfrm>
                    <a:prstGeom prst="rect">
                      <a:avLst/>
                    </a:prstGeom>
                  </pic:spPr>
                </pic:pic>
              </a:graphicData>
            </a:graphic>
          </wp:inline>
        </w:drawing>
      </w:r>
    </w:p>
    <w:p w14:paraId="72442FE0">
      <w:pPr>
        <w:pStyle w:val="45"/>
        <w:bidi w:val="0"/>
      </w:pPr>
      <w:r>
        <w:t>图</w:t>
      </w:r>
      <w:r>
        <w:rPr>
          <w:rFonts w:hint="eastAsia"/>
          <w:lang w:val="en-US" w:eastAsia="zh-CN"/>
        </w:rPr>
        <w:t>5.2</w:t>
      </w:r>
      <w:r>
        <w:noBreakHyphen/>
      </w:r>
      <w:r>
        <w:rPr>
          <w:rFonts w:hint="eastAsia"/>
          <w:lang w:val="en-US" w:eastAsia="zh-CN"/>
        </w:rPr>
        <w:t>2</w:t>
      </w:r>
      <w:r>
        <w:t>评价范围植被类型图</w:t>
      </w:r>
    </w:p>
    <w:p w14:paraId="7517C56E">
      <w:pPr>
        <w:pStyle w:val="41"/>
        <w:bidi w:val="0"/>
      </w:pPr>
      <w:r>
        <w:rPr>
          <w:rFonts w:hint="eastAsia"/>
        </w:rPr>
        <w:t>根据植被类型图，统计评价范围内的各植被类型的面积和占比情况，如下表所示。根据统计结果，评价范围内植被类型以</w:t>
      </w:r>
      <w:r>
        <w:rPr>
          <w:rFonts w:hint="eastAsia"/>
          <w:lang w:val="en-US" w:eastAsia="zh-CN"/>
        </w:rPr>
        <w:t>农业</w:t>
      </w:r>
      <w:r>
        <w:rPr>
          <w:rFonts w:hint="eastAsia"/>
        </w:rPr>
        <w:t>植被最多，面积占比</w:t>
      </w:r>
      <w:r>
        <w:rPr>
          <w:rFonts w:hint="eastAsia"/>
          <w:lang w:val="en-US" w:eastAsia="zh-CN"/>
        </w:rPr>
        <w:t>为35.19</w:t>
      </w:r>
      <w:r>
        <w:t>%</w:t>
      </w:r>
      <w:r>
        <w:rPr>
          <w:rFonts w:hint="eastAsia"/>
        </w:rPr>
        <w:t>，主要由</w:t>
      </w:r>
      <w:r>
        <w:rPr>
          <w:rFonts w:hint="eastAsia"/>
          <w:lang w:val="en-US" w:eastAsia="zh-CN"/>
        </w:rPr>
        <w:t>玉米、红薯等粮食作物组成</w:t>
      </w:r>
      <w:r>
        <w:rPr>
          <w:rFonts w:hint="eastAsia"/>
        </w:rPr>
        <w:t>；</w:t>
      </w:r>
      <w:r>
        <w:rPr>
          <w:rFonts w:hint="eastAsia"/>
          <w:lang w:val="en-US" w:eastAsia="zh-CN"/>
        </w:rPr>
        <w:t>其次为灌丛</w:t>
      </w:r>
      <w:r>
        <w:rPr>
          <w:rFonts w:hint="eastAsia"/>
        </w:rPr>
        <w:t>植被</w:t>
      </w:r>
      <w:r>
        <w:rPr>
          <w:rFonts w:hint="eastAsia"/>
          <w:lang w:eastAsia="zh-CN"/>
        </w:rPr>
        <w:t>，</w:t>
      </w:r>
      <w:r>
        <w:rPr>
          <w:rFonts w:hint="eastAsia"/>
        </w:rPr>
        <w:t>面积占比为</w:t>
      </w:r>
      <w:r>
        <w:rPr>
          <w:rFonts w:hint="eastAsia"/>
          <w:lang w:val="en-US" w:eastAsia="zh-CN"/>
        </w:rPr>
        <w:t>26.02</w:t>
      </w:r>
      <w:r>
        <w:t>%</w:t>
      </w:r>
      <w:r>
        <w:rPr>
          <w:rFonts w:hint="eastAsia"/>
        </w:rPr>
        <w:t>，主要由</w:t>
      </w:r>
      <w:r>
        <w:rPr>
          <w:rFonts w:hint="eastAsia"/>
          <w:lang w:val="en-US" w:eastAsia="zh-CN"/>
        </w:rPr>
        <w:t>锥连栎林</w:t>
      </w:r>
      <w:r>
        <w:rPr>
          <w:rFonts w:hint="eastAsia"/>
        </w:rPr>
        <w:t>组成</w:t>
      </w:r>
      <w:r>
        <w:rPr>
          <w:rFonts w:hint="eastAsia"/>
          <w:lang w:eastAsia="zh-CN"/>
        </w:rPr>
        <w:t>；</w:t>
      </w:r>
      <w:r>
        <w:rPr>
          <w:rFonts w:hint="eastAsia"/>
          <w:lang w:val="en-US" w:eastAsia="zh-CN"/>
        </w:rPr>
        <w:t>森林植被</w:t>
      </w:r>
      <w:r>
        <w:rPr>
          <w:rFonts w:hint="eastAsia"/>
        </w:rPr>
        <w:t>占比为</w:t>
      </w:r>
      <w:r>
        <w:rPr>
          <w:rFonts w:hint="eastAsia"/>
          <w:lang w:val="en-US" w:eastAsia="zh-CN"/>
        </w:rPr>
        <w:t>4.75</w:t>
      </w:r>
      <w:r>
        <w:t>%</w:t>
      </w:r>
      <w:r>
        <w:rPr>
          <w:rFonts w:hint="eastAsia"/>
        </w:rPr>
        <w:t>，主要</w:t>
      </w:r>
      <w:r>
        <w:rPr>
          <w:rFonts w:hint="eastAsia"/>
          <w:lang w:val="en-US" w:eastAsia="zh-CN"/>
        </w:rPr>
        <w:t>由云南松和桉树组成；草本植被主要由拂子茅、艾等组成，面积占比为0.55%</w:t>
      </w:r>
      <w:r>
        <w:rPr>
          <w:rFonts w:hint="eastAsia"/>
        </w:rPr>
        <w:t>；评价范围无植被地段面积占比</w:t>
      </w:r>
      <w:r>
        <w:rPr>
          <w:rFonts w:hint="eastAsia"/>
          <w:lang w:val="en-US" w:eastAsia="zh-CN"/>
        </w:rPr>
        <w:t>25.58</w:t>
      </w:r>
      <w:r>
        <w:t>%</w:t>
      </w:r>
      <w:r>
        <w:rPr>
          <w:rFonts w:hint="eastAsia"/>
          <w:lang w:eastAsia="zh-CN"/>
        </w:rPr>
        <w:t>，</w:t>
      </w:r>
      <w:r>
        <w:rPr>
          <w:rFonts w:hint="eastAsia"/>
          <w:lang w:val="en-US" w:eastAsia="zh-CN"/>
        </w:rPr>
        <w:t>水域面积占比为0.88%</w:t>
      </w:r>
      <w:r>
        <w:rPr>
          <w:rFonts w:hint="eastAsia"/>
        </w:rPr>
        <w:t>。</w:t>
      </w:r>
    </w:p>
    <w:p w14:paraId="03AD1511">
      <w:pPr>
        <w:pStyle w:val="45"/>
        <w:bidi w:val="0"/>
      </w:pPr>
      <w:r>
        <w:t>表</w:t>
      </w:r>
      <w:r>
        <w:rPr>
          <w:rFonts w:hint="eastAsia"/>
          <w:lang w:val="en-US" w:eastAsia="zh-CN"/>
        </w:rPr>
        <w:t>5.2</w:t>
      </w:r>
      <w:r>
        <w:noBreakHyphen/>
      </w:r>
      <w:r>
        <w:rPr>
          <w:rFonts w:hint="eastAsia"/>
          <w:lang w:val="en-US" w:eastAsia="zh-CN"/>
        </w:rPr>
        <w:t>2</w:t>
      </w:r>
      <w:r>
        <w:t xml:space="preserve">评价范围植被类型面积统计表 </w:t>
      </w:r>
    </w:p>
    <w:tbl>
      <w:tblPr>
        <w:tblStyle w:val="34"/>
        <w:tblW w:w="4997" w:type="pct"/>
        <w:tblInd w:w="0" w:type="dxa"/>
        <w:tblLayout w:type="autofit"/>
        <w:tblCellMar>
          <w:top w:w="0" w:type="dxa"/>
          <w:left w:w="108" w:type="dxa"/>
          <w:bottom w:w="0" w:type="dxa"/>
          <w:right w:w="108" w:type="dxa"/>
        </w:tblCellMar>
      </w:tblPr>
      <w:tblGrid>
        <w:gridCol w:w="1686"/>
        <w:gridCol w:w="3022"/>
        <w:gridCol w:w="2055"/>
        <w:gridCol w:w="1761"/>
      </w:tblGrid>
      <w:tr w14:paraId="6E2E5B86">
        <w:tblPrEx>
          <w:tblCellMar>
            <w:top w:w="0" w:type="dxa"/>
            <w:left w:w="108" w:type="dxa"/>
            <w:bottom w:w="0" w:type="dxa"/>
            <w:right w:w="108" w:type="dxa"/>
          </w:tblCellMar>
        </w:tblPrEx>
        <w:trPr>
          <w:trHeight w:val="397" w:hRule="atLeast"/>
        </w:trPr>
        <w:tc>
          <w:tcPr>
            <w:tcW w:w="989" w:type="pct"/>
            <w:tcBorders>
              <w:top w:val="single" w:color="auto" w:sz="4" w:space="0"/>
              <w:left w:val="single" w:color="auto" w:sz="4" w:space="0"/>
              <w:bottom w:val="single" w:color="auto" w:sz="4" w:space="0"/>
              <w:right w:val="single" w:color="auto" w:sz="4" w:space="0"/>
            </w:tcBorders>
            <w:noWrap/>
            <w:vAlign w:val="center"/>
          </w:tcPr>
          <w:p w14:paraId="6E02CBD9">
            <w:pPr>
              <w:pStyle w:val="43"/>
              <w:bidi w:val="0"/>
              <w:rPr>
                <w:b/>
                <w:bCs/>
              </w:rPr>
            </w:pPr>
            <w:r>
              <w:rPr>
                <w:rFonts w:hint="eastAsia"/>
                <w:b/>
                <w:bCs/>
              </w:rPr>
              <w:t>植被型组</w:t>
            </w:r>
          </w:p>
        </w:tc>
        <w:tc>
          <w:tcPr>
            <w:tcW w:w="1772" w:type="pct"/>
            <w:tcBorders>
              <w:top w:val="single" w:color="auto" w:sz="4" w:space="0"/>
              <w:left w:val="nil"/>
              <w:bottom w:val="single" w:color="auto" w:sz="4" w:space="0"/>
              <w:right w:val="single" w:color="auto" w:sz="4" w:space="0"/>
            </w:tcBorders>
            <w:vAlign w:val="center"/>
          </w:tcPr>
          <w:p w14:paraId="03483EAB">
            <w:pPr>
              <w:pStyle w:val="43"/>
              <w:bidi w:val="0"/>
              <w:rPr>
                <w:b/>
                <w:bCs/>
              </w:rPr>
            </w:pPr>
            <w:r>
              <w:rPr>
                <w:rFonts w:hint="eastAsia"/>
                <w:b/>
                <w:bCs/>
              </w:rPr>
              <w:t>群系</w:t>
            </w:r>
          </w:p>
        </w:tc>
        <w:tc>
          <w:tcPr>
            <w:tcW w:w="1205" w:type="pct"/>
            <w:tcBorders>
              <w:top w:val="single" w:color="auto" w:sz="4" w:space="0"/>
              <w:left w:val="nil"/>
              <w:bottom w:val="single" w:color="auto" w:sz="4" w:space="0"/>
              <w:right w:val="single" w:color="auto" w:sz="4" w:space="0"/>
            </w:tcBorders>
            <w:noWrap/>
            <w:vAlign w:val="center"/>
          </w:tcPr>
          <w:p w14:paraId="71045284">
            <w:pPr>
              <w:pStyle w:val="43"/>
              <w:bidi w:val="0"/>
              <w:rPr>
                <w:b/>
                <w:bCs/>
              </w:rPr>
            </w:pPr>
            <w:r>
              <w:rPr>
                <w:rFonts w:hint="eastAsia"/>
                <w:b/>
                <w:bCs/>
              </w:rPr>
              <w:t>面积（公顷）</w:t>
            </w:r>
          </w:p>
        </w:tc>
        <w:tc>
          <w:tcPr>
            <w:tcW w:w="1033" w:type="pct"/>
            <w:tcBorders>
              <w:top w:val="single" w:color="auto" w:sz="4" w:space="0"/>
              <w:left w:val="nil"/>
              <w:bottom w:val="single" w:color="auto" w:sz="4" w:space="0"/>
              <w:right w:val="single" w:color="auto" w:sz="4" w:space="0"/>
            </w:tcBorders>
            <w:noWrap/>
            <w:vAlign w:val="center"/>
          </w:tcPr>
          <w:p w14:paraId="5F4BF6BD">
            <w:pPr>
              <w:pStyle w:val="43"/>
              <w:bidi w:val="0"/>
              <w:rPr>
                <w:b/>
                <w:bCs/>
              </w:rPr>
            </w:pPr>
            <w:r>
              <w:rPr>
                <w:rFonts w:hint="eastAsia"/>
                <w:b/>
                <w:bCs/>
              </w:rPr>
              <w:t>占比（%）</w:t>
            </w:r>
          </w:p>
        </w:tc>
      </w:tr>
      <w:tr w14:paraId="0034D1CA">
        <w:tblPrEx>
          <w:tblCellMar>
            <w:top w:w="0" w:type="dxa"/>
            <w:left w:w="108" w:type="dxa"/>
            <w:bottom w:w="0" w:type="dxa"/>
            <w:right w:w="108" w:type="dxa"/>
          </w:tblCellMar>
        </w:tblPrEx>
        <w:trPr>
          <w:trHeight w:val="397" w:hRule="atLeast"/>
        </w:trPr>
        <w:tc>
          <w:tcPr>
            <w:tcW w:w="989" w:type="pct"/>
            <w:vMerge w:val="restart"/>
            <w:tcBorders>
              <w:top w:val="single" w:color="auto" w:sz="4" w:space="0"/>
              <w:left w:val="single" w:color="auto" w:sz="4" w:space="0"/>
              <w:right w:val="single" w:color="auto" w:sz="4" w:space="0"/>
            </w:tcBorders>
            <w:noWrap/>
            <w:vAlign w:val="center"/>
          </w:tcPr>
          <w:p w14:paraId="69569D5B">
            <w:pPr>
              <w:pStyle w:val="43"/>
              <w:bidi w:val="0"/>
              <w:rPr>
                <w:rFonts w:hint="eastAsia"/>
                <w:lang w:val="en-US" w:eastAsia="zh-CN"/>
              </w:rPr>
            </w:pPr>
            <w:r>
              <w:rPr>
                <w:rFonts w:hint="eastAsia"/>
                <w:lang w:val="en-US" w:eastAsia="zh-CN"/>
              </w:rPr>
              <w:t>森林</w:t>
            </w:r>
          </w:p>
        </w:tc>
        <w:tc>
          <w:tcPr>
            <w:tcW w:w="1772" w:type="pct"/>
            <w:tcBorders>
              <w:top w:val="single" w:color="auto" w:sz="4" w:space="0"/>
              <w:left w:val="single" w:color="auto" w:sz="4" w:space="0"/>
              <w:bottom w:val="single" w:color="auto" w:sz="4" w:space="0"/>
              <w:right w:val="single" w:color="auto" w:sz="4" w:space="0"/>
            </w:tcBorders>
            <w:noWrap/>
            <w:vAlign w:val="center"/>
          </w:tcPr>
          <w:p w14:paraId="2822CEA2">
            <w:pPr>
              <w:pStyle w:val="43"/>
              <w:bidi w:val="0"/>
              <w:rPr>
                <w:rFonts w:hint="default"/>
                <w:lang w:val="en-US" w:eastAsia="zh-CN"/>
              </w:rPr>
            </w:pPr>
            <w:r>
              <w:rPr>
                <w:rFonts w:hint="eastAsia"/>
                <w:lang w:val="en-US" w:eastAsia="zh-CN"/>
              </w:rPr>
              <w:t>云南松林</w:t>
            </w:r>
          </w:p>
        </w:tc>
        <w:tc>
          <w:tcPr>
            <w:tcW w:w="2053" w:type="dxa"/>
            <w:tcBorders>
              <w:top w:val="single" w:color="auto" w:sz="4" w:space="0"/>
              <w:left w:val="single" w:color="auto" w:sz="4" w:space="0"/>
              <w:bottom w:val="single" w:color="auto" w:sz="4" w:space="0"/>
              <w:right w:val="single" w:color="auto" w:sz="4" w:space="0"/>
            </w:tcBorders>
            <w:noWrap/>
            <w:vAlign w:val="center"/>
          </w:tcPr>
          <w:p w14:paraId="68CDA79F">
            <w:pPr>
              <w:pStyle w:val="43"/>
              <w:bidi w:val="0"/>
              <w:rPr>
                <w:rFonts w:hint="eastAsia"/>
                <w:lang w:val="en-US" w:eastAsia="zh-CN"/>
              </w:rPr>
            </w:pPr>
            <w:r>
              <w:rPr>
                <w:rFonts w:hint="default"/>
                <w:lang w:val="en-US" w:eastAsia="zh-CN"/>
              </w:rPr>
              <w:t>9.92</w:t>
            </w:r>
          </w:p>
        </w:tc>
        <w:tc>
          <w:tcPr>
            <w:tcW w:w="1760" w:type="dxa"/>
            <w:tcBorders>
              <w:top w:val="single" w:color="auto" w:sz="4" w:space="0"/>
              <w:left w:val="single" w:color="auto" w:sz="4" w:space="0"/>
              <w:bottom w:val="single" w:color="auto" w:sz="4" w:space="0"/>
              <w:right w:val="single" w:color="auto" w:sz="4" w:space="0"/>
            </w:tcBorders>
            <w:noWrap/>
            <w:vAlign w:val="center"/>
          </w:tcPr>
          <w:p w14:paraId="61B6C30B">
            <w:pPr>
              <w:pStyle w:val="43"/>
              <w:bidi w:val="0"/>
              <w:rPr>
                <w:rFonts w:hint="eastAsia"/>
                <w:lang w:val="en-US" w:eastAsia="zh-CN"/>
              </w:rPr>
            </w:pPr>
            <w:r>
              <w:rPr>
                <w:rFonts w:hint="default"/>
                <w:lang w:val="en-US" w:eastAsia="zh-CN"/>
              </w:rPr>
              <w:t>4.28</w:t>
            </w:r>
          </w:p>
        </w:tc>
      </w:tr>
      <w:tr w14:paraId="41A9366F">
        <w:tblPrEx>
          <w:tblCellMar>
            <w:top w:w="0" w:type="dxa"/>
            <w:left w:w="108" w:type="dxa"/>
            <w:bottom w:w="0" w:type="dxa"/>
            <w:right w:w="108" w:type="dxa"/>
          </w:tblCellMar>
        </w:tblPrEx>
        <w:trPr>
          <w:trHeight w:val="397" w:hRule="atLeast"/>
        </w:trPr>
        <w:tc>
          <w:tcPr>
            <w:tcW w:w="989" w:type="pct"/>
            <w:vMerge w:val="continue"/>
            <w:tcBorders>
              <w:left w:val="single" w:color="auto" w:sz="4" w:space="0"/>
              <w:bottom w:val="single" w:color="auto" w:sz="4" w:space="0"/>
              <w:right w:val="single" w:color="auto" w:sz="4" w:space="0"/>
            </w:tcBorders>
            <w:noWrap/>
            <w:vAlign w:val="center"/>
          </w:tcPr>
          <w:p w14:paraId="4AE9A1A4">
            <w:pPr>
              <w:pStyle w:val="43"/>
              <w:bidi w:val="0"/>
              <w:rPr>
                <w:rFonts w:hint="eastAsia"/>
                <w:lang w:val="en-US" w:eastAsia="zh-CN"/>
              </w:rPr>
            </w:pPr>
          </w:p>
        </w:tc>
        <w:tc>
          <w:tcPr>
            <w:tcW w:w="1772" w:type="pct"/>
            <w:tcBorders>
              <w:top w:val="single" w:color="auto" w:sz="4" w:space="0"/>
              <w:left w:val="single" w:color="auto" w:sz="4" w:space="0"/>
              <w:bottom w:val="single" w:color="auto" w:sz="4" w:space="0"/>
              <w:right w:val="single" w:color="auto" w:sz="4" w:space="0"/>
            </w:tcBorders>
            <w:noWrap/>
            <w:vAlign w:val="center"/>
          </w:tcPr>
          <w:p w14:paraId="23E4FB69">
            <w:pPr>
              <w:pStyle w:val="43"/>
              <w:bidi w:val="0"/>
              <w:rPr>
                <w:rFonts w:hint="default"/>
                <w:lang w:val="en-US" w:eastAsia="zh-CN"/>
              </w:rPr>
            </w:pPr>
            <w:r>
              <w:rPr>
                <w:rFonts w:hint="eastAsia"/>
                <w:lang w:val="en-US" w:eastAsia="zh-CN"/>
              </w:rPr>
              <w:t>桉树林</w:t>
            </w:r>
          </w:p>
        </w:tc>
        <w:tc>
          <w:tcPr>
            <w:tcW w:w="2053" w:type="dxa"/>
            <w:tcBorders>
              <w:top w:val="single" w:color="auto" w:sz="4" w:space="0"/>
              <w:left w:val="single" w:color="auto" w:sz="4" w:space="0"/>
              <w:bottom w:val="single" w:color="auto" w:sz="4" w:space="0"/>
              <w:right w:val="single" w:color="auto" w:sz="4" w:space="0"/>
            </w:tcBorders>
            <w:noWrap/>
            <w:vAlign w:val="center"/>
          </w:tcPr>
          <w:p w14:paraId="4673A666">
            <w:pPr>
              <w:pStyle w:val="43"/>
              <w:bidi w:val="0"/>
              <w:rPr>
                <w:rFonts w:hint="default"/>
                <w:lang w:val="en-US" w:eastAsia="zh-CN"/>
              </w:rPr>
            </w:pPr>
            <w:r>
              <w:rPr>
                <w:rFonts w:hint="default"/>
                <w:lang w:val="en-US" w:eastAsia="zh-CN"/>
              </w:rPr>
              <w:t>1.09</w:t>
            </w:r>
          </w:p>
        </w:tc>
        <w:tc>
          <w:tcPr>
            <w:tcW w:w="1760" w:type="dxa"/>
            <w:tcBorders>
              <w:top w:val="single" w:color="auto" w:sz="4" w:space="0"/>
              <w:left w:val="single" w:color="auto" w:sz="4" w:space="0"/>
              <w:bottom w:val="single" w:color="auto" w:sz="4" w:space="0"/>
              <w:right w:val="single" w:color="auto" w:sz="4" w:space="0"/>
            </w:tcBorders>
            <w:noWrap/>
            <w:vAlign w:val="center"/>
          </w:tcPr>
          <w:p w14:paraId="5CE3F3F8">
            <w:pPr>
              <w:pStyle w:val="43"/>
              <w:bidi w:val="0"/>
              <w:rPr>
                <w:rFonts w:hint="default"/>
                <w:lang w:val="en-US" w:eastAsia="zh-CN"/>
              </w:rPr>
            </w:pPr>
            <w:r>
              <w:rPr>
                <w:rFonts w:hint="default"/>
                <w:lang w:val="en-US" w:eastAsia="zh-CN"/>
              </w:rPr>
              <w:t>0.47</w:t>
            </w:r>
          </w:p>
        </w:tc>
      </w:tr>
      <w:tr w14:paraId="675C0E90">
        <w:tblPrEx>
          <w:tblCellMar>
            <w:top w:w="0" w:type="dxa"/>
            <w:left w:w="108" w:type="dxa"/>
            <w:bottom w:w="0" w:type="dxa"/>
            <w:right w:w="108" w:type="dxa"/>
          </w:tblCellMar>
        </w:tblPrEx>
        <w:trPr>
          <w:trHeight w:val="397" w:hRule="atLeast"/>
        </w:trPr>
        <w:tc>
          <w:tcPr>
            <w:tcW w:w="989" w:type="pct"/>
            <w:tcBorders>
              <w:top w:val="single" w:color="auto" w:sz="4" w:space="0"/>
              <w:left w:val="single" w:color="auto" w:sz="4" w:space="0"/>
              <w:bottom w:val="single" w:color="auto" w:sz="4" w:space="0"/>
              <w:right w:val="single" w:color="auto" w:sz="4" w:space="0"/>
            </w:tcBorders>
            <w:noWrap/>
            <w:vAlign w:val="center"/>
          </w:tcPr>
          <w:p w14:paraId="516E8BD9">
            <w:pPr>
              <w:pStyle w:val="43"/>
              <w:bidi w:val="0"/>
            </w:pPr>
            <w:r>
              <w:rPr>
                <w:rFonts w:hint="eastAsia"/>
              </w:rPr>
              <w:t>灌丛</w:t>
            </w:r>
          </w:p>
        </w:tc>
        <w:tc>
          <w:tcPr>
            <w:tcW w:w="1772" w:type="pct"/>
            <w:tcBorders>
              <w:top w:val="single" w:color="auto" w:sz="4" w:space="0"/>
              <w:left w:val="single" w:color="auto" w:sz="4" w:space="0"/>
              <w:bottom w:val="single" w:color="auto" w:sz="4" w:space="0"/>
              <w:right w:val="single" w:color="auto" w:sz="4" w:space="0"/>
            </w:tcBorders>
            <w:noWrap/>
            <w:vAlign w:val="center"/>
          </w:tcPr>
          <w:p w14:paraId="009580A7">
            <w:pPr>
              <w:pStyle w:val="43"/>
              <w:bidi w:val="0"/>
            </w:pPr>
            <w:r>
              <w:rPr>
                <w:rFonts w:hint="eastAsia"/>
                <w:lang w:val="en-US" w:eastAsia="zh-CN"/>
              </w:rPr>
              <w:t>锥连栎</w:t>
            </w:r>
            <w:r>
              <w:rPr>
                <w:rFonts w:hint="eastAsia"/>
              </w:rPr>
              <w:t>灌丛</w:t>
            </w:r>
          </w:p>
        </w:tc>
        <w:tc>
          <w:tcPr>
            <w:tcW w:w="2053" w:type="dxa"/>
            <w:tcBorders>
              <w:top w:val="single" w:color="auto" w:sz="4" w:space="0"/>
              <w:left w:val="single" w:color="auto" w:sz="4" w:space="0"/>
              <w:bottom w:val="single" w:color="auto" w:sz="4" w:space="0"/>
              <w:right w:val="single" w:color="auto" w:sz="4" w:space="0"/>
            </w:tcBorders>
            <w:noWrap/>
            <w:vAlign w:val="center"/>
          </w:tcPr>
          <w:p w14:paraId="386DA280">
            <w:pPr>
              <w:pStyle w:val="43"/>
              <w:bidi w:val="0"/>
              <w:rPr>
                <w:rFonts w:hint="eastAsia"/>
                <w:lang w:val="en-US" w:eastAsia="zh-CN"/>
              </w:rPr>
            </w:pPr>
            <w:r>
              <w:rPr>
                <w:rFonts w:hint="default"/>
                <w:lang w:val="en-US" w:eastAsia="zh-CN"/>
              </w:rPr>
              <w:t>60.35</w:t>
            </w:r>
          </w:p>
        </w:tc>
        <w:tc>
          <w:tcPr>
            <w:tcW w:w="1760" w:type="dxa"/>
            <w:tcBorders>
              <w:top w:val="single" w:color="auto" w:sz="4" w:space="0"/>
              <w:left w:val="single" w:color="auto" w:sz="4" w:space="0"/>
              <w:bottom w:val="single" w:color="auto" w:sz="4" w:space="0"/>
              <w:right w:val="single" w:color="auto" w:sz="4" w:space="0"/>
            </w:tcBorders>
            <w:noWrap/>
            <w:vAlign w:val="center"/>
          </w:tcPr>
          <w:p w14:paraId="1CEB4A8A">
            <w:pPr>
              <w:pStyle w:val="43"/>
              <w:bidi w:val="0"/>
              <w:rPr>
                <w:rFonts w:hint="eastAsia"/>
                <w:lang w:val="en-US" w:eastAsia="zh-CN"/>
              </w:rPr>
            </w:pPr>
            <w:r>
              <w:rPr>
                <w:rFonts w:hint="default"/>
                <w:lang w:val="en-US" w:eastAsia="zh-CN"/>
              </w:rPr>
              <w:t>26.02</w:t>
            </w:r>
          </w:p>
        </w:tc>
      </w:tr>
      <w:tr w14:paraId="23C0134D">
        <w:tblPrEx>
          <w:tblCellMar>
            <w:top w:w="0" w:type="dxa"/>
            <w:left w:w="108" w:type="dxa"/>
            <w:bottom w:w="0" w:type="dxa"/>
            <w:right w:w="108" w:type="dxa"/>
          </w:tblCellMar>
        </w:tblPrEx>
        <w:trPr>
          <w:trHeight w:val="397" w:hRule="atLeast"/>
        </w:trPr>
        <w:tc>
          <w:tcPr>
            <w:tcW w:w="989" w:type="pct"/>
            <w:tcBorders>
              <w:top w:val="single" w:color="auto" w:sz="4" w:space="0"/>
              <w:left w:val="single" w:color="auto" w:sz="4" w:space="0"/>
              <w:bottom w:val="single" w:color="auto" w:sz="4" w:space="0"/>
              <w:right w:val="single" w:color="auto" w:sz="4" w:space="0"/>
            </w:tcBorders>
            <w:noWrap/>
            <w:vAlign w:val="center"/>
          </w:tcPr>
          <w:p w14:paraId="706C59FA">
            <w:pPr>
              <w:pStyle w:val="43"/>
              <w:bidi w:val="0"/>
            </w:pPr>
            <w:r>
              <w:rPr>
                <w:rFonts w:hint="eastAsia"/>
              </w:rPr>
              <w:t>草本植被</w:t>
            </w:r>
          </w:p>
        </w:tc>
        <w:tc>
          <w:tcPr>
            <w:tcW w:w="1772" w:type="pct"/>
            <w:tcBorders>
              <w:top w:val="single" w:color="auto" w:sz="4" w:space="0"/>
              <w:left w:val="single" w:color="auto" w:sz="4" w:space="0"/>
              <w:bottom w:val="single" w:color="auto" w:sz="4" w:space="0"/>
              <w:right w:val="single" w:color="auto" w:sz="4" w:space="0"/>
            </w:tcBorders>
            <w:noWrap/>
            <w:vAlign w:val="center"/>
          </w:tcPr>
          <w:p w14:paraId="3C2B3D38">
            <w:pPr>
              <w:pStyle w:val="43"/>
              <w:bidi w:val="0"/>
            </w:pPr>
            <w:r>
              <w:rPr>
                <w:rFonts w:hint="eastAsia"/>
                <w:lang w:val="en-US" w:eastAsia="zh-CN"/>
              </w:rPr>
              <w:t>拂子茅、艾</w:t>
            </w:r>
            <w:r>
              <w:rPr>
                <w:rFonts w:hint="eastAsia"/>
              </w:rPr>
              <w:t>草丛</w:t>
            </w:r>
          </w:p>
        </w:tc>
        <w:tc>
          <w:tcPr>
            <w:tcW w:w="2053" w:type="dxa"/>
            <w:tcBorders>
              <w:top w:val="single" w:color="auto" w:sz="4" w:space="0"/>
              <w:left w:val="single" w:color="auto" w:sz="4" w:space="0"/>
              <w:bottom w:val="single" w:color="auto" w:sz="4" w:space="0"/>
              <w:right w:val="single" w:color="auto" w:sz="4" w:space="0"/>
            </w:tcBorders>
            <w:noWrap/>
            <w:vAlign w:val="center"/>
          </w:tcPr>
          <w:p w14:paraId="1EC5A44E">
            <w:pPr>
              <w:pStyle w:val="43"/>
              <w:bidi w:val="0"/>
              <w:rPr>
                <w:rFonts w:hint="eastAsia"/>
                <w:lang w:val="en-US" w:eastAsia="zh-CN"/>
              </w:rPr>
            </w:pPr>
            <w:r>
              <w:rPr>
                <w:rFonts w:hint="default"/>
                <w:lang w:val="en-US" w:eastAsia="zh-CN"/>
              </w:rPr>
              <w:t>1.27</w:t>
            </w:r>
          </w:p>
        </w:tc>
        <w:tc>
          <w:tcPr>
            <w:tcW w:w="1760" w:type="dxa"/>
            <w:tcBorders>
              <w:top w:val="single" w:color="auto" w:sz="4" w:space="0"/>
              <w:left w:val="single" w:color="auto" w:sz="4" w:space="0"/>
              <w:bottom w:val="single" w:color="auto" w:sz="4" w:space="0"/>
              <w:right w:val="single" w:color="auto" w:sz="4" w:space="0"/>
            </w:tcBorders>
            <w:noWrap/>
            <w:vAlign w:val="center"/>
          </w:tcPr>
          <w:p w14:paraId="7C0FEEA4">
            <w:pPr>
              <w:pStyle w:val="43"/>
              <w:bidi w:val="0"/>
              <w:rPr>
                <w:rFonts w:hint="eastAsia"/>
                <w:lang w:val="en-US" w:eastAsia="zh-CN"/>
              </w:rPr>
            </w:pPr>
            <w:r>
              <w:rPr>
                <w:rFonts w:hint="default"/>
                <w:lang w:val="en-US" w:eastAsia="zh-CN"/>
              </w:rPr>
              <w:t>0.55</w:t>
            </w:r>
          </w:p>
        </w:tc>
      </w:tr>
      <w:tr w14:paraId="6C5AE796">
        <w:tblPrEx>
          <w:tblCellMar>
            <w:top w:w="0" w:type="dxa"/>
            <w:left w:w="108" w:type="dxa"/>
            <w:bottom w:w="0" w:type="dxa"/>
            <w:right w:w="108" w:type="dxa"/>
          </w:tblCellMar>
        </w:tblPrEx>
        <w:trPr>
          <w:trHeight w:val="397" w:hRule="atLeast"/>
        </w:trPr>
        <w:tc>
          <w:tcPr>
            <w:tcW w:w="989" w:type="pct"/>
            <w:vMerge w:val="restart"/>
            <w:tcBorders>
              <w:top w:val="single" w:color="auto" w:sz="4" w:space="0"/>
              <w:left w:val="single" w:color="auto" w:sz="4" w:space="0"/>
              <w:bottom w:val="single" w:color="auto" w:sz="4" w:space="0"/>
              <w:right w:val="single" w:color="auto" w:sz="4" w:space="0"/>
            </w:tcBorders>
            <w:noWrap/>
            <w:vAlign w:val="center"/>
          </w:tcPr>
          <w:p w14:paraId="30B929D3">
            <w:pPr>
              <w:pStyle w:val="43"/>
              <w:bidi w:val="0"/>
            </w:pPr>
            <w:r>
              <w:rPr>
                <w:rFonts w:hint="eastAsia"/>
                <w:lang w:val="en-US" w:eastAsia="zh-CN"/>
              </w:rPr>
              <w:t>农业</w:t>
            </w:r>
            <w:r>
              <w:rPr>
                <w:rFonts w:hint="eastAsia"/>
              </w:rPr>
              <w:t>植被</w:t>
            </w:r>
          </w:p>
        </w:tc>
        <w:tc>
          <w:tcPr>
            <w:tcW w:w="1772" w:type="pct"/>
            <w:tcBorders>
              <w:top w:val="single" w:color="auto" w:sz="4" w:space="0"/>
              <w:left w:val="single" w:color="auto" w:sz="4" w:space="0"/>
              <w:bottom w:val="single" w:color="auto" w:sz="4" w:space="0"/>
              <w:right w:val="single" w:color="auto" w:sz="4" w:space="0"/>
            </w:tcBorders>
            <w:noWrap/>
            <w:vAlign w:val="center"/>
          </w:tcPr>
          <w:p w14:paraId="7C766596">
            <w:pPr>
              <w:pStyle w:val="43"/>
              <w:bidi w:val="0"/>
              <w:rPr>
                <w:rFonts w:hint="default"/>
                <w:lang w:val="en-US" w:eastAsia="zh-CN"/>
              </w:rPr>
            </w:pPr>
            <w:r>
              <w:rPr>
                <w:rFonts w:hint="eastAsia"/>
                <w:lang w:val="en-US" w:eastAsia="zh-CN"/>
              </w:rPr>
              <w:t>农田作物</w:t>
            </w:r>
          </w:p>
        </w:tc>
        <w:tc>
          <w:tcPr>
            <w:tcW w:w="2053" w:type="dxa"/>
            <w:tcBorders>
              <w:top w:val="single" w:color="auto" w:sz="4" w:space="0"/>
              <w:left w:val="single" w:color="auto" w:sz="4" w:space="0"/>
              <w:bottom w:val="single" w:color="auto" w:sz="4" w:space="0"/>
              <w:right w:val="single" w:color="auto" w:sz="4" w:space="0"/>
            </w:tcBorders>
            <w:noWrap/>
            <w:vAlign w:val="center"/>
          </w:tcPr>
          <w:p w14:paraId="37842081">
            <w:pPr>
              <w:pStyle w:val="43"/>
              <w:bidi w:val="0"/>
              <w:rPr>
                <w:rFonts w:hint="eastAsia"/>
                <w:lang w:val="en-US" w:eastAsia="zh-CN"/>
              </w:rPr>
            </w:pPr>
            <w:r>
              <w:rPr>
                <w:rFonts w:hint="default"/>
                <w:lang w:val="en-US" w:eastAsia="zh-CN"/>
              </w:rPr>
              <w:t>83.96</w:t>
            </w:r>
          </w:p>
        </w:tc>
        <w:tc>
          <w:tcPr>
            <w:tcW w:w="1760" w:type="dxa"/>
            <w:tcBorders>
              <w:top w:val="single" w:color="auto" w:sz="4" w:space="0"/>
              <w:left w:val="single" w:color="auto" w:sz="4" w:space="0"/>
              <w:bottom w:val="single" w:color="auto" w:sz="4" w:space="0"/>
              <w:right w:val="single" w:color="auto" w:sz="4" w:space="0"/>
            </w:tcBorders>
            <w:noWrap/>
            <w:vAlign w:val="center"/>
          </w:tcPr>
          <w:p w14:paraId="4B1B4E16">
            <w:pPr>
              <w:pStyle w:val="43"/>
              <w:bidi w:val="0"/>
              <w:rPr>
                <w:rFonts w:hint="eastAsia"/>
                <w:lang w:val="en-US" w:eastAsia="zh-CN"/>
              </w:rPr>
            </w:pPr>
            <w:r>
              <w:rPr>
                <w:rFonts w:hint="default"/>
                <w:lang w:val="en-US" w:eastAsia="zh-CN"/>
              </w:rPr>
              <w:t>36.19</w:t>
            </w:r>
          </w:p>
        </w:tc>
      </w:tr>
      <w:tr w14:paraId="7C6B2BF0">
        <w:tblPrEx>
          <w:tblCellMar>
            <w:top w:w="0" w:type="dxa"/>
            <w:left w:w="108" w:type="dxa"/>
            <w:bottom w:w="0" w:type="dxa"/>
            <w:right w:w="108" w:type="dxa"/>
          </w:tblCellMar>
        </w:tblPrEx>
        <w:trPr>
          <w:trHeight w:val="397" w:hRule="atLeast"/>
        </w:trPr>
        <w:tc>
          <w:tcPr>
            <w:tcW w:w="989" w:type="pct"/>
            <w:vMerge w:val="continue"/>
            <w:tcBorders>
              <w:top w:val="single" w:color="auto" w:sz="4" w:space="0"/>
              <w:left w:val="single" w:color="auto" w:sz="4" w:space="0"/>
              <w:bottom w:val="single" w:color="auto" w:sz="4" w:space="0"/>
              <w:right w:val="single" w:color="auto" w:sz="4" w:space="0"/>
            </w:tcBorders>
            <w:noWrap/>
            <w:vAlign w:val="center"/>
          </w:tcPr>
          <w:p w14:paraId="6F0F087F">
            <w:pPr>
              <w:pStyle w:val="43"/>
              <w:bidi w:val="0"/>
            </w:pPr>
          </w:p>
        </w:tc>
        <w:tc>
          <w:tcPr>
            <w:tcW w:w="1772" w:type="pct"/>
            <w:tcBorders>
              <w:top w:val="single" w:color="auto" w:sz="4" w:space="0"/>
              <w:left w:val="single" w:color="auto" w:sz="4" w:space="0"/>
              <w:bottom w:val="single" w:color="auto" w:sz="4" w:space="0"/>
              <w:right w:val="single" w:color="auto" w:sz="4" w:space="0"/>
            </w:tcBorders>
            <w:noWrap/>
            <w:vAlign w:val="center"/>
          </w:tcPr>
          <w:p w14:paraId="69552A29">
            <w:pPr>
              <w:pStyle w:val="43"/>
              <w:bidi w:val="0"/>
            </w:pPr>
            <w:r>
              <w:rPr>
                <w:rFonts w:hint="eastAsia"/>
                <w:lang w:val="en-US" w:eastAsia="zh-CN"/>
              </w:rPr>
              <w:t>桃、李</w:t>
            </w:r>
            <w:r>
              <w:rPr>
                <w:rFonts w:hint="eastAsia"/>
              </w:rPr>
              <w:t>等</w:t>
            </w:r>
          </w:p>
        </w:tc>
        <w:tc>
          <w:tcPr>
            <w:tcW w:w="2053" w:type="dxa"/>
            <w:tcBorders>
              <w:top w:val="single" w:color="auto" w:sz="4" w:space="0"/>
              <w:left w:val="single" w:color="auto" w:sz="4" w:space="0"/>
              <w:bottom w:val="single" w:color="auto" w:sz="4" w:space="0"/>
              <w:right w:val="single" w:color="auto" w:sz="4" w:space="0"/>
            </w:tcBorders>
            <w:noWrap/>
            <w:vAlign w:val="center"/>
          </w:tcPr>
          <w:p w14:paraId="1898DFCE">
            <w:pPr>
              <w:pStyle w:val="43"/>
              <w:bidi w:val="0"/>
              <w:rPr>
                <w:rFonts w:hint="eastAsia"/>
                <w:lang w:val="en-US" w:eastAsia="zh-CN"/>
              </w:rPr>
            </w:pPr>
            <w:r>
              <w:rPr>
                <w:rFonts w:hint="default"/>
                <w:lang w:val="en-US" w:eastAsia="zh-CN"/>
              </w:rPr>
              <w:t>14.00</w:t>
            </w:r>
          </w:p>
        </w:tc>
        <w:tc>
          <w:tcPr>
            <w:tcW w:w="1760" w:type="dxa"/>
            <w:tcBorders>
              <w:top w:val="single" w:color="auto" w:sz="4" w:space="0"/>
              <w:left w:val="single" w:color="auto" w:sz="4" w:space="0"/>
              <w:bottom w:val="single" w:color="auto" w:sz="4" w:space="0"/>
              <w:right w:val="single" w:color="auto" w:sz="4" w:space="0"/>
            </w:tcBorders>
            <w:noWrap/>
            <w:vAlign w:val="center"/>
          </w:tcPr>
          <w:p w14:paraId="06067ECB">
            <w:pPr>
              <w:pStyle w:val="43"/>
              <w:bidi w:val="0"/>
              <w:rPr>
                <w:rFonts w:hint="eastAsia"/>
                <w:lang w:val="en-US" w:eastAsia="zh-CN"/>
              </w:rPr>
            </w:pPr>
            <w:r>
              <w:rPr>
                <w:rFonts w:hint="default"/>
                <w:lang w:val="en-US" w:eastAsia="zh-CN"/>
              </w:rPr>
              <w:t>6.03</w:t>
            </w:r>
          </w:p>
        </w:tc>
      </w:tr>
      <w:tr w14:paraId="056F7678">
        <w:tblPrEx>
          <w:tblCellMar>
            <w:top w:w="0" w:type="dxa"/>
            <w:left w:w="108" w:type="dxa"/>
            <w:bottom w:w="0" w:type="dxa"/>
            <w:right w:w="108" w:type="dxa"/>
          </w:tblCellMar>
        </w:tblPrEx>
        <w:trPr>
          <w:trHeight w:val="397" w:hRule="atLeast"/>
        </w:trPr>
        <w:tc>
          <w:tcPr>
            <w:tcW w:w="989" w:type="pct"/>
            <w:vMerge w:val="restart"/>
            <w:tcBorders>
              <w:top w:val="single" w:color="auto" w:sz="4" w:space="0"/>
              <w:left w:val="single" w:color="auto" w:sz="4" w:space="0"/>
              <w:bottom w:val="single" w:color="auto" w:sz="4" w:space="0"/>
              <w:right w:val="single" w:color="auto" w:sz="4" w:space="0"/>
            </w:tcBorders>
            <w:noWrap/>
            <w:vAlign w:val="center"/>
          </w:tcPr>
          <w:p w14:paraId="7C11C1EE">
            <w:pPr>
              <w:pStyle w:val="43"/>
              <w:bidi w:val="0"/>
            </w:pPr>
            <w:r>
              <w:rPr>
                <w:rFonts w:hint="eastAsia"/>
              </w:rPr>
              <w:t>无植被地段</w:t>
            </w:r>
          </w:p>
        </w:tc>
        <w:tc>
          <w:tcPr>
            <w:tcW w:w="1772" w:type="pct"/>
            <w:tcBorders>
              <w:top w:val="single" w:color="auto" w:sz="4" w:space="0"/>
              <w:left w:val="single" w:color="auto" w:sz="4" w:space="0"/>
              <w:bottom w:val="single" w:color="auto" w:sz="4" w:space="0"/>
              <w:right w:val="single" w:color="auto" w:sz="4" w:space="0"/>
            </w:tcBorders>
            <w:noWrap/>
            <w:vAlign w:val="center"/>
          </w:tcPr>
          <w:p w14:paraId="25C13141">
            <w:pPr>
              <w:pStyle w:val="43"/>
              <w:bidi w:val="0"/>
            </w:pPr>
            <w:r>
              <w:rPr>
                <w:rFonts w:hint="eastAsia"/>
              </w:rPr>
              <w:t>无植被地段</w:t>
            </w:r>
          </w:p>
        </w:tc>
        <w:tc>
          <w:tcPr>
            <w:tcW w:w="2053" w:type="dxa"/>
            <w:tcBorders>
              <w:top w:val="single" w:color="auto" w:sz="4" w:space="0"/>
              <w:left w:val="single" w:color="auto" w:sz="4" w:space="0"/>
              <w:bottom w:val="single" w:color="auto" w:sz="4" w:space="0"/>
              <w:right w:val="single" w:color="auto" w:sz="4" w:space="0"/>
            </w:tcBorders>
            <w:noWrap/>
            <w:vAlign w:val="center"/>
          </w:tcPr>
          <w:p w14:paraId="2A9CF320">
            <w:pPr>
              <w:pStyle w:val="43"/>
              <w:bidi w:val="0"/>
              <w:rPr>
                <w:rFonts w:hint="eastAsia"/>
                <w:lang w:val="en-US" w:eastAsia="zh-CN"/>
              </w:rPr>
            </w:pPr>
            <w:r>
              <w:rPr>
                <w:rFonts w:hint="default"/>
                <w:lang w:val="en-US" w:eastAsia="zh-CN"/>
              </w:rPr>
              <w:t>59.34</w:t>
            </w:r>
          </w:p>
        </w:tc>
        <w:tc>
          <w:tcPr>
            <w:tcW w:w="1760" w:type="dxa"/>
            <w:tcBorders>
              <w:top w:val="single" w:color="auto" w:sz="4" w:space="0"/>
              <w:left w:val="single" w:color="auto" w:sz="4" w:space="0"/>
              <w:bottom w:val="single" w:color="auto" w:sz="4" w:space="0"/>
              <w:right w:val="single" w:color="auto" w:sz="4" w:space="0"/>
            </w:tcBorders>
            <w:noWrap/>
            <w:vAlign w:val="center"/>
          </w:tcPr>
          <w:p w14:paraId="5CB5AE52">
            <w:pPr>
              <w:pStyle w:val="43"/>
              <w:bidi w:val="0"/>
              <w:rPr>
                <w:rFonts w:hint="eastAsia"/>
                <w:lang w:val="en-US" w:eastAsia="zh-CN"/>
              </w:rPr>
            </w:pPr>
            <w:r>
              <w:rPr>
                <w:rFonts w:hint="default"/>
                <w:lang w:val="en-US" w:eastAsia="zh-CN"/>
              </w:rPr>
              <w:t>25.58</w:t>
            </w:r>
          </w:p>
        </w:tc>
      </w:tr>
      <w:tr w14:paraId="4A9BD048">
        <w:tblPrEx>
          <w:tblCellMar>
            <w:top w:w="0" w:type="dxa"/>
            <w:left w:w="108" w:type="dxa"/>
            <w:bottom w:w="0" w:type="dxa"/>
            <w:right w:w="108" w:type="dxa"/>
          </w:tblCellMar>
        </w:tblPrEx>
        <w:trPr>
          <w:trHeight w:val="397" w:hRule="atLeast"/>
        </w:trPr>
        <w:tc>
          <w:tcPr>
            <w:tcW w:w="989" w:type="pct"/>
            <w:vMerge w:val="continue"/>
            <w:tcBorders>
              <w:top w:val="single" w:color="auto" w:sz="4" w:space="0"/>
              <w:left w:val="single" w:color="auto" w:sz="4" w:space="0"/>
              <w:bottom w:val="single" w:color="auto" w:sz="4" w:space="0"/>
              <w:right w:val="single" w:color="auto" w:sz="4" w:space="0"/>
            </w:tcBorders>
            <w:noWrap/>
            <w:vAlign w:val="center"/>
          </w:tcPr>
          <w:p w14:paraId="29008FB7">
            <w:pPr>
              <w:pStyle w:val="43"/>
              <w:bidi w:val="0"/>
            </w:pPr>
          </w:p>
        </w:tc>
        <w:tc>
          <w:tcPr>
            <w:tcW w:w="1772" w:type="pct"/>
            <w:tcBorders>
              <w:top w:val="single" w:color="auto" w:sz="4" w:space="0"/>
              <w:left w:val="single" w:color="auto" w:sz="4" w:space="0"/>
              <w:bottom w:val="single" w:color="auto" w:sz="4" w:space="0"/>
              <w:right w:val="single" w:color="auto" w:sz="4" w:space="0"/>
            </w:tcBorders>
            <w:noWrap/>
            <w:vAlign w:val="center"/>
          </w:tcPr>
          <w:p w14:paraId="4520082D">
            <w:pPr>
              <w:pStyle w:val="43"/>
              <w:bidi w:val="0"/>
            </w:pPr>
            <w:r>
              <w:rPr>
                <w:rFonts w:hint="eastAsia"/>
              </w:rPr>
              <w:t>水域</w:t>
            </w:r>
          </w:p>
        </w:tc>
        <w:tc>
          <w:tcPr>
            <w:tcW w:w="2053" w:type="dxa"/>
            <w:tcBorders>
              <w:top w:val="single" w:color="auto" w:sz="4" w:space="0"/>
              <w:left w:val="single" w:color="auto" w:sz="4" w:space="0"/>
              <w:bottom w:val="single" w:color="auto" w:sz="4" w:space="0"/>
              <w:right w:val="single" w:color="auto" w:sz="4" w:space="0"/>
            </w:tcBorders>
            <w:noWrap/>
            <w:vAlign w:val="center"/>
          </w:tcPr>
          <w:p w14:paraId="4579C8EC">
            <w:pPr>
              <w:pStyle w:val="43"/>
              <w:bidi w:val="0"/>
              <w:rPr>
                <w:rFonts w:hint="eastAsia"/>
                <w:lang w:val="en-US" w:eastAsia="zh-CN"/>
              </w:rPr>
            </w:pPr>
            <w:r>
              <w:rPr>
                <w:rFonts w:hint="default"/>
                <w:lang w:val="en-US" w:eastAsia="zh-CN"/>
              </w:rPr>
              <w:t>2.05</w:t>
            </w:r>
          </w:p>
        </w:tc>
        <w:tc>
          <w:tcPr>
            <w:tcW w:w="1760" w:type="dxa"/>
            <w:tcBorders>
              <w:top w:val="single" w:color="auto" w:sz="4" w:space="0"/>
              <w:left w:val="single" w:color="auto" w:sz="4" w:space="0"/>
              <w:bottom w:val="single" w:color="auto" w:sz="4" w:space="0"/>
              <w:right w:val="single" w:color="auto" w:sz="4" w:space="0"/>
            </w:tcBorders>
            <w:noWrap/>
            <w:vAlign w:val="center"/>
          </w:tcPr>
          <w:p w14:paraId="1D27392C">
            <w:pPr>
              <w:pStyle w:val="43"/>
              <w:bidi w:val="0"/>
              <w:rPr>
                <w:rFonts w:hint="eastAsia"/>
                <w:lang w:val="en-US" w:eastAsia="zh-CN"/>
              </w:rPr>
            </w:pPr>
            <w:r>
              <w:rPr>
                <w:rFonts w:hint="default"/>
                <w:lang w:val="en-US" w:eastAsia="zh-CN"/>
              </w:rPr>
              <w:t>0.88</w:t>
            </w:r>
          </w:p>
        </w:tc>
      </w:tr>
      <w:tr w14:paraId="5F6E87E5">
        <w:tblPrEx>
          <w:tblCellMar>
            <w:top w:w="0" w:type="dxa"/>
            <w:left w:w="108" w:type="dxa"/>
            <w:bottom w:w="0" w:type="dxa"/>
            <w:right w:w="108" w:type="dxa"/>
          </w:tblCellMar>
        </w:tblPrEx>
        <w:trPr>
          <w:trHeight w:val="397" w:hRule="atLeast"/>
        </w:trPr>
        <w:tc>
          <w:tcPr>
            <w:tcW w:w="2761" w:type="pct"/>
            <w:gridSpan w:val="2"/>
            <w:tcBorders>
              <w:top w:val="single" w:color="auto" w:sz="4" w:space="0"/>
              <w:left w:val="single" w:color="auto" w:sz="4" w:space="0"/>
              <w:bottom w:val="single" w:color="auto" w:sz="4" w:space="0"/>
              <w:right w:val="single" w:color="auto" w:sz="4" w:space="0"/>
            </w:tcBorders>
            <w:noWrap/>
            <w:vAlign w:val="center"/>
          </w:tcPr>
          <w:p w14:paraId="6459F6FA">
            <w:pPr>
              <w:pStyle w:val="43"/>
              <w:bidi w:val="0"/>
            </w:pPr>
            <w:r>
              <w:rPr>
                <w:rFonts w:hint="eastAsia"/>
              </w:rPr>
              <w:t>合计</w:t>
            </w:r>
          </w:p>
        </w:tc>
        <w:tc>
          <w:tcPr>
            <w:tcW w:w="1205" w:type="pct"/>
            <w:tcBorders>
              <w:top w:val="single" w:color="auto" w:sz="4" w:space="0"/>
              <w:left w:val="single" w:color="auto" w:sz="4" w:space="0"/>
              <w:bottom w:val="single" w:color="auto" w:sz="4" w:space="0"/>
              <w:right w:val="single" w:color="auto" w:sz="4" w:space="0"/>
            </w:tcBorders>
            <w:noWrap/>
            <w:vAlign w:val="center"/>
          </w:tcPr>
          <w:p w14:paraId="2972BC1B">
            <w:pPr>
              <w:pStyle w:val="43"/>
              <w:bidi w:val="0"/>
              <w:rPr>
                <w:rFonts w:hint="default"/>
                <w:lang w:val="en-US" w:eastAsia="zh-CN"/>
              </w:rPr>
            </w:pPr>
            <w:r>
              <w:rPr>
                <w:rFonts w:hint="eastAsia"/>
                <w:lang w:val="en-US" w:eastAsia="zh-CN"/>
              </w:rPr>
              <w:t>231.98</w:t>
            </w:r>
          </w:p>
        </w:tc>
        <w:tc>
          <w:tcPr>
            <w:tcW w:w="1033" w:type="pct"/>
            <w:tcBorders>
              <w:top w:val="single" w:color="auto" w:sz="4" w:space="0"/>
              <w:left w:val="single" w:color="auto" w:sz="4" w:space="0"/>
              <w:bottom w:val="single" w:color="auto" w:sz="4" w:space="0"/>
              <w:right w:val="single" w:color="auto" w:sz="4" w:space="0"/>
            </w:tcBorders>
            <w:noWrap/>
            <w:vAlign w:val="center"/>
          </w:tcPr>
          <w:p w14:paraId="5914ADD5">
            <w:pPr>
              <w:pStyle w:val="43"/>
              <w:bidi w:val="0"/>
              <w:rPr>
                <w:rFonts w:hint="eastAsia"/>
                <w:lang w:val="en-US" w:eastAsia="zh-CN"/>
              </w:rPr>
            </w:pPr>
            <w:r>
              <w:rPr>
                <w:rFonts w:hint="default"/>
                <w:lang w:val="en-US" w:eastAsia="zh-CN"/>
              </w:rPr>
              <w:t>100</w:t>
            </w:r>
          </w:p>
        </w:tc>
      </w:tr>
    </w:tbl>
    <w:p w14:paraId="20F0CF4D">
      <w:pPr>
        <w:pStyle w:val="5"/>
        <w:bidi w:val="0"/>
      </w:pPr>
      <w:r>
        <w:t>评价区主要植被特征</w:t>
      </w:r>
    </w:p>
    <w:p w14:paraId="514D7565">
      <w:pPr>
        <w:pStyle w:val="41"/>
        <w:bidi w:val="0"/>
        <w:rPr>
          <w:b/>
          <w:bCs/>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云南松</w:t>
      </w:r>
      <w:r>
        <w:rPr>
          <w:rFonts w:hint="eastAsia"/>
          <w:b/>
          <w:bCs/>
        </w:rPr>
        <w:t>林：</w:t>
      </w:r>
    </w:p>
    <w:p w14:paraId="065B27A7">
      <w:pPr>
        <w:pStyle w:val="41"/>
        <w:bidi w:val="0"/>
      </w:pPr>
      <w:r>
        <w:rPr>
          <w:rFonts w:hint="eastAsia"/>
          <w:lang w:val="en-US" w:eastAsia="zh-CN"/>
        </w:rPr>
        <w:t>云南松</w:t>
      </w:r>
      <w:r>
        <w:rPr>
          <w:rFonts w:hint="eastAsia"/>
        </w:rPr>
        <w:t>（</w:t>
      </w:r>
      <w:r>
        <w:rPr>
          <w:rFonts w:hint="eastAsia"/>
          <w:i/>
          <w:iCs/>
        </w:rPr>
        <w:t>Pinus yunnanensis</w:t>
      </w:r>
      <w:r>
        <w:rPr>
          <w:rFonts w:hint="eastAsia"/>
        </w:rPr>
        <w:t>）云南松是松科松属的乔木，高可达30米。树皮褐灰色，深纵裂，裂片厚或裂成不规则的鳞状块片；红褐色枝开展，稍下垂；红褐色冬芽呈圆锥状卵圆形；针叶先端尖，横切面扇状三角形或半圆形；雄球花圆柱状，生于新枝下部的苞腋内，聚集成穗状；球果圆锥状卵圆形，有短梗；种子褐色，近卵圆形或倒卵形；花期4-5月；果期翌年10月。</w:t>
      </w:r>
      <w:r>
        <w:rPr>
          <w:rFonts w:hint="eastAsia"/>
          <w:lang w:eastAsia="zh-CN"/>
        </w:rPr>
        <w:t>吉林松原</w:t>
      </w:r>
      <w:r>
        <w:rPr>
          <w:rFonts w:hint="eastAsia"/>
        </w:rPr>
        <w:t>产于中国，分布于云南、西藏、四川、贵州、广西等地区。生于海拔600米-3100米地带，喜光，适应性强，耐旱、耐瘠，喜气候温和的半阴环境和深厚、肥沃、排水良好的酸质砂质土壤。</w:t>
      </w:r>
    </w:p>
    <w:p w14:paraId="58FFF33A">
      <w:pPr>
        <w:pStyle w:val="41"/>
        <w:bidi w:val="0"/>
        <w:rPr>
          <w:rFonts w:hint="eastAsia"/>
        </w:rPr>
      </w:pPr>
      <w:r>
        <w:rPr>
          <w:rFonts w:hint="eastAsia"/>
        </w:rPr>
        <w:t>评价区内</w:t>
      </w:r>
      <w:r>
        <w:rPr>
          <w:rFonts w:hint="eastAsia"/>
          <w:lang w:val="en-US" w:eastAsia="zh-CN"/>
        </w:rPr>
        <w:t>云南松</w:t>
      </w:r>
      <w:r>
        <w:rPr>
          <w:rFonts w:hint="eastAsia"/>
        </w:rPr>
        <w:t>林</w:t>
      </w:r>
      <w:r>
        <w:rPr>
          <w:rFonts w:hint="eastAsia"/>
          <w:lang w:val="en-US" w:eastAsia="zh-CN"/>
        </w:rPr>
        <w:t>成片分布</w:t>
      </w:r>
      <w:r>
        <w:rPr>
          <w:rFonts w:hint="eastAsia"/>
          <w:lang w:eastAsia="zh-CN"/>
        </w:rPr>
        <w:t>，</w:t>
      </w:r>
      <w:r>
        <w:rPr>
          <w:rFonts w:hint="eastAsia"/>
          <w:lang w:val="en-US" w:eastAsia="zh-CN"/>
        </w:rPr>
        <w:t>主要分布于评价区西北部</w:t>
      </w:r>
      <w:r>
        <w:rPr>
          <w:rFonts w:hint="eastAsia"/>
          <w:lang w:eastAsia="zh-CN"/>
        </w:rPr>
        <w:t>，</w:t>
      </w:r>
      <w:r>
        <w:rPr>
          <w:rFonts w:hint="eastAsia"/>
        </w:rPr>
        <w:t>面积为</w:t>
      </w:r>
      <w:r>
        <w:rPr>
          <w:rFonts w:hint="eastAsia"/>
          <w:lang w:val="en-US" w:eastAsia="zh-CN"/>
        </w:rPr>
        <w:t>9.92</w:t>
      </w:r>
      <w:r>
        <w:rPr>
          <w:rFonts w:hint="eastAsia"/>
        </w:rPr>
        <w:t>hm</w:t>
      </w:r>
      <w:r>
        <w:rPr>
          <w:rFonts w:hint="eastAsia"/>
          <w:vertAlign w:val="superscript"/>
        </w:rPr>
        <w:t>2</w:t>
      </w:r>
      <w:r>
        <w:rPr>
          <w:rFonts w:hint="eastAsia"/>
        </w:rPr>
        <w:t>，占评价范围总面积</w:t>
      </w:r>
      <w:r>
        <w:rPr>
          <w:rFonts w:hint="eastAsia"/>
          <w:lang w:val="en-US" w:eastAsia="zh-CN"/>
        </w:rPr>
        <w:t>4.28</w:t>
      </w:r>
      <w:r>
        <w:rPr>
          <w:rFonts w:hint="eastAsia"/>
        </w:rPr>
        <w:t>%。</w:t>
      </w:r>
    </w:p>
    <w:p w14:paraId="23B1DD90">
      <w:pPr>
        <w:pStyle w:val="41"/>
        <w:bidi w:val="0"/>
        <w:rPr>
          <w:b/>
          <w:bCs/>
        </w:rPr>
      </w:pPr>
      <w:r>
        <w:rPr>
          <w:rFonts w:hint="eastAsia"/>
          <w:b/>
          <w:bCs/>
          <w:lang w:eastAsia="zh-CN"/>
        </w:rPr>
        <w:t>（</w:t>
      </w:r>
      <w:r>
        <w:rPr>
          <w:rFonts w:hint="eastAsia"/>
          <w:b/>
          <w:bCs/>
          <w:lang w:val="en-US" w:eastAsia="zh-CN"/>
        </w:rPr>
        <w:t>2）桉树</w:t>
      </w:r>
      <w:r>
        <w:rPr>
          <w:rFonts w:hint="eastAsia"/>
          <w:b/>
          <w:bCs/>
          <w:lang w:eastAsia="zh-CN"/>
        </w:rPr>
        <w:t>林</w:t>
      </w:r>
      <w:r>
        <w:rPr>
          <w:rFonts w:hint="eastAsia"/>
          <w:b/>
          <w:bCs/>
        </w:rPr>
        <w:t>：</w:t>
      </w:r>
    </w:p>
    <w:p w14:paraId="06346C18">
      <w:pPr>
        <w:pStyle w:val="41"/>
        <w:bidi w:val="0"/>
      </w:pPr>
      <w:r>
        <w:rPr>
          <w:rFonts w:hint="eastAsia"/>
          <w:lang w:val="en-US" w:eastAsia="zh-CN"/>
        </w:rPr>
        <w:t>桉树（</w:t>
      </w:r>
      <w:r>
        <w:rPr>
          <w:rFonts w:hint="eastAsia"/>
          <w:i/>
          <w:iCs/>
          <w:lang w:val="en-US" w:eastAsia="zh-CN"/>
        </w:rPr>
        <w:t>Eucalyptus robusta Smith</w:t>
      </w:r>
      <w:r>
        <w:rPr>
          <w:rFonts w:hint="eastAsia"/>
          <w:lang w:val="en-US" w:eastAsia="zh-CN"/>
        </w:rPr>
        <w:t>）为</w:t>
      </w:r>
      <w:r>
        <w:rPr>
          <w:rFonts w:hint="eastAsia"/>
        </w:rPr>
        <w:t>桉桃金娘科桉属密荫大乔木，高约20米；树皮深褐色，厚2厘米，有不规则的斜裂沟；嫩枝有棱。幼态叶对生，卵形，有柄；成熟叶卵状披针形，厚革质，侧脉多而明显；叶柄长1.5-2.5厘米。伞形花序粗大，有花4-8朵，总梗压扁；花梗短、粗而扁平；花蕾长1.4 -2厘米，宽7-10毫米；萼管半球形或倒圆锥形；帽状体先端收缩成喙；花药椭圆形，纵裂。蒴果卵状壶形，上半部略收缩，果瓣深藏于萼管内。花期4-9月。</w:t>
      </w:r>
    </w:p>
    <w:p w14:paraId="7487E136">
      <w:pPr>
        <w:pStyle w:val="41"/>
        <w:bidi w:val="0"/>
        <w:rPr>
          <w:rFonts w:hint="eastAsia"/>
          <w:lang w:eastAsia="zh-CN"/>
        </w:rPr>
      </w:pPr>
      <w:r>
        <w:rPr>
          <w:rFonts w:hint="eastAsia"/>
          <w:lang w:val="en-US" w:eastAsia="zh-CN"/>
        </w:rPr>
        <w:t>评价区内桉树分布较少，主要分布在评价区内农田、工业场地附近，</w:t>
      </w:r>
      <w:r>
        <w:rPr>
          <w:rFonts w:hint="eastAsia"/>
        </w:rPr>
        <w:t>面积为</w:t>
      </w:r>
      <w:r>
        <w:rPr>
          <w:rFonts w:hint="eastAsia"/>
          <w:lang w:val="en-US" w:eastAsia="zh-CN"/>
        </w:rPr>
        <w:t>1.09</w:t>
      </w:r>
      <w:r>
        <w:rPr>
          <w:rFonts w:hint="eastAsia"/>
        </w:rPr>
        <w:t>hm</w:t>
      </w:r>
      <w:r>
        <w:rPr>
          <w:rFonts w:hint="eastAsia"/>
          <w:vertAlign w:val="superscript"/>
        </w:rPr>
        <w:t>2</w:t>
      </w:r>
      <w:r>
        <w:rPr>
          <w:rFonts w:hint="eastAsia"/>
        </w:rPr>
        <w:t>，占评价范围总面积</w:t>
      </w:r>
      <w:r>
        <w:rPr>
          <w:rFonts w:hint="eastAsia"/>
          <w:lang w:val="en-US" w:eastAsia="zh-CN"/>
        </w:rPr>
        <w:t>0.47</w:t>
      </w:r>
      <w:r>
        <w:rPr>
          <w:rFonts w:hint="eastAsia"/>
        </w:rPr>
        <w:t>%</w:t>
      </w:r>
      <w:r>
        <w:rPr>
          <w:rFonts w:hint="eastAsia"/>
          <w:lang w:eastAsia="zh-CN"/>
        </w:rPr>
        <w:t>。</w:t>
      </w:r>
    </w:p>
    <w:p w14:paraId="37A4918C">
      <w:pPr>
        <w:pStyle w:val="41"/>
        <w:bidi w:val="0"/>
        <w:rPr>
          <w:b/>
          <w:bCs/>
        </w:rPr>
      </w:pPr>
      <w:r>
        <w:rPr>
          <w:rFonts w:hint="eastAsia"/>
          <w:b/>
          <w:bCs/>
          <w:lang w:eastAsia="zh-CN"/>
        </w:rPr>
        <w:t>（</w:t>
      </w:r>
      <w:r>
        <w:rPr>
          <w:rFonts w:hint="eastAsia"/>
          <w:b/>
          <w:bCs/>
          <w:lang w:val="en-US" w:eastAsia="zh-CN"/>
        </w:rPr>
        <w:t>3）锥连栎</w:t>
      </w:r>
      <w:r>
        <w:rPr>
          <w:rFonts w:hint="eastAsia"/>
          <w:b/>
          <w:bCs/>
          <w:lang w:eastAsia="zh-CN"/>
        </w:rPr>
        <w:t>林</w:t>
      </w:r>
      <w:r>
        <w:rPr>
          <w:rFonts w:hint="eastAsia"/>
          <w:b/>
          <w:bCs/>
        </w:rPr>
        <w:t>：</w:t>
      </w:r>
    </w:p>
    <w:p w14:paraId="74584E91">
      <w:pPr>
        <w:pStyle w:val="41"/>
        <w:bidi w:val="0"/>
        <w:rPr>
          <w:rFonts w:hint="eastAsia"/>
        </w:rPr>
      </w:pPr>
      <w:r>
        <w:rPr>
          <w:rFonts w:hint="eastAsia"/>
          <w:lang w:val="en-US" w:eastAsia="zh-CN"/>
        </w:rPr>
        <w:t>锥连栎</w:t>
      </w:r>
      <w:r>
        <w:rPr>
          <w:rFonts w:hint="eastAsia"/>
        </w:rPr>
        <w:t>（</w:t>
      </w:r>
      <w:r>
        <w:rPr>
          <w:rFonts w:hint="eastAsia"/>
          <w:i/>
          <w:iCs/>
        </w:rPr>
        <w:t>Quercus franchetii Skan</w:t>
      </w:r>
      <w:r>
        <w:rPr>
          <w:rFonts w:hint="eastAsia"/>
        </w:rPr>
        <w:t>）</w:t>
      </w:r>
      <w:r>
        <w:rPr>
          <w:rFonts w:hint="eastAsia"/>
          <w:lang w:val="en-US" w:eastAsia="zh-CN"/>
        </w:rPr>
        <w:t>为</w:t>
      </w:r>
      <w:r>
        <w:rPr>
          <w:rFonts w:hint="eastAsia"/>
        </w:rPr>
        <w:t>壳斗科栎属常绿乔木，高可达15米，树皮暗褐色纵裂。叶片倒卵形或椭圆形，长5-12厘米，侧脉8-12对直达齿端。雄花序长4-5厘米，坚果矩圆形被灰色细绒毛，壳斗杯形包被坚果约1/2，花期2-3月，果期9-10月。该树种分布于中国四川、云南及泰国，常见于海拔800-2600米的干热河谷地带，是当地常绿阔叶林的代表性乔木，常形成小面积纯林或分布于云南松林下。</w:t>
      </w:r>
    </w:p>
    <w:p w14:paraId="1D86A6BC">
      <w:pPr>
        <w:pStyle w:val="41"/>
        <w:bidi w:val="0"/>
        <w:rPr>
          <w:rFonts w:hint="eastAsia"/>
          <w:lang w:eastAsia="zh-CN"/>
        </w:rPr>
      </w:pPr>
      <w:r>
        <w:rPr>
          <w:rFonts w:hint="eastAsia"/>
          <w:lang w:val="en-US" w:eastAsia="zh-CN"/>
        </w:rPr>
        <w:t>评价区内锥连栎分布较广泛，主要分布在评价区内东北以及东南侧，</w:t>
      </w:r>
      <w:r>
        <w:rPr>
          <w:rFonts w:hint="eastAsia"/>
        </w:rPr>
        <w:t>面积为</w:t>
      </w:r>
      <w:r>
        <w:rPr>
          <w:rFonts w:hint="eastAsia"/>
          <w:lang w:val="en-US" w:eastAsia="zh-CN"/>
        </w:rPr>
        <w:t>60.35</w:t>
      </w:r>
      <w:r>
        <w:rPr>
          <w:rFonts w:hint="eastAsia"/>
        </w:rPr>
        <w:t>hm</w:t>
      </w:r>
      <w:r>
        <w:rPr>
          <w:rFonts w:hint="eastAsia"/>
          <w:vertAlign w:val="superscript"/>
        </w:rPr>
        <w:t>2</w:t>
      </w:r>
      <w:r>
        <w:rPr>
          <w:rFonts w:hint="eastAsia"/>
        </w:rPr>
        <w:t>，占评价范围总面积</w:t>
      </w:r>
      <w:r>
        <w:rPr>
          <w:rFonts w:hint="eastAsia"/>
          <w:lang w:val="en-US" w:eastAsia="zh-CN"/>
        </w:rPr>
        <w:t>26.02</w:t>
      </w:r>
      <w:r>
        <w:rPr>
          <w:rFonts w:hint="eastAsia"/>
        </w:rPr>
        <w:t>%</w:t>
      </w:r>
      <w:r>
        <w:rPr>
          <w:rFonts w:hint="eastAsia"/>
          <w:lang w:eastAsia="zh-CN"/>
        </w:rPr>
        <w:t>。</w:t>
      </w:r>
    </w:p>
    <w:p w14:paraId="67D19F88">
      <w:pPr>
        <w:pStyle w:val="41"/>
        <w:bidi w:val="0"/>
        <w:rPr>
          <w:rFonts w:hint="eastAsia"/>
          <w:b/>
          <w:bCs/>
          <w:lang w:eastAsia="zh-CN"/>
        </w:rPr>
      </w:pPr>
      <w:r>
        <w:rPr>
          <w:rFonts w:hint="eastAsia"/>
          <w:b/>
          <w:bCs/>
          <w:lang w:eastAsia="zh-CN"/>
        </w:rPr>
        <w:t>（</w:t>
      </w:r>
      <w:r>
        <w:rPr>
          <w:rFonts w:hint="eastAsia"/>
          <w:b/>
          <w:bCs/>
          <w:lang w:val="en-US" w:eastAsia="zh-CN"/>
        </w:rPr>
        <w:t>4）拂子茅、艾草丛</w:t>
      </w:r>
      <w:r>
        <w:rPr>
          <w:rFonts w:hint="eastAsia"/>
          <w:b/>
          <w:bCs/>
          <w:lang w:eastAsia="zh-CN"/>
        </w:rPr>
        <w:t>：</w:t>
      </w:r>
    </w:p>
    <w:p w14:paraId="06237D23">
      <w:pPr>
        <w:pStyle w:val="41"/>
        <w:bidi w:val="0"/>
        <w:rPr>
          <w:rFonts w:hint="default"/>
          <w:lang w:val="en-US" w:eastAsia="zh-CN"/>
        </w:rPr>
      </w:pPr>
      <w:r>
        <w:rPr>
          <w:rFonts w:hint="eastAsia"/>
          <w:lang w:val="en-US" w:eastAsia="zh-CN"/>
        </w:rPr>
        <w:t>拂子茅</w:t>
      </w:r>
      <w:r>
        <w:rPr>
          <w:rFonts w:hint="eastAsia"/>
        </w:rPr>
        <w:t>（</w:t>
      </w:r>
      <w:r>
        <w:rPr>
          <w:rFonts w:hint="eastAsia"/>
          <w:i/>
          <w:iCs/>
        </w:rPr>
        <w:t>Calamagrostis epigeios</w:t>
      </w:r>
      <w:r>
        <w:rPr>
          <w:rFonts w:hint="eastAsia"/>
        </w:rPr>
        <w:t>）</w:t>
      </w:r>
      <w:r>
        <w:rPr>
          <w:rFonts w:hint="default"/>
          <w:lang w:val="en-US" w:eastAsia="zh-CN"/>
        </w:rPr>
        <w:t>禾本科拂子茅属植物。多年生草本，具根状茎。秆直立，平滑无毛或花序下稍粗糙</w:t>
      </w:r>
      <w:r>
        <w:rPr>
          <w:rFonts w:hint="eastAsia"/>
          <w:lang w:val="en-US" w:eastAsia="zh-CN"/>
        </w:rPr>
        <w:t>。</w:t>
      </w:r>
      <w:r>
        <w:rPr>
          <w:rFonts w:hint="default"/>
          <w:lang w:val="en-US" w:eastAsia="zh-CN"/>
        </w:rPr>
        <w:t>欧亚大陆温带地区皆有。抗盐碱土壤，又耐强湿，在中国几乎各省区均有分布，但主要产于东北、华北、西北各省区。喜生于平原绿洲、潮湿地及河岸沟渠旁，习见于水分条件良好的农田、地埂、河边及山地，土壤常轻度至中度盐渍化，是组成平原草甸和山地河谷草甸的建群种。</w:t>
      </w:r>
    </w:p>
    <w:p w14:paraId="7C73E5C4">
      <w:pPr>
        <w:pStyle w:val="41"/>
        <w:bidi w:val="0"/>
      </w:pPr>
      <w:r>
        <w:rPr>
          <w:rFonts w:hint="eastAsia"/>
        </w:rPr>
        <w:t>艾</w:t>
      </w:r>
      <w:r>
        <w:rPr>
          <w:rFonts w:hint="eastAsia"/>
          <w:lang w:eastAsia="zh-CN"/>
        </w:rPr>
        <w:t>（</w:t>
      </w:r>
      <w:r>
        <w:rPr>
          <w:rFonts w:hint="eastAsia"/>
          <w:i/>
          <w:iCs/>
        </w:rPr>
        <w:t>Artemisia argyi</w:t>
      </w:r>
      <w:r>
        <w:rPr>
          <w:rFonts w:hint="eastAsia"/>
          <w:lang w:eastAsia="zh-CN"/>
        </w:rPr>
        <w:t>）</w:t>
      </w:r>
      <w:r>
        <w:rPr>
          <w:rFonts w:hint="eastAsia"/>
          <w:lang w:val="en-US" w:eastAsia="zh-CN"/>
        </w:rPr>
        <w:t>是</w:t>
      </w:r>
      <w:r>
        <w:rPr>
          <w:rFonts w:hint="eastAsia"/>
          <w:lang w:eastAsia="zh-CN"/>
        </w:rPr>
        <w:t>多年生草本或略成半灌木状</w:t>
      </w:r>
      <w:r>
        <w:rPr>
          <w:rFonts w:hint="eastAsia"/>
        </w:rPr>
        <w:t>草</w:t>
      </w:r>
      <w:r>
        <w:rPr>
          <w:rFonts w:hint="eastAsia"/>
          <w:lang w:eastAsia="zh-CN"/>
        </w:rPr>
        <w:t>，</w:t>
      </w:r>
      <w:r>
        <w:rPr>
          <w:rFonts w:hint="eastAsia"/>
        </w:rPr>
        <w:t>分布广，除极干旱与高寒地区外，</w:t>
      </w:r>
      <w:r>
        <w:rPr>
          <w:rFonts w:hint="eastAsia"/>
          <w:lang w:eastAsia="zh-CN"/>
        </w:rPr>
        <w:t>几乎</w:t>
      </w:r>
      <w:r>
        <w:rPr>
          <w:rFonts w:hint="eastAsia"/>
        </w:rPr>
        <w:t>遍及全国。生于低海拔至中海拔地区的荒地、路旁河边及山坡等地，也见于森林草原及草原地区。生长于山坡路旁、旷野或田间，抗寒、耐旱，喜微酸性至中性土壤，喜肥喜光，适生在肥沃潮湿的开旷地上。</w:t>
      </w:r>
    </w:p>
    <w:p w14:paraId="68D87BF4">
      <w:pPr>
        <w:pStyle w:val="41"/>
        <w:bidi w:val="0"/>
        <w:rPr>
          <w:rFonts w:hint="eastAsia"/>
          <w:lang w:val="en-US" w:eastAsia="zh-CN"/>
        </w:rPr>
      </w:pPr>
      <w:r>
        <w:rPr>
          <w:rFonts w:hint="eastAsia"/>
          <w:lang w:val="en-US" w:eastAsia="zh-CN"/>
        </w:rPr>
        <w:t>评价区内拂子茅、艾草丛主要分布于评价区道路两侧、荒地及农田附近，分布较少，面积为1.27</w:t>
      </w:r>
      <w:r>
        <w:rPr>
          <w:rFonts w:hint="eastAsia"/>
        </w:rPr>
        <w:t>hm</w:t>
      </w:r>
      <w:r>
        <w:rPr>
          <w:rFonts w:hint="eastAsia"/>
          <w:vertAlign w:val="superscript"/>
        </w:rPr>
        <w:t>2</w:t>
      </w:r>
      <w:r>
        <w:rPr>
          <w:rFonts w:hint="eastAsia"/>
          <w:lang w:eastAsia="zh-CN"/>
        </w:rPr>
        <w:t>，</w:t>
      </w:r>
      <w:r>
        <w:rPr>
          <w:rFonts w:hint="eastAsia"/>
          <w:lang w:val="en-US" w:eastAsia="zh-CN"/>
        </w:rPr>
        <w:t>占评价范围总面积0.55%。</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6"/>
        <w:gridCol w:w="4253"/>
      </w:tblGrid>
      <w:tr w14:paraId="52D8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5" w:type="dxa"/>
            <w:vAlign w:val="center"/>
          </w:tcPr>
          <w:p w14:paraId="6E22E7F0">
            <w:pPr>
              <w:pStyle w:val="75"/>
              <w:rPr>
                <w:rFonts w:hint="eastAsia" w:eastAsia="宋体"/>
                <w:bCs/>
                <w:lang w:eastAsia="zh-CN"/>
              </w:rPr>
            </w:pPr>
            <w:r>
              <w:rPr>
                <w:rFonts w:hint="eastAsia" w:eastAsia="宋体"/>
                <w:bCs/>
                <w:lang w:eastAsia="zh-CN"/>
              </w:rPr>
              <w:drawing>
                <wp:inline distT="0" distB="0" distL="114300" distR="114300">
                  <wp:extent cx="2567305" cy="1924685"/>
                  <wp:effectExtent l="0" t="0" r="8255" b="10795"/>
                  <wp:docPr id="1" name="图片 1" descr="7eacbf06ae84c585b9d4d6c378e6e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eacbf06ae84c585b9d4d6c378e6e607"/>
                          <pic:cNvPicPr>
                            <a:picLocks noChangeAspect="1"/>
                          </pic:cNvPicPr>
                        </pic:nvPicPr>
                        <pic:blipFill>
                          <a:blip r:embed="rId31"/>
                          <a:stretch>
                            <a:fillRect/>
                          </a:stretch>
                        </pic:blipFill>
                        <pic:spPr>
                          <a:xfrm>
                            <a:off x="0" y="0"/>
                            <a:ext cx="2567305" cy="1924685"/>
                          </a:xfrm>
                          <a:prstGeom prst="rect">
                            <a:avLst/>
                          </a:prstGeom>
                        </pic:spPr>
                      </pic:pic>
                    </a:graphicData>
                  </a:graphic>
                </wp:inline>
              </w:drawing>
            </w:r>
          </w:p>
        </w:tc>
        <w:tc>
          <w:tcPr>
            <w:tcW w:w="4315" w:type="dxa"/>
            <w:vAlign w:val="center"/>
          </w:tcPr>
          <w:p w14:paraId="4C28C34B">
            <w:pPr>
              <w:widowControl/>
              <w:spacing w:before="100" w:beforeAutospacing="1" w:after="100" w:afterAutospacing="1" w:line="240" w:lineRule="auto"/>
              <w:ind w:firstLine="0" w:firstLineChars="0"/>
              <w:jc w:val="left"/>
              <w:rPr>
                <w:rFonts w:hint="eastAsia" w:ascii="宋体" w:hAnsi="宋体" w:eastAsia="宋体" w:cs="宋体"/>
                <w:kern w:val="0"/>
                <w:lang w:eastAsia="zh-CN"/>
              </w:rPr>
            </w:pPr>
            <w:r>
              <w:rPr>
                <w:rFonts w:hint="eastAsia" w:ascii="宋体" w:hAnsi="宋体" w:eastAsia="宋体" w:cs="宋体"/>
                <w:kern w:val="0"/>
                <w:lang w:eastAsia="zh-CN"/>
              </w:rPr>
              <w:drawing>
                <wp:inline distT="0" distB="0" distL="114300" distR="114300">
                  <wp:extent cx="2551430" cy="1912620"/>
                  <wp:effectExtent l="0" t="0" r="8890" b="7620"/>
                  <wp:docPr id="12" name="图片 12" descr="2881f1fbcc05ccf853a2e9265f69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881f1fbcc05ccf853a2e9265f694665"/>
                          <pic:cNvPicPr>
                            <a:picLocks noChangeAspect="1"/>
                          </pic:cNvPicPr>
                        </pic:nvPicPr>
                        <pic:blipFill>
                          <a:blip r:embed="rId32"/>
                          <a:stretch>
                            <a:fillRect/>
                          </a:stretch>
                        </pic:blipFill>
                        <pic:spPr>
                          <a:xfrm>
                            <a:off x="0" y="0"/>
                            <a:ext cx="2551430" cy="1912620"/>
                          </a:xfrm>
                          <a:prstGeom prst="rect">
                            <a:avLst/>
                          </a:prstGeom>
                        </pic:spPr>
                      </pic:pic>
                    </a:graphicData>
                  </a:graphic>
                </wp:inline>
              </w:drawing>
            </w:r>
          </w:p>
        </w:tc>
      </w:tr>
      <w:tr w14:paraId="608E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5" w:type="dxa"/>
            <w:vAlign w:val="center"/>
          </w:tcPr>
          <w:p w14:paraId="698878C3">
            <w:pPr>
              <w:pStyle w:val="75"/>
              <w:rPr>
                <w:rFonts w:hint="eastAsia" w:eastAsia="宋体"/>
                <w:bCs/>
                <w:lang w:eastAsia="zh-CN"/>
              </w:rPr>
            </w:pPr>
            <w:bookmarkStart w:id="343" w:name="_Hlk179379493"/>
            <w:r>
              <w:rPr>
                <w:rFonts w:hint="eastAsia" w:eastAsia="宋体"/>
                <w:bCs/>
                <w:lang w:eastAsia="zh-CN"/>
              </w:rPr>
              <w:drawing>
                <wp:inline distT="0" distB="0" distL="114300" distR="114300">
                  <wp:extent cx="2567305" cy="1924685"/>
                  <wp:effectExtent l="0" t="0" r="8255" b="10795"/>
                  <wp:docPr id="14" name="图片 14" descr="c06d5be5746c7ae113c8e3c10465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06d5be5746c7ae113c8e3c104650588"/>
                          <pic:cNvPicPr>
                            <a:picLocks noChangeAspect="1"/>
                          </pic:cNvPicPr>
                        </pic:nvPicPr>
                        <pic:blipFill>
                          <a:blip r:embed="rId33"/>
                          <a:stretch>
                            <a:fillRect/>
                          </a:stretch>
                        </pic:blipFill>
                        <pic:spPr>
                          <a:xfrm>
                            <a:off x="0" y="0"/>
                            <a:ext cx="2567305" cy="1924685"/>
                          </a:xfrm>
                          <a:prstGeom prst="rect">
                            <a:avLst/>
                          </a:prstGeom>
                        </pic:spPr>
                      </pic:pic>
                    </a:graphicData>
                  </a:graphic>
                </wp:inline>
              </w:drawing>
            </w:r>
          </w:p>
        </w:tc>
        <w:tc>
          <w:tcPr>
            <w:tcW w:w="4315" w:type="dxa"/>
            <w:vAlign w:val="center"/>
          </w:tcPr>
          <w:p w14:paraId="338DC368">
            <w:pPr>
              <w:pStyle w:val="75"/>
              <w:jc w:val="both"/>
              <w:rPr>
                <w:rFonts w:hint="eastAsia" w:eastAsia="宋体"/>
                <w:bCs/>
                <w:lang w:eastAsia="zh-CN"/>
              </w:rPr>
            </w:pPr>
            <w:r>
              <w:rPr>
                <w:rFonts w:hint="eastAsia" w:eastAsia="宋体"/>
                <w:bCs/>
                <w:lang w:eastAsia="zh-CN"/>
              </w:rPr>
              <w:drawing>
                <wp:inline distT="0" distB="0" distL="114300" distR="114300">
                  <wp:extent cx="2551430" cy="1912620"/>
                  <wp:effectExtent l="0" t="0" r="8890" b="7620"/>
                  <wp:docPr id="16" name="图片 16" descr="fb8934b4c2f953cd459fef01a7d9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b8934b4c2f953cd459fef01a7d98832"/>
                          <pic:cNvPicPr>
                            <a:picLocks noChangeAspect="1"/>
                          </pic:cNvPicPr>
                        </pic:nvPicPr>
                        <pic:blipFill>
                          <a:blip r:embed="rId34"/>
                          <a:stretch>
                            <a:fillRect/>
                          </a:stretch>
                        </pic:blipFill>
                        <pic:spPr>
                          <a:xfrm>
                            <a:off x="0" y="0"/>
                            <a:ext cx="2551430" cy="1912620"/>
                          </a:xfrm>
                          <a:prstGeom prst="rect">
                            <a:avLst/>
                          </a:prstGeom>
                        </pic:spPr>
                      </pic:pic>
                    </a:graphicData>
                  </a:graphic>
                </wp:inline>
              </w:drawing>
            </w:r>
          </w:p>
        </w:tc>
      </w:tr>
      <w:tr w14:paraId="1B12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630" w:type="dxa"/>
            <w:gridSpan w:val="2"/>
            <w:vAlign w:val="center"/>
          </w:tcPr>
          <w:p w14:paraId="4BA88569">
            <w:pPr>
              <w:pStyle w:val="75"/>
              <w:rPr>
                <w:b/>
                <w:bCs/>
              </w:rPr>
            </w:pPr>
            <w:r>
              <w:rPr>
                <w:rFonts w:hint="eastAsia"/>
                <w:b/>
                <w:bCs/>
              </w:rPr>
              <w:t>现场调查拍摄的植被群系照片</w:t>
            </w:r>
          </w:p>
        </w:tc>
      </w:tr>
      <w:bookmarkEnd w:id="343"/>
    </w:tbl>
    <w:p w14:paraId="15ED178A">
      <w:pPr>
        <w:pStyle w:val="5"/>
        <w:bidi w:val="0"/>
      </w:pPr>
      <w:bookmarkStart w:id="344" w:name="_Toc118058180"/>
      <w:bookmarkEnd w:id="344"/>
      <w:r>
        <w:rPr>
          <w:rFonts w:hint="eastAsia"/>
          <w:lang w:val="en-US" w:eastAsia="zh-CN"/>
        </w:rPr>
        <w:t>植被覆盖度</w:t>
      </w:r>
    </w:p>
    <w:p w14:paraId="4C7BC635">
      <w:pPr>
        <w:pStyle w:val="41"/>
        <w:bidi w:val="0"/>
      </w:pPr>
      <w:r>
        <w:t>采用植被覆盖度指标定量分析评价范围内植被现状。通过遥感手段，采用归一化植被指数（NDVI）方法，对评价区的植被覆盖度进行分析。NDVI</w:t>
      </w:r>
      <w:r>
        <w:rPr>
          <w:rFonts w:hint="eastAsia"/>
          <w:lang w:eastAsia="zh-CN"/>
        </w:rPr>
        <w:t>计算公式</w:t>
      </w:r>
      <w:r>
        <w:t>如下：</w:t>
      </w:r>
    </w:p>
    <w:p w14:paraId="436FC84E">
      <w:pPr>
        <w:pStyle w:val="41"/>
        <w:bidi w:val="0"/>
      </w:pPr>
      <w:r>
        <w:t>NDVI=(NIR-R)/(NIR+R)</w:t>
      </w:r>
    </w:p>
    <w:p w14:paraId="32642523">
      <w:pPr>
        <w:pStyle w:val="41"/>
        <w:bidi w:val="0"/>
      </w:pPr>
      <w:r>
        <w:t xml:space="preserve">其中：NIR为近红外波段，R为红波段。 </w:t>
      </w:r>
    </w:p>
    <w:p w14:paraId="46F19086">
      <w:pPr>
        <w:pStyle w:val="41"/>
        <w:bidi w:val="0"/>
      </w:pPr>
      <w:r>
        <w:t>基于NDVI，采用像元二分模型计算植被覆盖度，公式如下：</w:t>
      </w:r>
    </w:p>
    <w:p w14:paraId="3C42323B">
      <w:pPr>
        <w:pStyle w:val="41"/>
        <w:bidi w:val="0"/>
      </w:pPr>
      <w:r>
        <w:t>FVC = (NDVI-NDVIs)/(NDVIv-NDVIs)</w:t>
      </w:r>
    </w:p>
    <w:p w14:paraId="528DDB32">
      <w:pPr>
        <w:pStyle w:val="41"/>
        <w:bidi w:val="0"/>
      </w:pPr>
      <w:r>
        <w:t>式中：FVC—所计算像元的植被覆盖度；</w:t>
      </w:r>
    </w:p>
    <w:p w14:paraId="271EFE3C">
      <w:pPr>
        <w:pStyle w:val="41"/>
        <w:bidi w:val="0"/>
      </w:pPr>
      <w:r>
        <w:t>NDVI—所计算像元的 NDVI 值；</w:t>
      </w:r>
    </w:p>
    <w:p w14:paraId="6B0BFAF1">
      <w:pPr>
        <w:pStyle w:val="41"/>
        <w:bidi w:val="0"/>
      </w:pPr>
      <w:r>
        <w:t>NDVIv—纯植物像元的 NDVI 值；</w:t>
      </w:r>
    </w:p>
    <w:p w14:paraId="45A6E3C4">
      <w:pPr>
        <w:pStyle w:val="41"/>
        <w:bidi w:val="0"/>
      </w:pPr>
      <w:r>
        <w:t>NDVIs—完全无植被覆盖像元的 NDVI 值。</w:t>
      </w:r>
    </w:p>
    <w:p w14:paraId="2E7CA58E">
      <w:pPr>
        <w:pStyle w:val="41"/>
        <w:bidi w:val="0"/>
      </w:pPr>
      <w:r>
        <w:t>本次计算采用评价区域202</w:t>
      </w:r>
      <w:r>
        <w:rPr>
          <w:rFonts w:hint="eastAsia"/>
          <w:lang w:val="en-US" w:eastAsia="zh-CN"/>
        </w:rPr>
        <w:t>5</w:t>
      </w:r>
      <w:r>
        <w:t xml:space="preserve"> 年</w:t>
      </w:r>
      <w:r>
        <w:rPr>
          <w:rFonts w:hint="eastAsia"/>
          <w:lang w:val="en-US" w:eastAsia="zh-CN"/>
        </w:rPr>
        <w:t>8</w:t>
      </w:r>
      <w:r>
        <w:t>月哨兵二号（Sentinel-2）数据L2A级产品，影像分辨率10m，数据经过辐射校正、几何校正、辐射定标和大气校正。采用ENVI软件平台计算FVC，并用GIS软件制作评价范围内植被覆盖度空间分布图，如下图所示。</w:t>
      </w:r>
    </w:p>
    <w:p w14:paraId="7EE7F9C5">
      <w:pPr>
        <w:pStyle w:val="19"/>
        <w:rPr>
          <w:rFonts w:cs="Times New Roman"/>
          <w:highlight w:val="yellow"/>
        </w:rPr>
      </w:pPr>
      <w:r>
        <w:rPr>
          <w:rStyle w:val="74"/>
          <w:kern w:val="2"/>
        </w:rPr>
        <w:drawing>
          <wp:inline distT="0" distB="0" distL="114300" distR="114300">
            <wp:extent cx="5671185" cy="3959860"/>
            <wp:effectExtent l="0" t="0" r="13335" b="2540"/>
            <wp:docPr id="18" name="图片 18" descr="E:/02-生态调查/2026-01-23砚山县红舍克东山石灰石矿项目生态图绘制/04-项目成果/生态图0123/附图6 植被覆盖度空间分布图.jpg附图6 植被覆盖度空间分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02-生态调查/2026-01-23砚山县红舍克东山石灰石矿项目生态图绘制/04-项目成果/生态图0123/附图6 植被覆盖度空间分布图.jpg附图6 植被覆盖度空间分布图"/>
                    <pic:cNvPicPr>
                      <a:picLocks noChangeAspect="1"/>
                    </pic:cNvPicPr>
                  </pic:nvPicPr>
                  <pic:blipFill>
                    <a:blip r:embed="rId35"/>
                    <a:srcRect l="1078" t="1682" r="910" b="3822"/>
                    <a:stretch>
                      <a:fillRect/>
                    </a:stretch>
                  </pic:blipFill>
                  <pic:spPr>
                    <a:xfrm>
                      <a:off x="0" y="0"/>
                      <a:ext cx="5671185" cy="3959860"/>
                    </a:xfrm>
                    <a:prstGeom prst="rect">
                      <a:avLst/>
                    </a:prstGeom>
                  </pic:spPr>
                </pic:pic>
              </a:graphicData>
            </a:graphic>
          </wp:inline>
        </w:drawing>
      </w:r>
    </w:p>
    <w:p w14:paraId="777A6780">
      <w:pPr>
        <w:pStyle w:val="45"/>
        <w:bidi w:val="0"/>
      </w:pPr>
      <w:r>
        <w:t>图</w:t>
      </w:r>
      <w:r>
        <w:rPr>
          <w:rFonts w:hint="eastAsia"/>
          <w:lang w:val="en-US" w:eastAsia="zh-CN"/>
        </w:rPr>
        <w:t>5.2-3</w:t>
      </w:r>
      <w:r>
        <w:t>评价范围植被覆盖度空间分布图</w:t>
      </w:r>
    </w:p>
    <w:p w14:paraId="2DE18CE4">
      <w:pPr>
        <w:pStyle w:val="41"/>
        <w:bidi w:val="0"/>
      </w:pPr>
      <w:r>
        <w:t>基于植被覆盖度数据进行空间统计，评价区平均植被覆盖度为</w:t>
      </w:r>
      <w:r>
        <w:rPr>
          <w:rFonts w:hint="eastAsia"/>
          <w:lang w:val="en-US" w:eastAsia="zh-CN"/>
        </w:rPr>
        <w:t>53.00</w:t>
      </w:r>
      <w:r>
        <w:t>%，评价范围内植被覆盖度</w:t>
      </w:r>
      <w:r>
        <w:rPr>
          <w:rFonts w:hint="eastAsia"/>
          <w:lang w:val="en-US" w:eastAsia="zh-CN"/>
        </w:rPr>
        <w:t>一般</w:t>
      </w:r>
      <w:r>
        <w:t>。对覆盖度不同取值范围进行分区统计，评价区</w:t>
      </w:r>
      <w:r>
        <w:rPr>
          <w:rFonts w:hint="eastAsia"/>
          <w:lang w:val="en-US" w:eastAsia="zh-CN"/>
        </w:rPr>
        <w:t>面积占比最大的为</w:t>
      </w:r>
      <w:r>
        <w:t>植被覆盖度高覆盖度区域（≥75%）</w:t>
      </w:r>
      <w:r>
        <w:rPr>
          <w:rFonts w:hint="eastAsia"/>
          <w:lang w:eastAsia="zh-CN"/>
        </w:rPr>
        <w:t>，</w:t>
      </w:r>
      <w:r>
        <w:t>面积占比为</w:t>
      </w:r>
      <w:r>
        <w:rPr>
          <w:rFonts w:hint="eastAsia"/>
          <w:lang w:val="en-US" w:eastAsia="zh-CN"/>
        </w:rPr>
        <w:t>30.74</w:t>
      </w:r>
      <w:r>
        <w:t>%</w:t>
      </w:r>
      <w:r>
        <w:rPr>
          <w:rFonts w:hint="eastAsia"/>
          <w:lang w:eastAsia="zh-CN"/>
        </w:rPr>
        <w:t>；</w:t>
      </w:r>
      <w:r>
        <w:rPr>
          <w:rFonts w:hint="eastAsia"/>
          <w:lang w:val="en-US" w:eastAsia="zh-CN"/>
        </w:rPr>
        <w:t>其次为低覆盖度（0-35%），面积占比29.89%；</w:t>
      </w:r>
      <w:r>
        <w:t>中高覆盖度（60-75%）</w:t>
      </w:r>
      <w:r>
        <w:rPr>
          <w:rFonts w:hint="eastAsia"/>
          <w:lang w:eastAsia="zh-CN"/>
        </w:rPr>
        <w:t>、</w:t>
      </w:r>
      <w:r>
        <w:rPr>
          <w:rFonts w:hint="eastAsia"/>
          <w:lang w:val="en-US" w:eastAsia="zh-CN"/>
        </w:rPr>
        <w:t>中覆盖度（45-60%）、中低覆盖度（35-45%）面积占比依次为13.49%、14.63%、11.26%</w:t>
      </w:r>
      <w:r>
        <w:rPr>
          <w:rFonts w:hint="eastAsia"/>
          <w:lang w:eastAsia="zh-CN"/>
        </w:rPr>
        <w:t>。</w:t>
      </w:r>
    </w:p>
    <w:p w14:paraId="40E6D62D">
      <w:pPr>
        <w:pStyle w:val="45"/>
        <w:bidi w:val="0"/>
        <w:rPr>
          <w:rFonts w:cs="Times New Roman"/>
        </w:rPr>
      </w:pPr>
      <w:r>
        <w:t>表</w:t>
      </w:r>
      <w:r>
        <w:rPr>
          <w:rFonts w:hint="eastAsia"/>
          <w:lang w:val="en-US" w:eastAsia="zh-CN"/>
        </w:rPr>
        <w:t>5.2-4</w:t>
      </w:r>
      <w:r>
        <w:t>评价范围植被覆盖度统计表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8"/>
        <w:gridCol w:w="3858"/>
        <w:gridCol w:w="1543"/>
      </w:tblGrid>
      <w:tr w14:paraId="5423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B363E5">
            <w:pPr>
              <w:pStyle w:val="43"/>
              <w:bidi w:val="0"/>
              <w:rPr>
                <w:b/>
                <w:bCs/>
              </w:rPr>
            </w:pPr>
            <w:r>
              <w:rPr>
                <w:b/>
                <w:bCs/>
              </w:rPr>
              <w:t>植被覆盖度（%）</w:t>
            </w:r>
          </w:p>
        </w:tc>
        <w:tc>
          <w:tcPr>
            <w:tcW w:w="2178"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0C4971">
            <w:pPr>
              <w:pStyle w:val="43"/>
              <w:bidi w:val="0"/>
              <w:rPr>
                <w:b/>
                <w:bCs/>
              </w:rPr>
            </w:pPr>
            <w:r>
              <w:rPr>
                <w:b/>
                <w:bCs/>
              </w:rPr>
              <w:t>面积（公顷）</w:t>
            </w:r>
          </w:p>
        </w:tc>
        <w:tc>
          <w:tcPr>
            <w:tcW w:w="87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6A5AA0">
            <w:pPr>
              <w:pStyle w:val="43"/>
              <w:bidi w:val="0"/>
              <w:rPr>
                <w:b/>
                <w:bCs/>
              </w:rPr>
            </w:pPr>
            <w:r>
              <w:rPr>
                <w:b/>
                <w:bCs/>
              </w:rPr>
              <w:t>占比（%）</w:t>
            </w:r>
          </w:p>
        </w:tc>
      </w:tr>
      <w:tr w14:paraId="52DF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AB5A4D">
            <w:pPr>
              <w:pStyle w:val="43"/>
              <w:bidi w:val="0"/>
            </w:pPr>
          </w:p>
        </w:tc>
        <w:tc>
          <w:tcPr>
            <w:tcW w:w="21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B42386">
            <w:pPr>
              <w:pStyle w:val="43"/>
              <w:bidi w:val="0"/>
            </w:pPr>
          </w:p>
        </w:tc>
        <w:tc>
          <w:tcPr>
            <w:tcW w:w="8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C3A6B8">
            <w:pPr>
              <w:pStyle w:val="43"/>
              <w:bidi w:val="0"/>
            </w:pPr>
          </w:p>
        </w:tc>
      </w:tr>
      <w:tr w14:paraId="51D4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6A46518C">
            <w:pPr>
              <w:pStyle w:val="43"/>
              <w:bidi w:val="0"/>
            </w:pPr>
            <w:r>
              <w:t>0-35（低覆盖度）</w:t>
            </w:r>
          </w:p>
        </w:tc>
        <w:tc>
          <w:tcPr>
            <w:tcW w:w="3858" w:type="dxa"/>
            <w:tcBorders>
              <w:top w:val="single" w:color="auto" w:sz="4" w:space="0"/>
              <w:left w:val="single" w:color="auto" w:sz="4" w:space="0"/>
              <w:bottom w:val="single" w:color="auto" w:sz="4" w:space="0"/>
              <w:right w:val="single" w:color="auto" w:sz="4" w:space="0"/>
            </w:tcBorders>
            <w:noWrap/>
            <w:vAlign w:val="bottom"/>
          </w:tcPr>
          <w:p w14:paraId="26B36272">
            <w:pPr>
              <w:pStyle w:val="43"/>
              <w:bidi w:val="0"/>
              <w:rPr>
                <w:rFonts w:hint="eastAsia"/>
                <w:lang w:val="en-US" w:eastAsia="zh-CN"/>
              </w:rPr>
            </w:pPr>
            <w:r>
              <w:rPr>
                <w:rFonts w:hint="default"/>
                <w:lang w:val="en-US" w:eastAsia="zh-CN"/>
              </w:rPr>
              <w:t>69.34</w:t>
            </w:r>
          </w:p>
        </w:tc>
        <w:tc>
          <w:tcPr>
            <w:tcW w:w="1543" w:type="dxa"/>
            <w:tcBorders>
              <w:top w:val="single" w:color="auto" w:sz="4" w:space="0"/>
              <w:left w:val="single" w:color="auto" w:sz="4" w:space="0"/>
              <w:bottom w:val="single" w:color="auto" w:sz="4" w:space="0"/>
              <w:right w:val="single" w:color="auto" w:sz="4" w:space="0"/>
            </w:tcBorders>
            <w:noWrap/>
            <w:vAlign w:val="bottom"/>
          </w:tcPr>
          <w:p w14:paraId="4AD4692F">
            <w:pPr>
              <w:pStyle w:val="43"/>
              <w:bidi w:val="0"/>
              <w:rPr>
                <w:rFonts w:hint="eastAsia"/>
                <w:lang w:val="en-US" w:eastAsia="zh-CN"/>
              </w:rPr>
            </w:pPr>
            <w:r>
              <w:rPr>
                <w:rFonts w:hint="default"/>
                <w:lang w:val="en-US" w:eastAsia="zh-CN"/>
              </w:rPr>
              <w:t>29.89</w:t>
            </w:r>
          </w:p>
        </w:tc>
      </w:tr>
      <w:tr w14:paraId="7920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4ECF44B4">
            <w:pPr>
              <w:pStyle w:val="43"/>
              <w:bidi w:val="0"/>
            </w:pPr>
            <w:r>
              <w:t>35-45（中低覆盖度）</w:t>
            </w:r>
          </w:p>
        </w:tc>
        <w:tc>
          <w:tcPr>
            <w:tcW w:w="3858" w:type="dxa"/>
            <w:tcBorders>
              <w:top w:val="single" w:color="auto" w:sz="4" w:space="0"/>
              <w:left w:val="single" w:color="auto" w:sz="4" w:space="0"/>
              <w:bottom w:val="single" w:color="auto" w:sz="4" w:space="0"/>
              <w:right w:val="single" w:color="auto" w:sz="4" w:space="0"/>
            </w:tcBorders>
            <w:noWrap/>
            <w:vAlign w:val="bottom"/>
          </w:tcPr>
          <w:p w14:paraId="008B9B17">
            <w:pPr>
              <w:pStyle w:val="43"/>
              <w:bidi w:val="0"/>
              <w:rPr>
                <w:rFonts w:hint="eastAsia"/>
                <w:lang w:val="en-US" w:eastAsia="zh-CN"/>
              </w:rPr>
            </w:pPr>
            <w:r>
              <w:rPr>
                <w:rFonts w:hint="default"/>
                <w:lang w:val="en-US" w:eastAsia="zh-CN"/>
              </w:rPr>
              <w:t>26.11</w:t>
            </w:r>
          </w:p>
        </w:tc>
        <w:tc>
          <w:tcPr>
            <w:tcW w:w="1543" w:type="dxa"/>
            <w:tcBorders>
              <w:top w:val="single" w:color="auto" w:sz="4" w:space="0"/>
              <w:left w:val="single" w:color="auto" w:sz="4" w:space="0"/>
              <w:bottom w:val="single" w:color="auto" w:sz="4" w:space="0"/>
              <w:right w:val="single" w:color="auto" w:sz="4" w:space="0"/>
            </w:tcBorders>
            <w:noWrap/>
            <w:vAlign w:val="bottom"/>
          </w:tcPr>
          <w:p w14:paraId="06C971D7">
            <w:pPr>
              <w:pStyle w:val="43"/>
              <w:bidi w:val="0"/>
              <w:rPr>
                <w:rFonts w:hint="eastAsia"/>
                <w:lang w:val="en-US" w:eastAsia="zh-CN"/>
              </w:rPr>
            </w:pPr>
            <w:r>
              <w:rPr>
                <w:rFonts w:hint="default"/>
                <w:lang w:val="en-US" w:eastAsia="zh-CN"/>
              </w:rPr>
              <w:t>11.26</w:t>
            </w:r>
          </w:p>
        </w:tc>
      </w:tr>
      <w:tr w14:paraId="2523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7E2D08FC">
            <w:pPr>
              <w:pStyle w:val="43"/>
              <w:bidi w:val="0"/>
            </w:pPr>
            <w:r>
              <w:t>45-60（中覆盖度）</w:t>
            </w:r>
          </w:p>
        </w:tc>
        <w:tc>
          <w:tcPr>
            <w:tcW w:w="3858" w:type="dxa"/>
            <w:tcBorders>
              <w:top w:val="single" w:color="auto" w:sz="4" w:space="0"/>
              <w:left w:val="single" w:color="auto" w:sz="4" w:space="0"/>
              <w:bottom w:val="single" w:color="auto" w:sz="4" w:space="0"/>
              <w:right w:val="single" w:color="auto" w:sz="4" w:space="0"/>
            </w:tcBorders>
            <w:noWrap/>
            <w:vAlign w:val="bottom"/>
          </w:tcPr>
          <w:p w14:paraId="20BE9FEA">
            <w:pPr>
              <w:pStyle w:val="43"/>
              <w:bidi w:val="0"/>
              <w:rPr>
                <w:rFonts w:hint="eastAsia"/>
                <w:lang w:val="en-US" w:eastAsia="zh-CN"/>
              </w:rPr>
            </w:pPr>
            <w:r>
              <w:rPr>
                <w:rFonts w:hint="default"/>
                <w:lang w:val="en-US" w:eastAsia="zh-CN"/>
              </w:rPr>
              <w:t>33.93</w:t>
            </w:r>
          </w:p>
        </w:tc>
        <w:tc>
          <w:tcPr>
            <w:tcW w:w="1543" w:type="dxa"/>
            <w:tcBorders>
              <w:top w:val="single" w:color="auto" w:sz="4" w:space="0"/>
              <w:left w:val="single" w:color="auto" w:sz="4" w:space="0"/>
              <w:bottom w:val="single" w:color="auto" w:sz="4" w:space="0"/>
              <w:right w:val="single" w:color="auto" w:sz="4" w:space="0"/>
            </w:tcBorders>
            <w:noWrap/>
            <w:vAlign w:val="bottom"/>
          </w:tcPr>
          <w:p w14:paraId="4C098AEE">
            <w:pPr>
              <w:pStyle w:val="43"/>
              <w:bidi w:val="0"/>
              <w:rPr>
                <w:rFonts w:hint="eastAsia"/>
                <w:lang w:val="en-US" w:eastAsia="zh-CN"/>
              </w:rPr>
            </w:pPr>
            <w:r>
              <w:rPr>
                <w:rFonts w:hint="default"/>
                <w:lang w:val="en-US" w:eastAsia="zh-CN"/>
              </w:rPr>
              <w:t>14.63</w:t>
            </w:r>
          </w:p>
        </w:tc>
      </w:tr>
      <w:tr w14:paraId="5655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64818034">
            <w:pPr>
              <w:pStyle w:val="43"/>
              <w:bidi w:val="0"/>
            </w:pPr>
            <w:r>
              <w:t>60-75（中高覆盖度）</w:t>
            </w:r>
          </w:p>
        </w:tc>
        <w:tc>
          <w:tcPr>
            <w:tcW w:w="3858" w:type="dxa"/>
            <w:tcBorders>
              <w:top w:val="single" w:color="auto" w:sz="4" w:space="0"/>
              <w:left w:val="single" w:color="auto" w:sz="4" w:space="0"/>
              <w:bottom w:val="single" w:color="auto" w:sz="4" w:space="0"/>
              <w:right w:val="single" w:color="auto" w:sz="4" w:space="0"/>
            </w:tcBorders>
            <w:noWrap/>
            <w:vAlign w:val="bottom"/>
          </w:tcPr>
          <w:p w14:paraId="57202A59">
            <w:pPr>
              <w:pStyle w:val="43"/>
              <w:bidi w:val="0"/>
              <w:rPr>
                <w:rFonts w:hint="eastAsia"/>
                <w:lang w:val="en-US" w:eastAsia="zh-CN"/>
              </w:rPr>
            </w:pPr>
            <w:r>
              <w:rPr>
                <w:rFonts w:hint="default"/>
                <w:lang w:val="en-US" w:eastAsia="zh-CN"/>
              </w:rPr>
              <w:t>31.29</w:t>
            </w:r>
          </w:p>
        </w:tc>
        <w:tc>
          <w:tcPr>
            <w:tcW w:w="1543" w:type="dxa"/>
            <w:tcBorders>
              <w:top w:val="single" w:color="auto" w:sz="4" w:space="0"/>
              <w:left w:val="single" w:color="auto" w:sz="4" w:space="0"/>
              <w:bottom w:val="single" w:color="auto" w:sz="4" w:space="0"/>
              <w:right w:val="single" w:color="auto" w:sz="4" w:space="0"/>
            </w:tcBorders>
            <w:noWrap/>
            <w:vAlign w:val="bottom"/>
          </w:tcPr>
          <w:p w14:paraId="080581E9">
            <w:pPr>
              <w:pStyle w:val="43"/>
              <w:bidi w:val="0"/>
              <w:rPr>
                <w:rFonts w:hint="eastAsia"/>
                <w:lang w:val="en-US" w:eastAsia="zh-CN"/>
              </w:rPr>
            </w:pPr>
            <w:r>
              <w:rPr>
                <w:rFonts w:hint="default"/>
                <w:lang w:val="en-US" w:eastAsia="zh-CN"/>
              </w:rPr>
              <w:t>13.49</w:t>
            </w:r>
          </w:p>
        </w:tc>
      </w:tr>
      <w:tr w14:paraId="7409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27FC8A76">
            <w:pPr>
              <w:pStyle w:val="43"/>
              <w:bidi w:val="0"/>
            </w:pPr>
            <w:r>
              <w:t>≥75（高覆盖度）</w:t>
            </w:r>
          </w:p>
        </w:tc>
        <w:tc>
          <w:tcPr>
            <w:tcW w:w="3858" w:type="dxa"/>
            <w:tcBorders>
              <w:top w:val="single" w:color="auto" w:sz="4" w:space="0"/>
              <w:left w:val="single" w:color="auto" w:sz="4" w:space="0"/>
              <w:bottom w:val="single" w:color="auto" w:sz="4" w:space="0"/>
              <w:right w:val="single" w:color="auto" w:sz="4" w:space="0"/>
            </w:tcBorders>
            <w:noWrap/>
            <w:vAlign w:val="bottom"/>
          </w:tcPr>
          <w:p w14:paraId="1E58A10B">
            <w:pPr>
              <w:pStyle w:val="43"/>
              <w:bidi w:val="0"/>
              <w:rPr>
                <w:rFonts w:hint="eastAsia"/>
                <w:lang w:val="en-US" w:eastAsia="zh-CN"/>
              </w:rPr>
            </w:pPr>
            <w:r>
              <w:rPr>
                <w:rFonts w:hint="default"/>
                <w:lang w:val="en-US" w:eastAsia="zh-CN"/>
              </w:rPr>
              <w:t>71.3</w:t>
            </w:r>
          </w:p>
        </w:tc>
        <w:tc>
          <w:tcPr>
            <w:tcW w:w="1543" w:type="dxa"/>
            <w:tcBorders>
              <w:top w:val="single" w:color="auto" w:sz="4" w:space="0"/>
              <w:left w:val="single" w:color="auto" w:sz="4" w:space="0"/>
              <w:bottom w:val="single" w:color="auto" w:sz="4" w:space="0"/>
              <w:right w:val="single" w:color="auto" w:sz="4" w:space="0"/>
            </w:tcBorders>
            <w:noWrap/>
            <w:vAlign w:val="bottom"/>
          </w:tcPr>
          <w:p w14:paraId="4926E41C">
            <w:pPr>
              <w:pStyle w:val="43"/>
              <w:bidi w:val="0"/>
              <w:rPr>
                <w:rFonts w:hint="eastAsia"/>
                <w:lang w:val="en-US" w:eastAsia="zh-CN"/>
              </w:rPr>
            </w:pPr>
            <w:r>
              <w:rPr>
                <w:rFonts w:hint="default"/>
                <w:lang w:val="en-US" w:eastAsia="zh-CN"/>
              </w:rPr>
              <w:t>30.74</w:t>
            </w:r>
          </w:p>
        </w:tc>
      </w:tr>
      <w:tr w14:paraId="0209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51" w:type="pct"/>
            <w:tcBorders>
              <w:top w:val="single" w:color="auto" w:sz="4" w:space="0"/>
              <w:left w:val="single" w:color="auto" w:sz="4" w:space="0"/>
              <w:bottom w:val="single" w:color="auto" w:sz="4" w:space="0"/>
              <w:right w:val="single" w:color="auto" w:sz="4" w:space="0"/>
            </w:tcBorders>
            <w:noWrap/>
            <w:vAlign w:val="center"/>
          </w:tcPr>
          <w:p w14:paraId="39008EFB">
            <w:pPr>
              <w:pStyle w:val="43"/>
              <w:bidi w:val="0"/>
            </w:pPr>
            <w:r>
              <w:t>合计</w:t>
            </w:r>
          </w:p>
        </w:tc>
        <w:tc>
          <w:tcPr>
            <w:tcW w:w="3858" w:type="dxa"/>
            <w:tcBorders>
              <w:top w:val="single" w:color="auto" w:sz="4" w:space="0"/>
              <w:left w:val="single" w:color="auto" w:sz="4" w:space="0"/>
              <w:bottom w:val="single" w:color="auto" w:sz="4" w:space="0"/>
              <w:right w:val="single" w:color="auto" w:sz="4" w:space="0"/>
            </w:tcBorders>
            <w:noWrap/>
            <w:vAlign w:val="center"/>
          </w:tcPr>
          <w:p w14:paraId="6579F8F1">
            <w:pPr>
              <w:pStyle w:val="43"/>
              <w:bidi w:val="0"/>
              <w:rPr>
                <w:rFonts w:hint="default"/>
                <w:lang w:val="en-US" w:eastAsia="zh-CN"/>
              </w:rPr>
            </w:pPr>
            <w:r>
              <w:rPr>
                <w:rFonts w:hint="eastAsia"/>
                <w:lang w:val="en-US" w:eastAsia="zh-CN"/>
              </w:rPr>
              <w:t>231.98</w:t>
            </w:r>
          </w:p>
        </w:tc>
        <w:tc>
          <w:tcPr>
            <w:tcW w:w="1543" w:type="dxa"/>
            <w:tcBorders>
              <w:top w:val="single" w:color="auto" w:sz="4" w:space="0"/>
              <w:left w:val="single" w:color="auto" w:sz="4" w:space="0"/>
              <w:bottom w:val="single" w:color="auto" w:sz="4" w:space="0"/>
              <w:right w:val="single" w:color="auto" w:sz="4" w:space="0"/>
            </w:tcBorders>
            <w:noWrap/>
            <w:vAlign w:val="center"/>
          </w:tcPr>
          <w:p w14:paraId="13501384">
            <w:pPr>
              <w:pStyle w:val="43"/>
              <w:bidi w:val="0"/>
              <w:rPr>
                <w:rFonts w:hint="eastAsia"/>
                <w:lang w:val="en-US" w:eastAsia="zh-CN"/>
              </w:rPr>
            </w:pPr>
            <w:r>
              <w:rPr>
                <w:rFonts w:hint="eastAsia"/>
                <w:lang w:val="en-US" w:eastAsia="zh-CN"/>
              </w:rPr>
              <w:t>100</w:t>
            </w:r>
          </w:p>
        </w:tc>
      </w:tr>
    </w:tbl>
    <w:p w14:paraId="3BCA3660">
      <w:pPr>
        <w:pStyle w:val="5"/>
        <w:bidi w:val="0"/>
      </w:pPr>
      <w:r>
        <w:t>重要野生植物及古树名木</w:t>
      </w:r>
    </w:p>
    <w:p w14:paraId="5794E3B5">
      <w:pPr>
        <w:pStyle w:val="41"/>
        <w:bidi w:val="0"/>
      </w:pPr>
      <w:r>
        <w:t>根据《国家重点保护野生植物名录》（2021年</w:t>
      </w:r>
      <w:r>
        <w:rPr>
          <w:rFonts w:hint="eastAsia"/>
          <w:lang w:val="en-US" w:eastAsia="zh-CN"/>
        </w:rPr>
        <w:t>第5号</w:t>
      </w:r>
      <w:r>
        <w:t>）、</w:t>
      </w:r>
      <w:r>
        <w:rPr>
          <w:rFonts w:hint="eastAsia"/>
          <w:lang w:val="en-US" w:eastAsia="zh-CN"/>
        </w:rPr>
        <w:t>《云南省重点保护野生植物名录》（2023年第11号）</w:t>
      </w:r>
      <w:r>
        <w:t>及区域古树名木资料，评价范围</w:t>
      </w:r>
      <w:r>
        <w:rPr>
          <w:rFonts w:hint="eastAsia"/>
        </w:rPr>
        <w:t>内无</w:t>
      </w:r>
      <w:r>
        <w:t>重点保护野生植物和古树名木分布。</w:t>
      </w:r>
    </w:p>
    <w:p w14:paraId="05F077A4">
      <w:pPr>
        <w:pStyle w:val="4"/>
        <w:bidi w:val="0"/>
      </w:pPr>
      <w:r>
        <w:t>野生动物</w:t>
      </w:r>
      <w:r>
        <w:rPr>
          <w:rFonts w:hint="eastAsia"/>
        </w:rPr>
        <w:t>现状评价</w:t>
      </w:r>
    </w:p>
    <w:bookmarkEnd w:id="332"/>
    <w:p w14:paraId="752A7CBB">
      <w:pPr>
        <w:pStyle w:val="41"/>
        <w:bidi w:val="0"/>
      </w:pPr>
      <w:bookmarkStart w:id="345" w:name="_Toc118058185"/>
      <w:bookmarkEnd w:id="345"/>
      <w:r>
        <w:rPr>
          <w:rFonts w:hint="eastAsia"/>
        </w:rPr>
        <w:t>由于项目区海拔在</w:t>
      </w:r>
      <w:r>
        <w:rPr>
          <w:rFonts w:hint="eastAsia"/>
          <w:lang w:val="en-US" w:eastAsia="zh-CN"/>
        </w:rPr>
        <w:t>1517～1664</w:t>
      </w:r>
      <w:r>
        <w:rPr>
          <w:rFonts w:hint="eastAsia"/>
        </w:rPr>
        <w:t>m，场区范围主要为</w:t>
      </w:r>
      <w:r>
        <w:rPr>
          <w:rFonts w:hint="eastAsia"/>
          <w:lang w:val="en-US" w:eastAsia="zh-CN"/>
        </w:rPr>
        <w:t>农田及灌丛</w:t>
      </w:r>
      <w:r>
        <w:rPr>
          <w:rFonts w:hint="eastAsia"/>
        </w:rPr>
        <w:t>，工程区域野生动物分布有哺乳类、鸟类</w:t>
      </w:r>
      <w:r>
        <w:rPr>
          <w:rFonts w:hint="eastAsia"/>
          <w:lang w:eastAsia="zh-CN"/>
        </w:rPr>
        <w:t>、</w:t>
      </w:r>
      <w:r>
        <w:rPr>
          <w:rFonts w:hint="eastAsia"/>
          <w:lang w:val="en-US" w:eastAsia="zh-CN"/>
        </w:rPr>
        <w:t>爬行类以及</w:t>
      </w:r>
      <w:r>
        <w:rPr>
          <w:rFonts w:hint="eastAsia"/>
        </w:rPr>
        <w:t>两栖类。根据走访及查阅资料，哺乳类主要</w:t>
      </w:r>
      <w:r>
        <w:rPr>
          <w:rFonts w:hint="eastAsia"/>
          <w:lang w:eastAsia="zh-CN"/>
        </w:rPr>
        <w:t>有</w:t>
      </w:r>
      <w:r>
        <w:rPr>
          <w:rFonts w:hint="eastAsia"/>
          <w:lang w:val="en-US" w:eastAsia="zh-CN"/>
        </w:rPr>
        <w:t>小家鼠、褐家鼠、赤腹松鼠等</w:t>
      </w:r>
      <w:r>
        <w:rPr>
          <w:rFonts w:hint="eastAsia"/>
        </w:rPr>
        <w:t>；鸟类主要有</w:t>
      </w:r>
      <w:r>
        <w:rPr>
          <w:rFonts w:hint="eastAsia"/>
          <w:lang w:val="en-US" w:eastAsia="zh-CN"/>
        </w:rPr>
        <w:t>麻雀、喜鹊、家燕</w:t>
      </w:r>
      <w:r>
        <w:rPr>
          <w:rFonts w:hint="eastAsia"/>
        </w:rPr>
        <w:t>等；</w:t>
      </w:r>
      <w:r>
        <w:rPr>
          <w:rFonts w:hint="eastAsia"/>
          <w:lang w:val="en-US" w:eastAsia="zh-CN"/>
        </w:rPr>
        <w:t>爬行类主要有中国壁虎、灰鼠蛇等</w:t>
      </w:r>
      <w:r>
        <w:rPr>
          <w:rFonts w:hint="eastAsia"/>
          <w:lang w:eastAsia="zh-CN"/>
        </w:rPr>
        <w:t>；</w:t>
      </w:r>
      <w:r>
        <w:rPr>
          <w:rFonts w:hint="eastAsia"/>
        </w:rPr>
        <w:t>两栖类动物有</w:t>
      </w:r>
      <w:r>
        <w:rPr>
          <w:rFonts w:hint="eastAsia"/>
          <w:lang w:val="en-US" w:eastAsia="zh-CN"/>
        </w:rPr>
        <w:t>中华蟾蜍、沼蛙等</w:t>
      </w:r>
      <w:r>
        <w:rPr>
          <w:rFonts w:hint="eastAsia"/>
        </w:rPr>
        <w:t>。根据现场走访调查，评价范围内野生动物种类与数量都</w:t>
      </w:r>
      <w:r>
        <w:rPr>
          <w:rFonts w:hint="eastAsia"/>
          <w:lang w:val="en-US" w:eastAsia="zh-CN"/>
        </w:rPr>
        <w:t>较少</w:t>
      </w:r>
      <w:r>
        <w:rPr>
          <w:rFonts w:hint="eastAsia"/>
        </w:rPr>
        <w:t>，评价区内未</w:t>
      </w:r>
      <w:r>
        <w:rPr>
          <w:rFonts w:hint="eastAsia"/>
          <w:lang w:eastAsia="zh-CN"/>
        </w:rPr>
        <w:t>发现</w:t>
      </w:r>
      <w:r>
        <w:rPr>
          <w:rFonts w:hint="eastAsia"/>
        </w:rPr>
        <w:t>国家和省级重点保护野生动物分布。</w:t>
      </w:r>
    </w:p>
    <w:p w14:paraId="7A000DF0">
      <w:pPr>
        <w:pStyle w:val="4"/>
        <w:bidi w:val="0"/>
      </w:pPr>
      <w:bookmarkStart w:id="346" w:name="_Toc149657639"/>
      <w:r>
        <w:t>生态系统现状评价</w:t>
      </w:r>
    </w:p>
    <w:p w14:paraId="5096D182">
      <w:pPr>
        <w:pStyle w:val="5"/>
        <w:bidi w:val="0"/>
      </w:pPr>
      <w:r>
        <w:rPr>
          <w:rFonts w:hint="eastAsia"/>
        </w:rPr>
        <w:t>生</w:t>
      </w:r>
      <w:r>
        <w:t>态系统面积</w:t>
      </w:r>
    </w:p>
    <w:p w14:paraId="02D89FD9">
      <w:pPr>
        <w:pStyle w:val="41"/>
        <w:bidi w:val="0"/>
      </w:pPr>
      <w:r>
        <w:t>基于卫星遥感影像、现场调查核实，按照《全国生态状况调查评估技术规范——生态系统遥感解译与野外核查》（HJ1166——2021）要求，对评价区域生态系统开展遥感解译与调查，同时结合区域土地利用现状、植被类型等解译和调查结果，将评价范围内生态系统分为</w:t>
      </w:r>
      <w:r>
        <w:rPr>
          <w:rFonts w:hint="eastAsia"/>
          <w:lang w:val="en-US" w:eastAsia="zh-CN"/>
        </w:rPr>
        <w:t>森林生态系统、灌丛生态系统、</w:t>
      </w:r>
      <w:r>
        <w:rPr>
          <w:rFonts w:hint="eastAsia"/>
        </w:rPr>
        <w:t>草地生态系统</w:t>
      </w:r>
      <w:r>
        <w:rPr>
          <w:rFonts w:hint="eastAsia"/>
          <w:lang w:eastAsia="zh-CN"/>
        </w:rPr>
        <w:t>、</w:t>
      </w:r>
      <w:r>
        <w:rPr>
          <w:rFonts w:hint="eastAsia"/>
          <w:lang w:val="en-US" w:eastAsia="zh-CN"/>
        </w:rPr>
        <w:t>湿地生态系统、农田</w:t>
      </w:r>
      <w:r>
        <w:rPr>
          <w:rFonts w:hint="eastAsia"/>
        </w:rPr>
        <w:t>生态系统</w:t>
      </w:r>
      <w:r>
        <w:rPr>
          <w:rFonts w:hint="eastAsia"/>
          <w:lang w:eastAsia="zh-CN"/>
        </w:rPr>
        <w:t>、</w:t>
      </w:r>
      <w:r>
        <w:rPr>
          <w:rFonts w:hint="eastAsia"/>
          <w:lang w:val="en-US" w:eastAsia="zh-CN"/>
        </w:rPr>
        <w:t>城镇生态系统六</w:t>
      </w:r>
      <w:r>
        <w:rPr>
          <w:rFonts w:hint="eastAsia"/>
        </w:rPr>
        <w:t>大</w:t>
      </w:r>
      <w:r>
        <w:t>类，经过人机交互遥感解译、野外核查和精度验证，制作评价范围的生态系统类型图。</w:t>
      </w:r>
    </w:p>
    <w:p w14:paraId="1BE30ACC">
      <w:pPr>
        <w:pStyle w:val="43"/>
        <w:bidi w:val="0"/>
        <w:rPr>
          <w:highlight w:val="yellow"/>
        </w:rPr>
      </w:pPr>
      <w:r>
        <w:rPr>
          <w:rStyle w:val="74"/>
          <w:kern w:val="2"/>
        </w:rPr>
        <w:drawing>
          <wp:inline distT="0" distB="0" distL="114300" distR="114300">
            <wp:extent cx="4304030" cy="3014980"/>
            <wp:effectExtent l="0" t="0" r="8890" b="2540"/>
            <wp:docPr id="98" name="图片 98" descr="E:/02-生态调查/2026-01-23砚山县红舍克东山石灰石矿项目生态图绘制/04-项目成果/生态图0123/附图7 生态系统类型图.jpg附图7 生态系统类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E:/02-生态调查/2026-01-23砚山县红舍克东山石灰石矿项目生态图绘制/04-项目成果/生态图0123/附图7 生态系统类型图.jpg附图7 生态系统类型图"/>
                    <pic:cNvPicPr>
                      <a:picLocks noChangeAspect="1"/>
                    </pic:cNvPicPr>
                  </pic:nvPicPr>
                  <pic:blipFill>
                    <a:blip r:embed="rId36"/>
                    <a:srcRect l="1076" t="1491" r="807" b="3595"/>
                    <a:stretch>
                      <a:fillRect/>
                    </a:stretch>
                  </pic:blipFill>
                  <pic:spPr>
                    <a:xfrm>
                      <a:off x="0" y="0"/>
                      <a:ext cx="4304030" cy="3014980"/>
                    </a:xfrm>
                    <a:prstGeom prst="rect">
                      <a:avLst/>
                    </a:prstGeom>
                  </pic:spPr>
                </pic:pic>
              </a:graphicData>
            </a:graphic>
          </wp:inline>
        </w:drawing>
      </w:r>
    </w:p>
    <w:p w14:paraId="0CE17C57">
      <w:pPr>
        <w:pStyle w:val="45"/>
        <w:bidi w:val="0"/>
        <w:rPr>
          <w:highlight w:val="yellow"/>
        </w:rPr>
      </w:pPr>
      <w:r>
        <w:t>图</w:t>
      </w:r>
      <w:r>
        <w:rPr>
          <w:rFonts w:hint="eastAsia"/>
          <w:lang w:val="en-US" w:eastAsia="zh-CN"/>
        </w:rPr>
        <w:t>5.2</w:t>
      </w:r>
      <w:r>
        <w:noBreakHyphen/>
      </w:r>
      <w:r>
        <w:rPr>
          <w:rFonts w:hint="eastAsia"/>
          <w:lang w:val="en-US" w:eastAsia="zh-CN"/>
        </w:rPr>
        <w:t>4</w:t>
      </w:r>
      <w:r>
        <w:t>评价范围生态系统类型图</w:t>
      </w:r>
    </w:p>
    <w:p w14:paraId="60147C68">
      <w:pPr>
        <w:pStyle w:val="41"/>
        <w:bidi w:val="0"/>
      </w:pPr>
      <w:r>
        <w:t>根据生态系统类型图，统计评价范围内各生态系统类型及面积，如下表所示。</w:t>
      </w:r>
    </w:p>
    <w:p w14:paraId="6CD7ADA3">
      <w:pPr>
        <w:pStyle w:val="4"/>
        <w:bidi w:val="0"/>
      </w:pPr>
      <w:r>
        <w:t>表</w:t>
      </w:r>
      <w:r>
        <w:rPr>
          <w:rFonts w:hint="eastAsia"/>
          <w:lang w:val="en-US" w:eastAsia="zh-CN"/>
        </w:rPr>
        <w:t>5.2-4</w:t>
      </w:r>
      <w:r>
        <w:t>评价范围生态系统统计表</w:t>
      </w:r>
    </w:p>
    <w:tbl>
      <w:tblPr>
        <w:tblStyle w:val="34"/>
        <w:tblW w:w="5000" w:type="pct"/>
        <w:tblInd w:w="0" w:type="dxa"/>
        <w:tblLayout w:type="autofit"/>
        <w:tblCellMar>
          <w:top w:w="0" w:type="dxa"/>
          <w:left w:w="108" w:type="dxa"/>
          <w:bottom w:w="0" w:type="dxa"/>
          <w:right w:w="108" w:type="dxa"/>
        </w:tblCellMar>
      </w:tblPr>
      <w:tblGrid>
        <w:gridCol w:w="2483"/>
        <w:gridCol w:w="2155"/>
        <w:gridCol w:w="1944"/>
        <w:gridCol w:w="1947"/>
      </w:tblGrid>
      <w:tr w14:paraId="36662C4A">
        <w:tblPrEx>
          <w:tblCellMar>
            <w:top w:w="0" w:type="dxa"/>
            <w:left w:w="108" w:type="dxa"/>
            <w:bottom w:w="0" w:type="dxa"/>
            <w:right w:w="108" w:type="dxa"/>
          </w:tblCellMar>
        </w:tblPrEx>
        <w:trPr>
          <w:trHeight w:val="397" w:hRule="atLeast"/>
        </w:trPr>
        <w:tc>
          <w:tcPr>
            <w:tcW w:w="46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7B7336">
            <w:pPr>
              <w:pStyle w:val="43"/>
              <w:bidi w:val="0"/>
              <w:rPr>
                <w:b/>
                <w:bCs/>
              </w:rPr>
            </w:pPr>
            <w:r>
              <w:rPr>
                <w:b/>
                <w:bCs/>
              </w:rPr>
              <w:t>生态系统分类</w:t>
            </w:r>
          </w:p>
        </w:tc>
        <w:tc>
          <w:tcPr>
            <w:tcW w:w="194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7A266B">
            <w:pPr>
              <w:pStyle w:val="43"/>
              <w:bidi w:val="0"/>
              <w:rPr>
                <w:b/>
                <w:bCs/>
              </w:rPr>
            </w:pPr>
            <w:r>
              <w:rPr>
                <w:b/>
                <w:bCs/>
              </w:rPr>
              <w:t>面积（公顷）</w:t>
            </w:r>
          </w:p>
        </w:tc>
        <w:tc>
          <w:tcPr>
            <w:tcW w:w="19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E2F7D7">
            <w:pPr>
              <w:pStyle w:val="43"/>
              <w:bidi w:val="0"/>
              <w:rPr>
                <w:b/>
                <w:bCs/>
              </w:rPr>
            </w:pPr>
            <w:r>
              <w:rPr>
                <w:b/>
                <w:bCs/>
              </w:rPr>
              <w:t>占比（%）</w:t>
            </w:r>
          </w:p>
        </w:tc>
      </w:tr>
      <w:tr w14:paraId="14292A40">
        <w:tblPrEx>
          <w:tblCellMar>
            <w:top w:w="0" w:type="dxa"/>
            <w:left w:w="108" w:type="dxa"/>
            <w:bottom w:w="0" w:type="dxa"/>
            <w:right w:w="108" w:type="dxa"/>
          </w:tblCellMar>
        </w:tblPrEx>
        <w:trPr>
          <w:trHeight w:val="397" w:hRule="atLeast"/>
        </w:trPr>
        <w:tc>
          <w:tcPr>
            <w:tcW w:w="24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14CD1">
            <w:pPr>
              <w:pStyle w:val="43"/>
              <w:bidi w:val="0"/>
              <w:rPr>
                <w:b/>
                <w:bCs/>
              </w:rPr>
            </w:pPr>
            <w:r>
              <w:rPr>
                <w:b/>
                <w:bCs/>
              </w:rPr>
              <w:t>一级类</w:t>
            </w:r>
          </w:p>
        </w:tc>
        <w:tc>
          <w:tcPr>
            <w:tcW w:w="21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CD0AE">
            <w:pPr>
              <w:pStyle w:val="43"/>
              <w:bidi w:val="0"/>
              <w:rPr>
                <w:b/>
                <w:bCs/>
              </w:rPr>
            </w:pPr>
            <w:r>
              <w:rPr>
                <w:b/>
                <w:bCs/>
              </w:rPr>
              <w:t>二级类</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53F23A1">
            <w:pPr>
              <w:pStyle w:val="43"/>
              <w:bidi w:val="0"/>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4E7E578">
            <w:pPr>
              <w:pStyle w:val="43"/>
              <w:bidi w:val="0"/>
            </w:pPr>
          </w:p>
        </w:tc>
      </w:tr>
      <w:tr w14:paraId="4940B088">
        <w:tblPrEx>
          <w:tblCellMar>
            <w:top w:w="0" w:type="dxa"/>
            <w:left w:w="108" w:type="dxa"/>
            <w:bottom w:w="0" w:type="dxa"/>
            <w:right w:w="108" w:type="dxa"/>
          </w:tblCellMar>
        </w:tblPrEx>
        <w:trPr>
          <w:trHeight w:val="397" w:hRule="atLeast"/>
        </w:trPr>
        <w:tc>
          <w:tcPr>
            <w:tcW w:w="2482" w:type="dxa"/>
            <w:vMerge w:val="restart"/>
            <w:tcBorders>
              <w:top w:val="single" w:color="auto" w:sz="4" w:space="0"/>
              <w:left w:val="single" w:color="auto" w:sz="4" w:space="0"/>
              <w:right w:val="single" w:color="auto" w:sz="4" w:space="0"/>
            </w:tcBorders>
            <w:noWrap/>
            <w:vAlign w:val="center"/>
          </w:tcPr>
          <w:p w14:paraId="4D31A377">
            <w:pPr>
              <w:pStyle w:val="43"/>
              <w:bidi w:val="0"/>
              <w:rPr>
                <w:rFonts w:hint="default"/>
                <w:lang w:val="en-US" w:eastAsia="zh-CN"/>
              </w:rPr>
            </w:pPr>
            <w:r>
              <w:rPr>
                <w:rFonts w:hint="eastAsia"/>
                <w:lang w:val="en-US" w:eastAsia="zh-CN"/>
              </w:rPr>
              <w:t>1森林生态系统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4A94F4DA">
            <w:pPr>
              <w:pStyle w:val="43"/>
              <w:bidi w:val="0"/>
              <w:rPr>
                <w:rFonts w:hint="default"/>
                <w:lang w:val="en-US" w:eastAsia="zh-CN"/>
              </w:rPr>
            </w:pPr>
            <w:r>
              <w:rPr>
                <w:rFonts w:hint="eastAsia"/>
                <w:lang w:val="en-US" w:eastAsia="zh-CN"/>
              </w:rPr>
              <w:t>11阔叶林</w:t>
            </w:r>
          </w:p>
        </w:tc>
        <w:tc>
          <w:tcPr>
            <w:tcW w:w="1942" w:type="dxa"/>
            <w:tcBorders>
              <w:top w:val="single" w:color="auto" w:sz="4" w:space="0"/>
              <w:left w:val="single" w:color="auto" w:sz="4" w:space="0"/>
              <w:bottom w:val="single" w:color="auto" w:sz="4" w:space="0"/>
              <w:right w:val="single" w:color="auto" w:sz="4" w:space="0"/>
            </w:tcBorders>
            <w:noWrap/>
            <w:vAlign w:val="center"/>
          </w:tcPr>
          <w:p w14:paraId="56C7DEA5">
            <w:pPr>
              <w:pStyle w:val="43"/>
              <w:bidi w:val="0"/>
              <w:rPr>
                <w:rFonts w:hint="eastAsia"/>
                <w:lang w:val="en-US" w:eastAsia="zh-CN"/>
              </w:rPr>
            </w:pPr>
            <w:r>
              <w:rPr>
                <w:rFonts w:hint="default"/>
                <w:lang w:val="en-US" w:eastAsia="zh-CN"/>
              </w:rPr>
              <w:t>1.09</w:t>
            </w:r>
          </w:p>
        </w:tc>
        <w:tc>
          <w:tcPr>
            <w:tcW w:w="1945" w:type="dxa"/>
            <w:tcBorders>
              <w:top w:val="single" w:color="auto" w:sz="4" w:space="0"/>
              <w:left w:val="single" w:color="auto" w:sz="4" w:space="0"/>
              <w:bottom w:val="single" w:color="auto" w:sz="4" w:space="0"/>
              <w:right w:val="single" w:color="auto" w:sz="4" w:space="0"/>
            </w:tcBorders>
            <w:noWrap/>
            <w:vAlign w:val="center"/>
          </w:tcPr>
          <w:p w14:paraId="5EA3DF80">
            <w:pPr>
              <w:pStyle w:val="43"/>
              <w:bidi w:val="0"/>
              <w:rPr>
                <w:rFonts w:hint="eastAsia"/>
                <w:lang w:val="en-US" w:eastAsia="zh-CN"/>
              </w:rPr>
            </w:pPr>
            <w:r>
              <w:rPr>
                <w:rFonts w:hint="default"/>
                <w:lang w:val="en-US" w:eastAsia="zh-CN"/>
              </w:rPr>
              <w:t>0.47</w:t>
            </w:r>
          </w:p>
        </w:tc>
      </w:tr>
      <w:tr w14:paraId="23914CE9">
        <w:tblPrEx>
          <w:tblCellMar>
            <w:top w:w="0" w:type="dxa"/>
            <w:left w:w="108" w:type="dxa"/>
            <w:bottom w:w="0" w:type="dxa"/>
            <w:right w:w="108" w:type="dxa"/>
          </w:tblCellMar>
        </w:tblPrEx>
        <w:trPr>
          <w:trHeight w:val="397" w:hRule="atLeast"/>
        </w:trPr>
        <w:tc>
          <w:tcPr>
            <w:tcW w:w="2482" w:type="dxa"/>
            <w:vMerge w:val="continue"/>
            <w:tcBorders>
              <w:left w:val="single" w:color="auto" w:sz="4" w:space="0"/>
              <w:bottom w:val="single" w:color="auto" w:sz="4" w:space="0"/>
              <w:right w:val="single" w:color="auto" w:sz="4" w:space="0"/>
            </w:tcBorders>
            <w:noWrap/>
            <w:vAlign w:val="center"/>
          </w:tcPr>
          <w:p w14:paraId="680BF419">
            <w:pPr>
              <w:pStyle w:val="43"/>
              <w:bidi w:val="0"/>
              <w:rPr>
                <w:rFonts w:hint="eastAsia"/>
                <w:lang w:val="en-US" w:eastAsia="zh-CN"/>
              </w:rPr>
            </w:pPr>
          </w:p>
        </w:tc>
        <w:tc>
          <w:tcPr>
            <w:tcW w:w="2153" w:type="dxa"/>
            <w:tcBorders>
              <w:top w:val="single" w:color="auto" w:sz="4" w:space="0"/>
              <w:left w:val="single" w:color="auto" w:sz="4" w:space="0"/>
              <w:bottom w:val="single" w:color="auto" w:sz="4" w:space="0"/>
              <w:right w:val="single" w:color="auto" w:sz="4" w:space="0"/>
            </w:tcBorders>
            <w:noWrap/>
            <w:vAlign w:val="center"/>
          </w:tcPr>
          <w:p w14:paraId="2C78B103">
            <w:pPr>
              <w:pStyle w:val="43"/>
              <w:bidi w:val="0"/>
              <w:rPr>
                <w:rFonts w:hint="default"/>
                <w:lang w:val="en-US" w:eastAsia="zh-CN"/>
              </w:rPr>
            </w:pPr>
            <w:r>
              <w:rPr>
                <w:rFonts w:hint="eastAsia"/>
                <w:lang w:val="en-US" w:eastAsia="zh-CN"/>
              </w:rPr>
              <w:t>12针叶林</w:t>
            </w:r>
          </w:p>
        </w:tc>
        <w:tc>
          <w:tcPr>
            <w:tcW w:w="1942" w:type="dxa"/>
            <w:tcBorders>
              <w:top w:val="single" w:color="auto" w:sz="4" w:space="0"/>
              <w:left w:val="single" w:color="auto" w:sz="4" w:space="0"/>
              <w:bottom w:val="single" w:color="auto" w:sz="4" w:space="0"/>
              <w:right w:val="single" w:color="auto" w:sz="4" w:space="0"/>
            </w:tcBorders>
            <w:noWrap/>
            <w:vAlign w:val="center"/>
          </w:tcPr>
          <w:p w14:paraId="241FDB4B">
            <w:pPr>
              <w:pStyle w:val="43"/>
              <w:bidi w:val="0"/>
              <w:rPr>
                <w:rFonts w:hint="eastAsia"/>
                <w:lang w:val="en-US" w:eastAsia="zh-CN"/>
              </w:rPr>
            </w:pPr>
            <w:r>
              <w:rPr>
                <w:rFonts w:hint="default"/>
                <w:lang w:val="en-US" w:eastAsia="zh-CN"/>
              </w:rPr>
              <w:t>9.92</w:t>
            </w:r>
          </w:p>
        </w:tc>
        <w:tc>
          <w:tcPr>
            <w:tcW w:w="1945" w:type="dxa"/>
            <w:tcBorders>
              <w:top w:val="single" w:color="auto" w:sz="4" w:space="0"/>
              <w:left w:val="single" w:color="auto" w:sz="4" w:space="0"/>
              <w:bottom w:val="single" w:color="auto" w:sz="4" w:space="0"/>
              <w:right w:val="single" w:color="auto" w:sz="4" w:space="0"/>
            </w:tcBorders>
            <w:noWrap/>
            <w:vAlign w:val="center"/>
          </w:tcPr>
          <w:p w14:paraId="67864CE5">
            <w:pPr>
              <w:pStyle w:val="43"/>
              <w:bidi w:val="0"/>
              <w:rPr>
                <w:rFonts w:hint="eastAsia"/>
                <w:lang w:val="en-US" w:eastAsia="zh-CN"/>
              </w:rPr>
            </w:pPr>
            <w:r>
              <w:rPr>
                <w:rFonts w:hint="default"/>
                <w:lang w:val="en-US" w:eastAsia="zh-CN"/>
              </w:rPr>
              <w:t>4.28</w:t>
            </w:r>
          </w:p>
        </w:tc>
      </w:tr>
      <w:tr w14:paraId="606CA8EA">
        <w:tblPrEx>
          <w:tblCellMar>
            <w:top w:w="0" w:type="dxa"/>
            <w:left w:w="108" w:type="dxa"/>
            <w:bottom w:w="0" w:type="dxa"/>
            <w:right w:w="108" w:type="dxa"/>
          </w:tblCellMar>
        </w:tblPrEx>
        <w:trPr>
          <w:trHeight w:val="397" w:hRule="atLeast"/>
        </w:trPr>
        <w:tc>
          <w:tcPr>
            <w:tcW w:w="2482" w:type="dxa"/>
            <w:tcBorders>
              <w:top w:val="single" w:color="auto" w:sz="4" w:space="0"/>
              <w:left w:val="single" w:color="auto" w:sz="4" w:space="0"/>
              <w:bottom w:val="single" w:color="auto" w:sz="4" w:space="0"/>
              <w:right w:val="single" w:color="auto" w:sz="4" w:space="0"/>
            </w:tcBorders>
            <w:noWrap/>
            <w:vAlign w:val="center"/>
          </w:tcPr>
          <w:p w14:paraId="46CC78F4">
            <w:pPr>
              <w:pStyle w:val="43"/>
              <w:bidi w:val="0"/>
              <w:rPr>
                <w:rFonts w:hint="default"/>
                <w:lang w:val="en-US" w:eastAsia="zh-CN"/>
              </w:rPr>
            </w:pPr>
            <w:r>
              <w:rPr>
                <w:rFonts w:hint="eastAsia"/>
                <w:lang w:val="en-US" w:eastAsia="zh-CN"/>
              </w:rPr>
              <w:t>2灌丛生态系统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021AA3B7">
            <w:pPr>
              <w:pStyle w:val="43"/>
              <w:bidi w:val="0"/>
              <w:rPr>
                <w:rFonts w:hint="default"/>
                <w:lang w:val="en-US" w:eastAsia="zh-CN"/>
              </w:rPr>
            </w:pPr>
            <w:r>
              <w:rPr>
                <w:rFonts w:hint="eastAsia"/>
                <w:lang w:val="en-US" w:eastAsia="zh-CN"/>
              </w:rPr>
              <w:t>21阔叶灌丛</w:t>
            </w:r>
          </w:p>
        </w:tc>
        <w:tc>
          <w:tcPr>
            <w:tcW w:w="1942" w:type="dxa"/>
            <w:tcBorders>
              <w:top w:val="single" w:color="auto" w:sz="4" w:space="0"/>
              <w:left w:val="single" w:color="auto" w:sz="4" w:space="0"/>
              <w:bottom w:val="single" w:color="auto" w:sz="4" w:space="0"/>
              <w:right w:val="single" w:color="auto" w:sz="4" w:space="0"/>
            </w:tcBorders>
            <w:noWrap/>
            <w:vAlign w:val="center"/>
          </w:tcPr>
          <w:p w14:paraId="56E385D3">
            <w:pPr>
              <w:pStyle w:val="43"/>
              <w:bidi w:val="0"/>
              <w:rPr>
                <w:rFonts w:hint="eastAsia"/>
                <w:lang w:val="en-US" w:eastAsia="zh-CN"/>
              </w:rPr>
            </w:pPr>
            <w:r>
              <w:rPr>
                <w:rFonts w:hint="default"/>
                <w:lang w:val="en-US" w:eastAsia="zh-CN"/>
              </w:rPr>
              <w:t>60.35</w:t>
            </w:r>
          </w:p>
        </w:tc>
        <w:tc>
          <w:tcPr>
            <w:tcW w:w="1945" w:type="dxa"/>
            <w:tcBorders>
              <w:top w:val="single" w:color="auto" w:sz="4" w:space="0"/>
              <w:left w:val="single" w:color="auto" w:sz="4" w:space="0"/>
              <w:bottom w:val="single" w:color="auto" w:sz="4" w:space="0"/>
              <w:right w:val="single" w:color="auto" w:sz="4" w:space="0"/>
            </w:tcBorders>
            <w:noWrap/>
            <w:vAlign w:val="center"/>
          </w:tcPr>
          <w:p w14:paraId="22BC25CD">
            <w:pPr>
              <w:pStyle w:val="43"/>
              <w:bidi w:val="0"/>
              <w:rPr>
                <w:rFonts w:hint="eastAsia"/>
                <w:lang w:val="en-US" w:eastAsia="zh-CN"/>
              </w:rPr>
            </w:pPr>
            <w:r>
              <w:rPr>
                <w:rFonts w:hint="default"/>
                <w:lang w:val="en-US" w:eastAsia="zh-CN"/>
              </w:rPr>
              <w:t>26.02</w:t>
            </w:r>
          </w:p>
        </w:tc>
      </w:tr>
      <w:tr w14:paraId="14045E99">
        <w:tblPrEx>
          <w:tblCellMar>
            <w:top w:w="0" w:type="dxa"/>
            <w:left w:w="108" w:type="dxa"/>
            <w:bottom w:w="0" w:type="dxa"/>
            <w:right w:w="108" w:type="dxa"/>
          </w:tblCellMar>
        </w:tblPrEx>
        <w:trPr>
          <w:trHeight w:val="397" w:hRule="atLeast"/>
        </w:trPr>
        <w:tc>
          <w:tcPr>
            <w:tcW w:w="2482" w:type="dxa"/>
            <w:tcBorders>
              <w:top w:val="single" w:color="auto" w:sz="4" w:space="0"/>
              <w:left w:val="single" w:color="auto" w:sz="4" w:space="0"/>
              <w:bottom w:val="single" w:color="auto" w:sz="4" w:space="0"/>
              <w:right w:val="single" w:color="auto" w:sz="4" w:space="0"/>
            </w:tcBorders>
            <w:noWrap/>
            <w:vAlign w:val="center"/>
          </w:tcPr>
          <w:p w14:paraId="353FEFC4">
            <w:pPr>
              <w:pStyle w:val="43"/>
              <w:bidi w:val="0"/>
            </w:pPr>
            <w:r>
              <w:rPr>
                <w:rFonts w:hint="eastAsia"/>
              </w:rPr>
              <w:t>3草地生态系统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147C6F36">
            <w:pPr>
              <w:pStyle w:val="43"/>
              <w:bidi w:val="0"/>
              <w:rPr>
                <w:rFonts w:hint="default"/>
                <w:lang w:val="en-US" w:eastAsia="zh-CN"/>
              </w:rPr>
            </w:pPr>
            <w:r>
              <w:rPr>
                <w:rFonts w:hint="eastAsia"/>
              </w:rPr>
              <w:t>3</w:t>
            </w:r>
            <w:r>
              <w:rPr>
                <w:rFonts w:hint="eastAsia"/>
                <w:lang w:val="en-US" w:eastAsia="zh-CN"/>
              </w:rPr>
              <w:t>3草丛</w:t>
            </w:r>
          </w:p>
        </w:tc>
        <w:tc>
          <w:tcPr>
            <w:tcW w:w="1942" w:type="dxa"/>
            <w:tcBorders>
              <w:top w:val="single" w:color="auto" w:sz="4" w:space="0"/>
              <w:left w:val="single" w:color="auto" w:sz="4" w:space="0"/>
              <w:bottom w:val="single" w:color="auto" w:sz="4" w:space="0"/>
              <w:right w:val="single" w:color="auto" w:sz="4" w:space="0"/>
            </w:tcBorders>
            <w:noWrap/>
            <w:vAlign w:val="center"/>
          </w:tcPr>
          <w:p w14:paraId="08B7BB2B">
            <w:pPr>
              <w:pStyle w:val="43"/>
              <w:bidi w:val="0"/>
              <w:rPr>
                <w:rFonts w:hint="eastAsia"/>
                <w:lang w:val="en-US" w:eastAsia="zh-CN"/>
              </w:rPr>
            </w:pPr>
            <w:r>
              <w:rPr>
                <w:rFonts w:hint="default"/>
                <w:lang w:val="en-US" w:eastAsia="zh-CN"/>
              </w:rPr>
              <w:t>1.27</w:t>
            </w:r>
          </w:p>
        </w:tc>
        <w:tc>
          <w:tcPr>
            <w:tcW w:w="1945" w:type="dxa"/>
            <w:tcBorders>
              <w:top w:val="single" w:color="auto" w:sz="4" w:space="0"/>
              <w:left w:val="single" w:color="auto" w:sz="4" w:space="0"/>
              <w:bottom w:val="single" w:color="auto" w:sz="4" w:space="0"/>
              <w:right w:val="single" w:color="auto" w:sz="4" w:space="0"/>
            </w:tcBorders>
            <w:noWrap/>
            <w:vAlign w:val="center"/>
          </w:tcPr>
          <w:p w14:paraId="67CE580B">
            <w:pPr>
              <w:pStyle w:val="43"/>
              <w:bidi w:val="0"/>
              <w:rPr>
                <w:rFonts w:hint="eastAsia"/>
                <w:lang w:val="en-US" w:eastAsia="zh-CN"/>
              </w:rPr>
            </w:pPr>
            <w:r>
              <w:rPr>
                <w:rFonts w:hint="default"/>
                <w:lang w:val="en-US" w:eastAsia="zh-CN"/>
              </w:rPr>
              <w:t>0.55</w:t>
            </w:r>
          </w:p>
        </w:tc>
      </w:tr>
      <w:tr w14:paraId="5A120F9D">
        <w:tblPrEx>
          <w:tblCellMar>
            <w:top w:w="0" w:type="dxa"/>
            <w:left w:w="108" w:type="dxa"/>
            <w:bottom w:w="0" w:type="dxa"/>
            <w:right w:w="108" w:type="dxa"/>
          </w:tblCellMar>
        </w:tblPrEx>
        <w:trPr>
          <w:trHeight w:val="397" w:hRule="atLeast"/>
        </w:trPr>
        <w:tc>
          <w:tcPr>
            <w:tcW w:w="2482" w:type="dxa"/>
            <w:tcBorders>
              <w:top w:val="single" w:color="auto" w:sz="4" w:space="0"/>
              <w:left w:val="single" w:color="auto" w:sz="4" w:space="0"/>
              <w:bottom w:val="single" w:color="auto" w:sz="4" w:space="0"/>
              <w:right w:val="single" w:color="auto" w:sz="4" w:space="0"/>
            </w:tcBorders>
            <w:noWrap/>
            <w:vAlign w:val="center"/>
          </w:tcPr>
          <w:p w14:paraId="25B12DB1">
            <w:pPr>
              <w:pStyle w:val="43"/>
              <w:bidi w:val="0"/>
              <w:rPr>
                <w:rFonts w:hint="default"/>
                <w:lang w:val="en-US" w:eastAsia="zh-CN"/>
              </w:rPr>
            </w:pPr>
            <w:r>
              <w:rPr>
                <w:rFonts w:hint="eastAsia"/>
                <w:lang w:val="en-US" w:eastAsia="zh-CN"/>
              </w:rPr>
              <w:t>4湿地生态系统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20B3A169">
            <w:pPr>
              <w:pStyle w:val="43"/>
              <w:bidi w:val="0"/>
              <w:rPr>
                <w:rFonts w:hint="default"/>
                <w:lang w:val="en-US" w:eastAsia="zh-CN"/>
              </w:rPr>
            </w:pPr>
            <w:r>
              <w:rPr>
                <w:rFonts w:hint="eastAsia"/>
                <w:lang w:val="en-US" w:eastAsia="zh-CN"/>
              </w:rPr>
              <w:t>42湖泊</w:t>
            </w:r>
          </w:p>
        </w:tc>
        <w:tc>
          <w:tcPr>
            <w:tcW w:w="1942" w:type="dxa"/>
            <w:tcBorders>
              <w:top w:val="single" w:color="auto" w:sz="4" w:space="0"/>
              <w:left w:val="single" w:color="auto" w:sz="4" w:space="0"/>
              <w:bottom w:val="single" w:color="auto" w:sz="4" w:space="0"/>
              <w:right w:val="single" w:color="auto" w:sz="4" w:space="0"/>
            </w:tcBorders>
            <w:noWrap/>
            <w:vAlign w:val="center"/>
          </w:tcPr>
          <w:p w14:paraId="05E909EC">
            <w:pPr>
              <w:pStyle w:val="43"/>
              <w:bidi w:val="0"/>
              <w:rPr>
                <w:rFonts w:hint="eastAsia"/>
                <w:lang w:val="en-US" w:eastAsia="zh-CN"/>
              </w:rPr>
            </w:pPr>
            <w:r>
              <w:rPr>
                <w:rFonts w:hint="default"/>
                <w:lang w:val="en-US" w:eastAsia="zh-CN"/>
              </w:rPr>
              <w:t>2.05</w:t>
            </w:r>
          </w:p>
        </w:tc>
        <w:tc>
          <w:tcPr>
            <w:tcW w:w="1945" w:type="dxa"/>
            <w:tcBorders>
              <w:top w:val="single" w:color="auto" w:sz="4" w:space="0"/>
              <w:left w:val="single" w:color="auto" w:sz="4" w:space="0"/>
              <w:bottom w:val="single" w:color="auto" w:sz="4" w:space="0"/>
              <w:right w:val="single" w:color="auto" w:sz="4" w:space="0"/>
            </w:tcBorders>
            <w:noWrap/>
            <w:vAlign w:val="center"/>
          </w:tcPr>
          <w:p w14:paraId="5FED8C2D">
            <w:pPr>
              <w:pStyle w:val="43"/>
              <w:bidi w:val="0"/>
              <w:rPr>
                <w:rFonts w:hint="eastAsia"/>
                <w:lang w:val="en-US" w:eastAsia="zh-CN"/>
              </w:rPr>
            </w:pPr>
            <w:r>
              <w:rPr>
                <w:rFonts w:hint="default"/>
                <w:lang w:val="en-US" w:eastAsia="zh-CN"/>
              </w:rPr>
              <w:t>0.88</w:t>
            </w:r>
          </w:p>
        </w:tc>
      </w:tr>
      <w:tr w14:paraId="6E5E7840">
        <w:tblPrEx>
          <w:tblCellMar>
            <w:top w:w="0" w:type="dxa"/>
            <w:left w:w="108" w:type="dxa"/>
            <w:bottom w:w="0" w:type="dxa"/>
            <w:right w:w="108" w:type="dxa"/>
          </w:tblCellMar>
        </w:tblPrEx>
        <w:trPr>
          <w:trHeight w:val="397" w:hRule="atLeast"/>
        </w:trPr>
        <w:tc>
          <w:tcPr>
            <w:tcW w:w="2482" w:type="dxa"/>
            <w:vMerge w:val="restart"/>
            <w:tcBorders>
              <w:top w:val="single" w:color="auto" w:sz="4" w:space="0"/>
              <w:left w:val="single" w:color="auto" w:sz="4" w:space="0"/>
              <w:right w:val="single" w:color="auto" w:sz="4" w:space="0"/>
            </w:tcBorders>
            <w:noWrap/>
            <w:vAlign w:val="center"/>
          </w:tcPr>
          <w:p w14:paraId="2E87D31E">
            <w:pPr>
              <w:pStyle w:val="43"/>
              <w:bidi w:val="0"/>
              <w:rPr>
                <w:rFonts w:hint="default"/>
                <w:lang w:val="en-US" w:eastAsia="zh-CN"/>
              </w:rPr>
            </w:pPr>
            <w:r>
              <w:rPr>
                <w:rFonts w:hint="eastAsia"/>
                <w:lang w:val="en-US" w:eastAsia="zh-CN"/>
              </w:rPr>
              <w:t>5农田生态系统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07DD9125">
            <w:pPr>
              <w:pStyle w:val="43"/>
              <w:bidi w:val="0"/>
              <w:rPr>
                <w:rFonts w:hint="default"/>
                <w:lang w:val="en-US" w:eastAsia="zh-CN"/>
              </w:rPr>
            </w:pPr>
            <w:r>
              <w:rPr>
                <w:rFonts w:hint="eastAsia"/>
                <w:lang w:val="en-US" w:eastAsia="zh-CN"/>
              </w:rPr>
              <w:t>51耕地</w:t>
            </w:r>
          </w:p>
        </w:tc>
        <w:tc>
          <w:tcPr>
            <w:tcW w:w="1942" w:type="dxa"/>
            <w:tcBorders>
              <w:top w:val="single" w:color="auto" w:sz="4" w:space="0"/>
              <w:left w:val="single" w:color="auto" w:sz="4" w:space="0"/>
              <w:bottom w:val="single" w:color="auto" w:sz="4" w:space="0"/>
              <w:right w:val="single" w:color="auto" w:sz="4" w:space="0"/>
            </w:tcBorders>
            <w:noWrap/>
            <w:vAlign w:val="center"/>
          </w:tcPr>
          <w:p w14:paraId="28E1083C">
            <w:pPr>
              <w:pStyle w:val="43"/>
              <w:bidi w:val="0"/>
              <w:rPr>
                <w:rFonts w:hint="eastAsia"/>
                <w:lang w:val="en-US" w:eastAsia="zh-CN"/>
              </w:rPr>
            </w:pPr>
            <w:r>
              <w:rPr>
                <w:rFonts w:hint="default"/>
                <w:lang w:val="en-US" w:eastAsia="zh-CN"/>
              </w:rPr>
              <w:t>83.96</w:t>
            </w:r>
          </w:p>
        </w:tc>
        <w:tc>
          <w:tcPr>
            <w:tcW w:w="1945" w:type="dxa"/>
            <w:tcBorders>
              <w:top w:val="single" w:color="auto" w:sz="4" w:space="0"/>
              <w:left w:val="single" w:color="auto" w:sz="4" w:space="0"/>
              <w:bottom w:val="single" w:color="auto" w:sz="4" w:space="0"/>
              <w:right w:val="single" w:color="auto" w:sz="4" w:space="0"/>
            </w:tcBorders>
            <w:noWrap/>
            <w:vAlign w:val="center"/>
          </w:tcPr>
          <w:p w14:paraId="70E78701">
            <w:pPr>
              <w:pStyle w:val="43"/>
              <w:bidi w:val="0"/>
              <w:rPr>
                <w:rFonts w:hint="eastAsia"/>
                <w:lang w:val="en-US" w:eastAsia="zh-CN"/>
              </w:rPr>
            </w:pPr>
            <w:r>
              <w:rPr>
                <w:rFonts w:hint="default"/>
                <w:lang w:val="en-US" w:eastAsia="zh-CN"/>
              </w:rPr>
              <w:t>36.19</w:t>
            </w:r>
          </w:p>
        </w:tc>
      </w:tr>
      <w:tr w14:paraId="22BD281A">
        <w:tblPrEx>
          <w:tblCellMar>
            <w:top w:w="0" w:type="dxa"/>
            <w:left w:w="108" w:type="dxa"/>
            <w:bottom w:w="0" w:type="dxa"/>
            <w:right w:w="108" w:type="dxa"/>
          </w:tblCellMar>
        </w:tblPrEx>
        <w:trPr>
          <w:trHeight w:val="397" w:hRule="atLeast"/>
        </w:trPr>
        <w:tc>
          <w:tcPr>
            <w:tcW w:w="2482" w:type="dxa"/>
            <w:vMerge w:val="continue"/>
            <w:tcBorders>
              <w:left w:val="single" w:color="auto" w:sz="4" w:space="0"/>
              <w:bottom w:val="single" w:color="auto" w:sz="4" w:space="0"/>
              <w:right w:val="single" w:color="auto" w:sz="4" w:space="0"/>
            </w:tcBorders>
            <w:noWrap/>
            <w:vAlign w:val="center"/>
          </w:tcPr>
          <w:p w14:paraId="555CE64F">
            <w:pPr>
              <w:pStyle w:val="43"/>
              <w:bidi w:val="0"/>
              <w:rPr>
                <w:rFonts w:hint="eastAsia"/>
                <w:lang w:val="en-US" w:eastAsia="zh-CN"/>
              </w:rPr>
            </w:pPr>
          </w:p>
        </w:tc>
        <w:tc>
          <w:tcPr>
            <w:tcW w:w="2153" w:type="dxa"/>
            <w:tcBorders>
              <w:top w:val="single" w:color="auto" w:sz="4" w:space="0"/>
              <w:left w:val="single" w:color="auto" w:sz="4" w:space="0"/>
              <w:bottom w:val="single" w:color="auto" w:sz="4" w:space="0"/>
              <w:right w:val="single" w:color="auto" w:sz="4" w:space="0"/>
            </w:tcBorders>
            <w:noWrap/>
            <w:vAlign w:val="center"/>
          </w:tcPr>
          <w:p w14:paraId="1AFA4749">
            <w:pPr>
              <w:pStyle w:val="43"/>
              <w:bidi w:val="0"/>
              <w:rPr>
                <w:rFonts w:hint="default"/>
                <w:lang w:val="en-US" w:eastAsia="zh-CN"/>
              </w:rPr>
            </w:pPr>
            <w:r>
              <w:rPr>
                <w:rFonts w:hint="eastAsia"/>
                <w:lang w:val="en-US" w:eastAsia="zh-CN"/>
              </w:rPr>
              <w:t>52园地</w:t>
            </w:r>
          </w:p>
        </w:tc>
        <w:tc>
          <w:tcPr>
            <w:tcW w:w="1942" w:type="dxa"/>
            <w:tcBorders>
              <w:top w:val="single" w:color="auto" w:sz="4" w:space="0"/>
              <w:left w:val="single" w:color="auto" w:sz="4" w:space="0"/>
              <w:bottom w:val="single" w:color="auto" w:sz="4" w:space="0"/>
              <w:right w:val="single" w:color="auto" w:sz="4" w:space="0"/>
            </w:tcBorders>
            <w:noWrap/>
            <w:vAlign w:val="center"/>
          </w:tcPr>
          <w:p w14:paraId="0252D4E2">
            <w:pPr>
              <w:pStyle w:val="43"/>
              <w:bidi w:val="0"/>
              <w:rPr>
                <w:rFonts w:hint="eastAsia"/>
                <w:lang w:val="en-US" w:eastAsia="zh-CN"/>
              </w:rPr>
            </w:pPr>
            <w:r>
              <w:rPr>
                <w:rFonts w:hint="default"/>
                <w:lang w:val="en-US" w:eastAsia="zh-CN"/>
              </w:rPr>
              <w:t>14.00</w:t>
            </w:r>
          </w:p>
        </w:tc>
        <w:tc>
          <w:tcPr>
            <w:tcW w:w="1945" w:type="dxa"/>
            <w:tcBorders>
              <w:top w:val="single" w:color="auto" w:sz="4" w:space="0"/>
              <w:left w:val="single" w:color="auto" w:sz="4" w:space="0"/>
              <w:bottom w:val="single" w:color="auto" w:sz="4" w:space="0"/>
              <w:right w:val="single" w:color="auto" w:sz="4" w:space="0"/>
            </w:tcBorders>
            <w:noWrap/>
            <w:vAlign w:val="center"/>
          </w:tcPr>
          <w:p w14:paraId="06AC28A0">
            <w:pPr>
              <w:pStyle w:val="43"/>
              <w:bidi w:val="0"/>
              <w:rPr>
                <w:rFonts w:hint="eastAsia"/>
                <w:lang w:val="en-US" w:eastAsia="zh-CN"/>
              </w:rPr>
            </w:pPr>
            <w:r>
              <w:rPr>
                <w:rFonts w:hint="default"/>
                <w:lang w:val="en-US" w:eastAsia="zh-CN"/>
              </w:rPr>
              <w:t>6.03</w:t>
            </w:r>
          </w:p>
        </w:tc>
      </w:tr>
      <w:tr w14:paraId="56726570">
        <w:tblPrEx>
          <w:tblCellMar>
            <w:top w:w="0" w:type="dxa"/>
            <w:left w:w="108" w:type="dxa"/>
            <w:bottom w:w="0" w:type="dxa"/>
            <w:right w:w="108" w:type="dxa"/>
          </w:tblCellMar>
        </w:tblPrEx>
        <w:trPr>
          <w:trHeight w:val="397" w:hRule="atLeast"/>
        </w:trPr>
        <w:tc>
          <w:tcPr>
            <w:tcW w:w="2482" w:type="dxa"/>
            <w:tcBorders>
              <w:top w:val="single" w:color="auto" w:sz="4" w:space="0"/>
              <w:left w:val="single" w:color="auto" w:sz="4" w:space="0"/>
              <w:right w:val="single" w:color="auto" w:sz="4" w:space="0"/>
            </w:tcBorders>
            <w:noWrap/>
            <w:vAlign w:val="center"/>
          </w:tcPr>
          <w:p w14:paraId="29400EDC">
            <w:pPr>
              <w:pStyle w:val="43"/>
              <w:bidi w:val="0"/>
              <w:rPr>
                <w:rFonts w:hint="default"/>
                <w:lang w:val="en-US" w:eastAsia="zh-CN"/>
              </w:rPr>
            </w:pPr>
            <w:r>
              <w:rPr>
                <w:rFonts w:hint="eastAsia"/>
                <w:lang w:val="en-US" w:eastAsia="zh-CN"/>
              </w:rPr>
              <w:t>6城镇生态系统</w:t>
            </w:r>
          </w:p>
        </w:tc>
        <w:tc>
          <w:tcPr>
            <w:tcW w:w="2153" w:type="dxa"/>
            <w:tcBorders>
              <w:top w:val="single" w:color="auto" w:sz="4" w:space="0"/>
              <w:left w:val="single" w:color="auto" w:sz="4" w:space="0"/>
              <w:bottom w:val="single" w:color="auto" w:sz="4" w:space="0"/>
              <w:right w:val="single" w:color="auto" w:sz="4" w:space="0"/>
            </w:tcBorders>
            <w:noWrap/>
            <w:vAlign w:val="center"/>
          </w:tcPr>
          <w:p w14:paraId="4A6CC839">
            <w:pPr>
              <w:pStyle w:val="43"/>
              <w:bidi w:val="0"/>
              <w:rPr>
                <w:rFonts w:hint="default"/>
                <w:lang w:val="en-US" w:eastAsia="zh-CN"/>
              </w:rPr>
            </w:pPr>
            <w:r>
              <w:rPr>
                <w:rFonts w:hint="eastAsia"/>
                <w:lang w:val="en-US" w:eastAsia="zh-CN"/>
              </w:rPr>
              <w:t>63工矿交通</w:t>
            </w:r>
          </w:p>
        </w:tc>
        <w:tc>
          <w:tcPr>
            <w:tcW w:w="1942" w:type="dxa"/>
            <w:tcBorders>
              <w:top w:val="single" w:color="auto" w:sz="4" w:space="0"/>
              <w:left w:val="single" w:color="auto" w:sz="4" w:space="0"/>
              <w:bottom w:val="single" w:color="auto" w:sz="4" w:space="0"/>
              <w:right w:val="single" w:color="auto" w:sz="4" w:space="0"/>
            </w:tcBorders>
            <w:noWrap/>
            <w:vAlign w:val="center"/>
          </w:tcPr>
          <w:p w14:paraId="1E66B84F">
            <w:pPr>
              <w:pStyle w:val="43"/>
              <w:bidi w:val="0"/>
              <w:rPr>
                <w:rFonts w:hint="eastAsia"/>
                <w:lang w:val="en-US" w:eastAsia="zh-CN"/>
              </w:rPr>
            </w:pPr>
            <w:r>
              <w:rPr>
                <w:rFonts w:hint="default"/>
                <w:lang w:val="en-US" w:eastAsia="zh-CN"/>
              </w:rPr>
              <w:t>59.34</w:t>
            </w:r>
          </w:p>
        </w:tc>
        <w:tc>
          <w:tcPr>
            <w:tcW w:w="1945" w:type="dxa"/>
            <w:tcBorders>
              <w:top w:val="single" w:color="auto" w:sz="4" w:space="0"/>
              <w:left w:val="single" w:color="auto" w:sz="4" w:space="0"/>
              <w:bottom w:val="single" w:color="auto" w:sz="4" w:space="0"/>
              <w:right w:val="single" w:color="auto" w:sz="4" w:space="0"/>
            </w:tcBorders>
            <w:noWrap/>
            <w:vAlign w:val="center"/>
          </w:tcPr>
          <w:p w14:paraId="3E8E0003">
            <w:pPr>
              <w:pStyle w:val="43"/>
              <w:bidi w:val="0"/>
              <w:rPr>
                <w:rFonts w:hint="eastAsia"/>
                <w:lang w:val="en-US" w:eastAsia="zh-CN"/>
              </w:rPr>
            </w:pPr>
            <w:r>
              <w:rPr>
                <w:rFonts w:hint="default"/>
                <w:lang w:val="en-US" w:eastAsia="zh-CN"/>
              </w:rPr>
              <w:t>25.58</w:t>
            </w:r>
          </w:p>
        </w:tc>
      </w:tr>
      <w:tr w14:paraId="6450FB39">
        <w:tblPrEx>
          <w:tblCellMar>
            <w:top w:w="0" w:type="dxa"/>
            <w:left w:w="108" w:type="dxa"/>
            <w:bottom w:w="0" w:type="dxa"/>
            <w:right w:w="108" w:type="dxa"/>
          </w:tblCellMar>
        </w:tblPrEx>
        <w:trPr>
          <w:trHeight w:val="397" w:hRule="atLeast"/>
        </w:trPr>
        <w:tc>
          <w:tcPr>
            <w:tcW w:w="4635" w:type="dxa"/>
            <w:gridSpan w:val="2"/>
            <w:tcBorders>
              <w:top w:val="single" w:color="auto" w:sz="4" w:space="0"/>
              <w:left w:val="single" w:color="auto" w:sz="4" w:space="0"/>
              <w:bottom w:val="single" w:color="auto" w:sz="4" w:space="0"/>
              <w:right w:val="single" w:color="auto" w:sz="4" w:space="0"/>
            </w:tcBorders>
            <w:noWrap/>
            <w:vAlign w:val="center"/>
          </w:tcPr>
          <w:p w14:paraId="3086F801">
            <w:pPr>
              <w:pStyle w:val="43"/>
              <w:bidi w:val="0"/>
            </w:pPr>
            <w:r>
              <w:t>合计</w:t>
            </w:r>
          </w:p>
        </w:tc>
        <w:tc>
          <w:tcPr>
            <w:tcW w:w="1942" w:type="dxa"/>
            <w:tcBorders>
              <w:top w:val="single" w:color="auto" w:sz="4" w:space="0"/>
              <w:left w:val="single" w:color="auto" w:sz="4" w:space="0"/>
              <w:bottom w:val="single" w:color="auto" w:sz="4" w:space="0"/>
              <w:right w:val="single" w:color="auto" w:sz="4" w:space="0"/>
            </w:tcBorders>
            <w:noWrap/>
            <w:vAlign w:val="center"/>
          </w:tcPr>
          <w:p w14:paraId="698F4B00">
            <w:pPr>
              <w:pStyle w:val="43"/>
              <w:bidi w:val="0"/>
              <w:rPr>
                <w:rFonts w:hint="eastAsia"/>
                <w:lang w:val="en-US" w:eastAsia="zh-CN"/>
              </w:rPr>
            </w:pPr>
            <w:r>
              <w:rPr>
                <w:rFonts w:hint="default"/>
                <w:lang w:val="en-US" w:eastAsia="zh-CN"/>
              </w:rPr>
              <w:t>231.98</w:t>
            </w:r>
          </w:p>
        </w:tc>
        <w:tc>
          <w:tcPr>
            <w:tcW w:w="1945" w:type="dxa"/>
            <w:tcBorders>
              <w:top w:val="single" w:color="auto" w:sz="4" w:space="0"/>
              <w:left w:val="single" w:color="auto" w:sz="4" w:space="0"/>
              <w:bottom w:val="single" w:color="auto" w:sz="4" w:space="0"/>
              <w:right w:val="single" w:color="auto" w:sz="4" w:space="0"/>
            </w:tcBorders>
            <w:noWrap/>
            <w:vAlign w:val="center"/>
          </w:tcPr>
          <w:p w14:paraId="34A06A97">
            <w:pPr>
              <w:pStyle w:val="43"/>
              <w:bidi w:val="0"/>
              <w:rPr>
                <w:rFonts w:hint="eastAsia"/>
                <w:lang w:val="en-US" w:eastAsia="zh-CN"/>
              </w:rPr>
            </w:pPr>
            <w:r>
              <w:rPr>
                <w:rFonts w:hint="default"/>
                <w:lang w:val="en-US" w:eastAsia="zh-CN"/>
              </w:rPr>
              <w:t>100.00</w:t>
            </w:r>
          </w:p>
        </w:tc>
      </w:tr>
    </w:tbl>
    <w:p w14:paraId="2DDA8126">
      <w:pPr>
        <w:pStyle w:val="41"/>
        <w:bidi w:val="0"/>
        <w:rPr>
          <w:rFonts w:hint="eastAsia"/>
        </w:rPr>
      </w:pPr>
      <w:r>
        <w:t>根据统计结果，评价范围内</w:t>
      </w:r>
      <w:r>
        <w:rPr>
          <w:rFonts w:hint="eastAsia"/>
        </w:rPr>
        <w:t>农</w:t>
      </w:r>
      <w:r>
        <w:rPr>
          <w:rFonts w:hint="eastAsia"/>
          <w:lang w:eastAsia="zh-CN"/>
        </w:rPr>
        <w:t>田生</w:t>
      </w:r>
      <w:r>
        <w:t>态系统面积最大，面积占比为</w:t>
      </w:r>
      <w:r>
        <w:rPr>
          <w:rFonts w:hint="eastAsia"/>
          <w:lang w:val="en-US" w:eastAsia="zh-CN"/>
        </w:rPr>
        <w:t>42.22</w:t>
      </w:r>
      <w:r>
        <w:t>%；</w:t>
      </w:r>
      <w:r>
        <w:rPr>
          <w:rFonts w:hint="eastAsia"/>
          <w:lang w:val="en-US" w:eastAsia="zh-CN"/>
        </w:rPr>
        <w:t>灌丛</w:t>
      </w:r>
      <w:r>
        <w:t>生态系统</w:t>
      </w:r>
      <w:r>
        <w:rPr>
          <w:rFonts w:hint="eastAsia"/>
          <w:lang w:val="en-US" w:eastAsia="zh-CN"/>
        </w:rPr>
        <w:t>和城镇生态系统</w:t>
      </w:r>
      <w:r>
        <w:t>次之，面积占比</w:t>
      </w:r>
      <w:r>
        <w:rPr>
          <w:rFonts w:hint="eastAsia"/>
          <w:lang w:val="en-US" w:eastAsia="zh-CN"/>
        </w:rPr>
        <w:t>分别</w:t>
      </w:r>
      <w:r>
        <w:t>为</w:t>
      </w:r>
      <w:r>
        <w:rPr>
          <w:rFonts w:hint="eastAsia"/>
          <w:lang w:val="en-US" w:eastAsia="zh-CN"/>
        </w:rPr>
        <w:t>26.02</w:t>
      </w:r>
      <w:r>
        <w:t>%</w:t>
      </w:r>
      <w:r>
        <w:rPr>
          <w:rFonts w:hint="eastAsia"/>
          <w:lang w:eastAsia="zh-CN"/>
        </w:rPr>
        <w:t>、</w:t>
      </w:r>
      <w:r>
        <w:rPr>
          <w:rFonts w:hint="eastAsia"/>
          <w:lang w:val="en-US" w:eastAsia="zh-CN"/>
        </w:rPr>
        <w:t>25.58%</w:t>
      </w:r>
      <w:r>
        <w:t>；</w:t>
      </w:r>
      <w:r>
        <w:rPr>
          <w:rFonts w:hint="eastAsia"/>
          <w:lang w:val="en-US" w:eastAsia="zh-CN"/>
        </w:rPr>
        <w:t>森林、</w:t>
      </w:r>
      <w:r>
        <w:rPr>
          <w:rFonts w:hint="eastAsia"/>
        </w:rPr>
        <w:t>草地、湿地生态系统</w:t>
      </w:r>
      <w:r>
        <w:t>类型面积</w:t>
      </w:r>
      <w:r>
        <w:rPr>
          <w:rFonts w:hint="eastAsia"/>
        </w:rPr>
        <w:t>均较小，面积占比依次为</w:t>
      </w:r>
      <w:r>
        <w:rPr>
          <w:rFonts w:hint="eastAsia"/>
          <w:lang w:val="en-US" w:eastAsia="zh-CN"/>
        </w:rPr>
        <w:t>4.28%、0.55%、0.88%</w:t>
      </w:r>
      <w:r>
        <w:t>。</w:t>
      </w:r>
    </w:p>
    <w:p w14:paraId="44FF576C">
      <w:pPr>
        <w:pStyle w:val="5"/>
        <w:bidi w:val="0"/>
      </w:pPr>
      <w:r>
        <w:rPr>
          <w:rFonts w:hint="eastAsia"/>
        </w:rPr>
        <w:t>生</w:t>
      </w:r>
      <w:r>
        <w:t>态系统</w:t>
      </w:r>
      <w:r>
        <w:rPr>
          <w:rFonts w:hint="eastAsia"/>
          <w:lang w:val="en-US" w:eastAsia="zh-CN"/>
        </w:rPr>
        <w:t>组成</w:t>
      </w:r>
    </w:p>
    <w:p w14:paraId="701BB899">
      <w:pPr>
        <w:pStyle w:val="41"/>
        <w:bidi w:val="0"/>
        <w:rPr>
          <w:rFonts w:hint="eastAsia"/>
          <w:b/>
          <w:bCs/>
          <w:lang w:val="en-US" w:eastAsia="zh-CN"/>
        </w:rPr>
      </w:pPr>
      <w:r>
        <w:rPr>
          <w:rFonts w:hint="eastAsia"/>
          <w:b/>
          <w:bCs/>
          <w:lang w:val="en-US" w:eastAsia="zh-CN"/>
        </w:rPr>
        <w:t>（1）森林生态系统</w:t>
      </w:r>
    </w:p>
    <w:p w14:paraId="6D22C91E">
      <w:pPr>
        <w:pStyle w:val="41"/>
        <w:bidi w:val="0"/>
      </w:pPr>
      <w:r>
        <w:t>森林生态系统是以乔木为主体的生物群落（包括植物、动物和微生物）及其非生物环境（光、热、水、气、土壤等）综合组成的生态系统。森林生态系统服务功能主要包括森林在涵养水源、保育土壤、防风固沙、固碳释氧、净化空气、生物多样性保护及森林游憩等方面提供的生态服务功能。</w:t>
      </w:r>
      <w:r>
        <w:rPr>
          <w:rFonts w:hint="eastAsia"/>
        </w:rPr>
        <w:t>生态系统有四个主要的组成成分，即非生物环境、生产者、消费者和分解者。</w:t>
      </w:r>
    </w:p>
    <w:p w14:paraId="03B59473">
      <w:pPr>
        <w:pStyle w:val="41"/>
        <w:bidi w:val="0"/>
        <w:rPr>
          <w:rFonts w:hint="eastAsia"/>
          <w:lang w:val="en-US" w:eastAsia="zh-CN"/>
        </w:rPr>
      </w:pPr>
      <w:r>
        <w:t>评价区内森林生态系统</w:t>
      </w:r>
      <w:r>
        <w:rPr>
          <w:rFonts w:hint="eastAsia"/>
        </w:rPr>
        <w:t>的面积为</w:t>
      </w:r>
      <w:r>
        <w:rPr>
          <w:rFonts w:hint="eastAsia"/>
          <w:lang w:val="en-US" w:eastAsia="zh-CN"/>
        </w:rPr>
        <w:t>11.01</w:t>
      </w:r>
      <w:r>
        <w:rPr>
          <w:rFonts w:hint="eastAsia"/>
        </w:rPr>
        <w:t>hm</w:t>
      </w:r>
      <w:r>
        <w:rPr>
          <w:rFonts w:hint="eastAsia"/>
          <w:vertAlign w:val="superscript"/>
        </w:rPr>
        <w:t>2</w:t>
      </w:r>
      <w:r>
        <w:rPr>
          <w:rFonts w:hint="eastAsia"/>
        </w:rPr>
        <w:t>，占评价区总面积的</w:t>
      </w:r>
      <w:r>
        <w:rPr>
          <w:rFonts w:hint="eastAsia"/>
          <w:lang w:val="en-US" w:eastAsia="zh-CN"/>
        </w:rPr>
        <w:t>5.75</w:t>
      </w:r>
      <w:r>
        <w:rPr>
          <w:rFonts w:hint="eastAsia"/>
        </w:rPr>
        <w:t>%。森林生态系统的</w:t>
      </w:r>
      <w:r>
        <w:t>植被建群种主要</w:t>
      </w:r>
      <w:r>
        <w:rPr>
          <w:rFonts w:hint="eastAsia"/>
        </w:rPr>
        <w:t>为云南松</w:t>
      </w:r>
      <w:r>
        <w:t>，在评价区内</w:t>
      </w:r>
      <w:r>
        <w:rPr>
          <w:rFonts w:hint="eastAsia"/>
          <w:lang w:val="en-US" w:eastAsia="zh-CN"/>
        </w:rPr>
        <w:t>西北部成片状</w:t>
      </w:r>
      <w:r>
        <w:t>分布</w:t>
      </w:r>
      <w:r>
        <w:rPr>
          <w:rFonts w:hint="eastAsia"/>
        </w:rPr>
        <w:t>，有少量的桉分布</w:t>
      </w:r>
      <w:r>
        <w:rPr>
          <w:rFonts w:hint="eastAsia"/>
          <w:lang w:eastAsia="zh-CN"/>
        </w:rPr>
        <w:t>，</w:t>
      </w:r>
      <w:r>
        <w:rPr>
          <w:rFonts w:hint="eastAsia"/>
          <w:lang w:val="en-US" w:eastAsia="zh-CN"/>
        </w:rPr>
        <w:t>在评价区内道路及工业场地附近分布</w:t>
      </w:r>
      <w:r>
        <w:t>。森林</w:t>
      </w:r>
      <w:r>
        <w:rPr>
          <w:rFonts w:hint="eastAsia"/>
          <w:lang w:eastAsia="zh-CN"/>
        </w:rPr>
        <w:t>生态系统</w:t>
      </w:r>
      <w:r>
        <w:t>群落垂直结构一般由乔木层、灌木层和草本层组成。评价区内的森林生态系统相对稳定。</w:t>
      </w:r>
    </w:p>
    <w:p w14:paraId="009DD2DA">
      <w:pPr>
        <w:pStyle w:val="41"/>
        <w:bidi w:val="0"/>
        <w:rPr>
          <w:rFonts w:hint="eastAsia"/>
          <w:b/>
          <w:bCs/>
          <w:lang w:val="en-US" w:eastAsia="zh-CN"/>
        </w:rPr>
      </w:pPr>
      <w:r>
        <w:rPr>
          <w:rFonts w:hint="eastAsia"/>
          <w:b/>
          <w:bCs/>
          <w:lang w:val="en-US" w:eastAsia="zh-CN"/>
        </w:rPr>
        <w:t>（2）灌丛生态系统</w:t>
      </w:r>
    </w:p>
    <w:p w14:paraId="2373833D">
      <w:pPr>
        <w:pStyle w:val="41"/>
        <w:bidi w:val="0"/>
      </w:pPr>
      <w:r>
        <w:rPr>
          <w:rFonts w:hint="eastAsia"/>
        </w:rPr>
        <w:t>灌丛生态系统相比森林生态系统的空间结构和营养链式结构简单，评价范围灌丛生态系统分布广泛。</w:t>
      </w:r>
      <w:r>
        <w:t>灌木植株通常为簇生，无明显主干，具有种类多、分布广、生产力高、生命力强等特点。灌丛生态系统的生态服务功能主要包括有机质储存、涵养水源、保持水土、固碳释氧、净化空气和美学观赏等。</w:t>
      </w:r>
    </w:p>
    <w:p w14:paraId="10E79FA1">
      <w:pPr>
        <w:pStyle w:val="41"/>
        <w:bidi w:val="0"/>
        <w:rPr>
          <w:rFonts w:hint="default"/>
          <w:lang w:val="en-US" w:eastAsia="zh-CN"/>
        </w:rPr>
      </w:pPr>
      <w:r>
        <w:rPr>
          <w:rFonts w:hint="eastAsia"/>
        </w:rPr>
        <w:t>评价区内</w:t>
      </w:r>
      <w:r>
        <w:rPr>
          <w:rFonts w:hint="eastAsia"/>
          <w:lang w:val="en-US" w:eastAsia="zh-CN"/>
        </w:rPr>
        <w:t>灌丛</w:t>
      </w:r>
      <w:r>
        <w:rPr>
          <w:rFonts w:hint="eastAsia"/>
        </w:rPr>
        <w:t>群落的面积为</w:t>
      </w:r>
      <w:r>
        <w:rPr>
          <w:rFonts w:hint="eastAsia"/>
          <w:lang w:val="en-US" w:eastAsia="zh-CN"/>
        </w:rPr>
        <w:t>60.35</w:t>
      </w:r>
      <w:r>
        <w:rPr>
          <w:rFonts w:hint="eastAsia"/>
        </w:rPr>
        <w:t>hm²，占评价区总面积</w:t>
      </w:r>
      <w:r>
        <w:rPr>
          <w:rFonts w:hint="eastAsia"/>
          <w:lang w:val="en-US" w:eastAsia="zh-CN"/>
        </w:rPr>
        <w:t>26.02</w:t>
      </w:r>
      <w:r>
        <w:rPr>
          <w:rFonts w:hint="eastAsia"/>
        </w:rPr>
        <w:t>%，在评价区内</w:t>
      </w:r>
      <w:r>
        <w:rPr>
          <w:rFonts w:hint="eastAsia"/>
          <w:lang w:val="en-US" w:eastAsia="zh-CN"/>
        </w:rPr>
        <w:t>较</w:t>
      </w:r>
      <w:r>
        <w:rPr>
          <w:rFonts w:hint="eastAsia"/>
        </w:rPr>
        <w:t>大面积分布</w:t>
      </w:r>
      <w:r>
        <w:t>。</w:t>
      </w:r>
      <w:r>
        <w:rPr>
          <w:rFonts w:hint="eastAsia"/>
          <w:lang w:val="en-US" w:eastAsia="zh-CN"/>
        </w:rPr>
        <w:t>灌丛</w:t>
      </w:r>
      <w:r>
        <w:rPr>
          <w:rFonts w:hint="eastAsia"/>
        </w:rPr>
        <w:t>群落结构</w:t>
      </w:r>
      <w:r>
        <w:rPr>
          <w:rFonts w:hint="eastAsia"/>
          <w:lang w:val="en-US" w:eastAsia="zh-CN"/>
        </w:rPr>
        <w:t>较为</w:t>
      </w:r>
      <w:r>
        <w:rPr>
          <w:rFonts w:hint="eastAsia"/>
        </w:rPr>
        <w:t>简单，评价区内</w:t>
      </w:r>
      <w:r>
        <w:rPr>
          <w:rFonts w:hint="eastAsia"/>
          <w:lang w:val="en-US" w:eastAsia="zh-CN"/>
        </w:rPr>
        <w:t>灌丛</w:t>
      </w:r>
      <w:r>
        <w:rPr>
          <w:rFonts w:hint="eastAsia"/>
        </w:rPr>
        <w:t>类型主要</w:t>
      </w:r>
      <w:r>
        <w:rPr>
          <w:rFonts w:hint="eastAsia"/>
          <w:lang w:val="en-US" w:eastAsia="zh-CN"/>
        </w:rPr>
        <w:t>由锥连栎组成</w:t>
      </w:r>
      <w:r>
        <w:rPr>
          <w:rFonts w:hint="eastAsia"/>
        </w:rPr>
        <w:t>。</w:t>
      </w:r>
    </w:p>
    <w:p w14:paraId="12C9ACC5">
      <w:pPr>
        <w:pStyle w:val="41"/>
        <w:bidi w:val="0"/>
        <w:rPr>
          <w:b/>
          <w:bCs/>
        </w:rPr>
      </w:pPr>
      <w:r>
        <w:rPr>
          <w:rFonts w:hint="eastAsia"/>
          <w:b/>
          <w:bCs/>
          <w:lang w:eastAsia="zh-CN"/>
        </w:rPr>
        <w:t>（</w:t>
      </w:r>
      <w:r>
        <w:rPr>
          <w:rFonts w:hint="eastAsia"/>
          <w:b/>
          <w:bCs/>
          <w:lang w:val="en-US" w:eastAsia="zh-CN"/>
        </w:rPr>
        <w:t>3）</w:t>
      </w:r>
      <w:r>
        <w:rPr>
          <w:rFonts w:hint="eastAsia"/>
          <w:b/>
          <w:bCs/>
        </w:rPr>
        <w:t>草地</w:t>
      </w:r>
      <w:r>
        <w:rPr>
          <w:b/>
          <w:bCs/>
        </w:rPr>
        <w:t>生态系统</w:t>
      </w:r>
    </w:p>
    <w:p w14:paraId="5DF5AF92">
      <w:pPr>
        <w:pStyle w:val="41"/>
        <w:bidi w:val="0"/>
      </w:pPr>
      <w:r>
        <w:rPr>
          <w:rFonts w:hint="eastAsia"/>
        </w:rPr>
        <w:t>草地生态系统是灌丛群落与其环境在功能流的作用下形成一定结构、功能和自调控的自然综合体，是评价范围所属区域特殊的气候条件所形成的一种生态系统。</w:t>
      </w:r>
    </w:p>
    <w:p w14:paraId="355D621C">
      <w:pPr>
        <w:pStyle w:val="41"/>
        <w:bidi w:val="0"/>
      </w:pPr>
      <w:r>
        <w:rPr>
          <w:rFonts w:hint="eastAsia"/>
        </w:rPr>
        <w:t>评价区内草地群落的面积为</w:t>
      </w:r>
      <w:r>
        <w:rPr>
          <w:rFonts w:hint="eastAsia"/>
          <w:lang w:val="en-US" w:eastAsia="zh-CN"/>
        </w:rPr>
        <w:t>1.27</w:t>
      </w:r>
      <w:r>
        <w:rPr>
          <w:rFonts w:hint="eastAsia"/>
        </w:rPr>
        <w:t>hm²，占评价区总面积</w:t>
      </w:r>
      <w:r>
        <w:rPr>
          <w:rFonts w:hint="eastAsia"/>
          <w:lang w:val="en-US" w:eastAsia="zh-CN"/>
        </w:rPr>
        <w:t>0.55</w:t>
      </w:r>
      <w:r>
        <w:rPr>
          <w:rFonts w:hint="eastAsia"/>
        </w:rPr>
        <w:t>%，在评价区道路两侧、荒地及农田附近</w:t>
      </w:r>
      <w:r>
        <w:rPr>
          <w:rFonts w:hint="eastAsia"/>
          <w:lang w:val="en-US" w:eastAsia="zh-CN"/>
        </w:rPr>
        <w:t>分布</w:t>
      </w:r>
      <w:r>
        <w:t>。</w:t>
      </w:r>
      <w:r>
        <w:rPr>
          <w:rFonts w:hint="eastAsia"/>
        </w:rPr>
        <w:t>草地群落结构</w:t>
      </w:r>
      <w:r>
        <w:rPr>
          <w:rFonts w:hint="eastAsia"/>
          <w:lang w:eastAsia="zh-CN"/>
        </w:rPr>
        <w:t>单</w:t>
      </w:r>
      <w:r>
        <w:rPr>
          <w:rFonts w:hint="eastAsia"/>
        </w:rPr>
        <w:t>一，评价区内草地类型主要为</w:t>
      </w:r>
      <w:r>
        <w:rPr>
          <w:rFonts w:hint="eastAsia"/>
          <w:lang w:val="en-US" w:eastAsia="zh-CN"/>
        </w:rPr>
        <w:t>拂子茅、艾</w:t>
      </w:r>
      <w:r>
        <w:rPr>
          <w:rFonts w:hint="eastAsia"/>
        </w:rPr>
        <w:t>等。</w:t>
      </w:r>
    </w:p>
    <w:p w14:paraId="5A899F7E">
      <w:pPr>
        <w:pStyle w:val="41"/>
        <w:bidi w:val="0"/>
        <w:rPr>
          <w:rFonts w:hint="eastAsia"/>
        </w:rPr>
      </w:pPr>
      <w:r>
        <w:rPr>
          <w:rFonts w:hint="eastAsia"/>
        </w:rPr>
        <w:t>评价范围草地生态系统受自然条件影响强烈，植被类型单一，群落结构简单，草地动植物种类较少。草地生态系统以多年生草本植物占优势，具有耐旱、防风、固沙、保土、调节气候、净化空气、涵养水源等生态功能。</w:t>
      </w:r>
    </w:p>
    <w:p w14:paraId="0AB68CB9">
      <w:pPr>
        <w:pStyle w:val="41"/>
        <w:bidi w:val="0"/>
        <w:rPr>
          <w:rFonts w:hint="eastAsia"/>
          <w:b/>
          <w:bCs/>
          <w:lang w:val="en-US" w:eastAsia="zh-CN"/>
        </w:rPr>
      </w:pPr>
      <w:r>
        <w:rPr>
          <w:rFonts w:hint="eastAsia"/>
          <w:b/>
          <w:bCs/>
          <w:lang w:val="en-US" w:eastAsia="zh-CN"/>
        </w:rPr>
        <w:t>（4）湿地生态系统</w:t>
      </w:r>
    </w:p>
    <w:p w14:paraId="73A7E996">
      <w:pPr>
        <w:pStyle w:val="41"/>
        <w:bidi w:val="0"/>
      </w:pPr>
      <w:r>
        <w:t>湿地生态系统兼具</w:t>
      </w:r>
      <w:r>
        <w:rPr>
          <w:rFonts w:hint="eastAsia"/>
        </w:rPr>
        <w:t>着</w:t>
      </w:r>
      <w:r>
        <w:t>丰富的陆生和水生动植物资源，形成</w:t>
      </w:r>
      <w:r>
        <w:rPr>
          <w:rFonts w:hint="eastAsia"/>
          <w:lang w:eastAsia="zh-CN"/>
        </w:rPr>
        <w:t>了其他</w:t>
      </w:r>
      <w:r>
        <w:t>任何单一生态系统都无法比拟的天然基因库和独特的生物环境</w:t>
      </w:r>
      <w:r>
        <w:rPr>
          <w:rFonts w:hint="eastAsia"/>
        </w:rPr>
        <w:t>。评价范围内河流等水域环境稳定。通过影像解译，</w:t>
      </w:r>
      <w:r>
        <w:t>湿地生态系统在评价区内面积为</w:t>
      </w:r>
      <w:r>
        <w:rPr>
          <w:rFonts w:hint="eastAsia"/>
          <w:lang w:val="en-US" w:eastAsia="zh-CN"/>
        </w:rPr>
        <w:t>2.05</w:t>
      </w:r>
      <w:r>
        <w:rPr>
          <w:rFonts w:hint="eastAsia"/>
        </w:rPr>
        <w:t>hm</w:t>
      </w:r>
      <w:r>
        <w:rPr>
          <w:vertAlign w:val="superscript"/>
        </w:rPr>
        <w:t>2</w:t>
      </w:r>
      <w:r>
        <w:rPr>
          <w:rFonts w:hint="eastAsia"/>
        </w:rPr>
        <w:t>，</w:t>
      </w:r>
      <w:r>
        <w:t>占比</w:t>
      </w:r>
      <w:r>
        <w:rPr>
          <w:rFonts w:hint="eastAsia"/>
        </w:rPr>
        <w:t>为</w:t>
      </w:r>
      <w:r>
        <w:rPr>
          <w:rFonts w:hint="eastAsia"/>
          <w:lang w:val="en-US" w:eastAsia="zh-CN"/>
        </w:rPr>
        <w:t>0.88</w:t>
      </w:r>
      <w:r>
        <w:t>%</w:t>
      </w:r>
      <w:r>
        <w:rPr>
          <w:rFonts w:hint="eastAsia"/>
        </w:rPr>
        <w:t>。</w:t>
      </w:r>
      <w:r>
        <w:t>评价区</w:t>
      </w:r>
      <w:r>
        <w:rPr>
          <w:rFonts w:hint="eastAsia"/>
        </w:rPr>
        <w:t>内湿地生态系统面积较小，人为活动频繁，湿地生态系统植被类型及群系组成简单，植物多以抗逆性较强的种类为主。</w:t>
      </w:r>
    </w:p>
    <w:p w14:paraId="78DE8876">
      <w:pPr>
        <w:pStyle w:val="41"/>
        <w:bidi w:val="0"/>
        <w:rPr>
          <w:rFonts w:hint="default"/>
          <w:lang w:val="en-US" w:eastAsia="zh-CN"/>
        </w:rPr>
      </w:pPr>
      <w:r>
        <w:rPr>
          <w:rFonts w:hint="eastAsia"/>
        </w:rPr>
        <w:t>评价区域</w:t>
      </w:r>
      <w:r>
        <w:rPr>
          <w:rFonts w:hint="eastAsia"/>
          <w:lang w:val="en-US" w:eastAsia="zh-CN"/>
        </w:rPr>
        <w:t>水库</w:t>
      </w:r>
      <w:r>
        <w:rPr>
          <w:rFonts w:hint="eastAsia"/>
        </w:rPr>
        <w:t>等湿地环境受人为活动及自然条件影响强烈，湿地生态系统结构简单，湿地植被类型单一，湿地动植物种类及数量较少。湿地生态系统</w:t>
      </w:r>
      <w:r>
        <w:t>特殊的土壤和气候提供了复杂且完备的动植物群落，它对于保护物种、维持生物多样性具有难以替代的生态价值。</w:t>
      </w:r>
    </w:p>
    <w:p w14:paraId="6CB87E03">
      <w:pPr>
        <w:pStyle w:val="41"/>
        <w:bidi w:val="0"/>
        <w:rPr>
          <w:b/>
          <w:bCs/>
        </w:rPr>
      </w:pPr>
      <w:r>
        <w:rPr>
          <w:rFonts w:hint="eastAsia"/>
          <w:b/>
          <w:bCs/>
          <w:lang w:val="en-US" w:eastAsia="zh-CN"/>
        </w:rPr>
        <w:t>（5）农田</w:t>
      </w:r>
      <w:r>
        <w:rPr>
          <w:b/>
          <w:bCs/>
        </w:rPr>
        <w:t>生态系统</w:t>
      </w:r>
    </w:p>
    <w:p w14:paraId="6A23EF48">
      <w:pPr>
        <w:pStyle w:val="41"/>
        <w:bidi w:val="0"/>
      </w:pPr>
      <w:bookmarkStart w:id="347" w:name="_Toc118058184"/>
      <w:bookmarkEnd w:id="347"/>
      <w:r>
        <w:t>农田生态系统为人工干预下的景观生态系统，其主要特点是人在生态系统中的作用非常关键，人的管理作用消失，农业生态系统就会很快退化，原来占优势地位的农作物就会被杂草和其他植物所取代。该生态系统中的动植物种类较少，群落的结构单一。</w:t>
      </w:r>
    </w:p>
    <w:p w14:paraId="294225A6">
      <w:pPr>
        <w:pStyle w:val="41"/>
        <w:bidi w:val="0"/>
      </w:pPr>
      <w:r>
        <w:t>评价区域内</w:t>
      </w:r>
      <w:bookmarkStart w:id="348" w:name="_Hlk141535493"/>
      <w:r>
        <w:t>农田生态系统</w:t>
      </w:r>
      <w:bookmarkEnd w:id="348"/>
      <w:r>
        <w:t>组成主要为</w:t>
      </w:r>
      <w:r>
        <w:rPr>
          <w:rFonts w:hint="eastAsia"/>
        </w:rPr>
        <w:t>耕地、园地</w:t>
      </w:r>
      <w:r>
        <w:t>，</w:t>
      </w:r>
      <w:r>
        <w:rPr>
          <w:rFonts w:hint="eastAsia"/>
          <w:lang w:val="en-US" w:eastAsia="zh-CN"/>
        </w:rPr>
        <w:t>在评价区呈片状大片分布</w:t>
      </w:r>
      <w:r>
        <w:t>，在评价区内面积为</w:t>
      </w:r>
      <w:r>
        <w:rPr>
          <w:rFonts w:hint="eastAsia"/>
          <w:lang w:val="en-US" w:eastAsia="zh-CN"/>
        </w:rPr>
        <w:t>97.96</w:t>
      </w:r>
      <w:r>
        <w:rPr>
          <w:rFonts w:hint="eastAsia"/>
        </w:rPr>
        <w:t>hm</w:t>
      </w:r>
      <w:r>
        <w:rPr>
          <w:rFonts w:hint="eastAsia"/>
          <w:vertAlign w:val="superscript"/>
        </w:rPr>
        <w:t>2</w:t>
      </w:r>
      <w:r>
        <w:rPr>
          <w:rFonts w:hint="eastAsia"/>
        </w:rPr>
        <w:t>，</w:t>
      </w:r>
      <w:r>
        <w:t>占比</w:t>
      </w:r>
      <w:r>
        <w:rPr>
          <w:rFonts w:hint="eastAsia"/>
        </w:rPr>
        <w:t>为</w:t>
      </w:r>
      <w:r>
        <w:rPr>
          <w:rFonts w:hint="eastAsia"/>
          <w:lang w:val="en-US" w:eastAsia="zh-CN"/>
        </w:rPr>
        <w:t>42.22</w:t>
      </w:r>
      <w:r>
        <w:t>%。该系统的主要作用是为当地居民提供食物，并为当地居民提高经济收入，但对于保持水土流失及防止环境污染的作用是负面的。</w:t>
      </w:r>
      <w:r>
        <w:rPr>
          <w:rFonts w:hint="eastAsia"/>
        </w:rPr>
        <w:t>评价区内农田生态系统栽培的农业植被主要为玉米、</w:t>
      </w:r>
      <w:r>
        <w:rPr>
          <w:rFonts w:hint="eastAsia"/>
          <w:lang w:val="en-US" w:eastAsia="zh-CN"/>
        </w:rPr>
        <w:t>红薯、桃、李</w:t>
      </w:r>
      <w:r>
        <w:rPr>
          <w:rFonts w:hint="eastAsia"/>
        </w:rPr>
        <w:t>等</w:t>
      </w:r>
      <w:r>
        <w:t>。</w:t>
      </w:r>
    </w:p>
    <w:p w14:paraId="1981CBAD">
      <w:pPr>
        <w:pStyle w:val="41"/>
        <w:bidi w:val="0"/>
        <w:rPr>
          <w:b/>
          <w:bCs/>
        </w:rPr>
      </w:pPr>
      <w:r>
        <w:rPr>
          <w:rFonts w:hint="eastAsia"/>
          <w:b/>
          <w:bCs/>
          <w:lang w:val="en-US" w:eastAsia="zh-CN"/>
        </w:rPr>
        <w:t>（6）城镇</w:t>
      </w:r>
      <w:r>
        <w:rPr>
          <w:b/>
          <w:bCs/>
        </w:rPr>
        <w:t>生态系统</w:t>
      </w:r>
    </w:p>
    <w:p w14:paraId="5C4C189D">
      <w:pPr>
        <w:pStyle w:val="41"/>
        <w:bidi w:val="0"/>
        <w:rPr>
          <w:rFonts w:hint="default"/>
        </w:rPr>
      </w:pPr>
      <w:r>
        <w:rPr>
          <w:rFonts w:hint="eastAsia"/>
          <w:lang w:val="en-US" w:eastAsia="zh-CN"/>
        </w:rPr>
        <w:t>城镇生态系统是一个综合系统，由自然环境、社会经济和文化科学技术共同组成，它包括作为城市发展基础的房屋建筑和其他设施，以及作为城市主体的居民及其活动，在更大程度上属于人工系统，与自然生态系统在结构和功能上都存在明显差别。城镇生态系统在评价区内面积占比非常小，其面积为59.34h</w:t>
      </w:r>
      <w:r>
        <w:rPr>
          <w:rFonts w:hint="default"/>
          <w:lang w:val="en-US" w:eastAsia="zh-CN"/>
        </w:rPr>
        <w:t>m</w:t>
      </w:r>
      <w:r>
        <w:rPr>
          <w:rFonts w:hint="eastAsia"/>
          <w:lang w:val="en-US" w:eastAsia="zh-CN"/>
        </w:rPr>
        <w:t>²，占比为25.58</w:t>
      </w:r>
      <w:r>
        <w:rPr>
          <w:rFonts w:hint="default"/>
          <w:lang w:val="en-US" w:eastAsia="zh-CN"/>
        </w:rPr>
        <w:t>%</w:t>
      </w:r>
      <w:r>
        <w:rPr>
          <w:rFonts w:hint="eastAsia"/>
          <w:lang w:val="en-US" w:eastAsia="zh-CN"/>
        </w:rPr>
        <w:t>。</w:t>
      </w:r>
    </w:p>
    <w:p w14:paraId="3E838C15">
      <w:pPr>
        <w:pStyle w:val="41"/>
        <w:bidi w:val="0"/>
        <w:rPr>
          <w:rFonts w:hint="default"/>
        </w:rPr>
      </w:pPr>
      <w:r>
        <w:rPr>
          <w:rFonts w:hint="eastAsia"/>
          <w:lang w:val="en-US" w:eastAsia="zh-CN"/>
        </w:rPr>
        <w:t>评价范围内城镇生态系统主要为道路、工业采矿场地等，</w:t>
      </w:r>
      <w:r>
        <w:rPr>
          <w:rFonts w:hint="eastAsia"/>
        </w:rPr>
        <w:t>其植被主要在</w:t>
      </w:r>
      <w:r>
        <w:t>公路路肩边缘生长</w:t>
      </w:r>
      <w:r>
        <w:rPr>
          <w:rFonts w:hint="eastAsia"/>
        </w:rPr>
        <w:t>，</w:t>
      </w:r>
      <w:r>
        <w:t>有</w:t>
      </w:r>
      <w:r>
        <w:rPr>
          <w:rFonts w:hint="eastAsia"/>
          <w:lang w:val="en-US" w:eastAsia="zh-CN"/>
        </w:rPr>
        <w:t>拂子茅、艾</w:t>
      </w:r>
      <w:r>
        <w:t>等</w:t>
      </w:r>
      <w:r>
        <w:rPr>
          <w:rFonts w:hint="eastAsia"/>
        </w:rPr>
        <w:t>。评价范围城镇生态系统内动植物种类及数量较少，城镇生态系统的功能主要包括生物生产和非生物生产等。</w:t>
      </w:r>
    </w:p>
    <w:bookmarkEnd w:id="346"/>
    <w:p w14:paraId="74FA08EB">
      <w:pPr>
        <w:pStyle w:val="4"/>
        <w:bidi w:val="0"/>
      </w:pPr>
      <w:bookmarkStart w:id="349" w:name="_Toc194065482"/>
      <w:r>
        <w:t>景观</w:t>
      </w:r>
      <w:r>
        <w:rPr>
          <w:rFonts w:hint="eastAsia"/>
        </w:rPr>
        <w:t>现状调查</w:t>
      </w:r>
      <w:bookmarkEnd w:id="349"/>
    </w:p>
    <w:p w14:paraId="2E84802A">
      <w:pPr>
        <w:pStyle w:val="41"/>
        <w:bidi w:val="0"/>
      </w:pPr>
      <w:r>
        <w:t>景观格局变化对生物多样性产生直接而强烈影响，其主要原因是生境丧失和破碎化。景观指数是能够反映景观格局特征的定量化指标，分为三个级别，代表三种不同的应用尺度，即斑块级别指数、斑块类型级别指数和景观级别指数，可根据需要选取相应的指标，采用 FRAGSTATS 等景观格局分析软件进行计算分析。常用的景观指数如下：</w:t>
      </w:r>
    </w:p>
    <w:p w14:paraId="13D94DE7">
      <w:pPr>
        <w:pStyle w:val="41"/>
        <w:bidi w:val="0"/>
      </w:pPr>
      <w:r>
        <w:t>斑块类型面积Class area（CA</w:t>
      </w:r>
      <w:r>
        <w:rPr>
          <w:rFonts w:hint="eastAsia"/>
          <w:lang w:eastAsia="zh-CN"/>
        </w:rPr>
        <w:t>）</w:t>
      </w:r>
      <w:r>
        <w:t>：斑块类型面积是度量其他指标的基础，其值的大小影响以此斑块类型作为生境的物种数量及丰度。</w:t>
      </w:r>
    </w:p>
    <w:p w14:paraId="6CEE5A52">
      <w:pPr>
        <w:pStyle w:val="41"/>
        <w:bidi w:val="0"/>
      </w:pPr>
      <w:r>
        <w:t>斑块所占景观面积比例Percent of landscape（PLAND）：某一斑块类型占整个景观面积的百分比，是确定优势景观元素重要依据，也是决定景观中优势种和数量等生态系统指标的重要因素。</w:t>
      </w:r>
    </w:p>
    <w:p w14:paraId="5F53AD23">
      <w:pPr>
        <w:pStyle w:val="41"/>
        <w:bidi w:val="0"/>
      </w:pPr>
      <w:r>
        <w:t>最大斑块指数Largest patch index（LPI）：某一斑块类型中最大斑块占整个景观的百分比，用于确定景观中的优势斑块，可间接反映景观变化受人类活动的干扰程度。</w:t>
      </w:r>
    </w:p>
    <w:p w14:paraId="1BF20C27">
      <w:pPr>
        <w:pStyle w:val="41"/>
        <w:bidi w:val="0"/>
      </w:pPr>
      <w:r>
        <w:t>香农多样性指数Shannon's diversity index（SHDI）：反映景观类型的多样性和异质性，对景观中各斑块类型非均衡分布状况较敏感，值增大表明斑块类型增加或各斑块类型呈均衡趋势分布。</w:t>
      </w:r>
    </w:p>
    <w:p w14:paraId="76D2E72B">
      <w:pPr>
        <w:pStyle w:val="41"/>
        <w:bidi w:val="0"/>
      </w:pPr>
      <w:r>
        <w:t>蔓延度指数Contagion index（CONTAG</w:t>
      </w:r>
      <w:r>
        <w:rPr>
          <w:rFonts w:hint="eastAsia"/>
          <w:lang w:eastAsia="zh-CN"/>
        </w:rPr>
        <w:t>）</w:t>
      </w:r>
      <w:r>
        <w:t>：高蔓延度值表明景观中的某种优势斑块类型形成了良好的连接性，反之则表明景观具有多种要素的密集格局</w:t>
      </w:r>
      <w:r>
        <w:rPr>
          <w:rFonts w:hint="eastAsia"/>
          <w:lang w:eastAsia="zh-CN"/>
        </w:rPr>
        <w:t>，</w:t>
      </w:r>
      <w:r>
        <w:t>破碎化程度较高。</w:t>
      </w:r>
    </w:p>
    <w:p w14:paraId="7C612883">
      <w:pPr>
        <w:pStyle w:val="41"/>
        <w:bidi w:val="0"/>
      </w:pPr>
      <w:r>
        <w:t>散布与并列指数Interspersion juxtaposition index（IJI）：反映斑块类型的隔离分布情况，值越小表明斑块与相同类型斑块相邻越多，而与其他类型斑块相邻的越少。</w:t>
      </w:r>
    </w:p>
    <w:p w14:paraId="6E704CEF">
      <w:pPr>
        <w:pStyle w:val="41"/>
        <w:bidi w:val="0"/>
      </w:pPr>
      <w:r>
        <w:t>聚集度指数Aggregation index（A</w:t>
      </w:r>
      <w:r>
        <w:rPr>
          <w:rFonts w:hint="eastAsia"/>
        </w:rPr>
        <w:t>I</w:t>
      </w:r>
      <w:r>
        <w:t>）：基于栅格数量测度景观或者某种斑块类型的聚集程度。</w:t>
      </w:r>
    </w:p>
    <w:p w14:paraId="20E37345">
      <w:pPr>
        <w:pStyle w:val="41"/>
        <w:bidi w:val="0"/>
      </w:pPr>
      <w:r>
        <w:t>评价区的景观类型包括</w:t>
      </w:r>
      <w:r>
        <w:rPr>
          <w:rFonts w:hint="eastAsia"/>
          <w:lang w:val="en-US" w:eastAsia="zh-CN"/>
        </w:rPr>
        <w:t>森林、灌丛、</w:t>
      </w:r>
      <w:r>
        <w:rPr>
          <w:rFonts w:hint="eastAsia"/>
        </w:rPr>
        <w:t>草地、湿地</w:t>
      </w:r>
      <w:r>
        <w:rPr>
          <w:rFonts w:hint="eastAsia"/>
          <w:lang w:eastAsia="zh-CN"/>
        </w:rPr>
        <w:t>、</w:t>
      </w:r>
      <w:r>
        <w:rPr>
          <w:rFonts w:hint="eastAsia"/>
          <w:lang w:val="en-US" w:eastAsia="zh-CN"/>
        </w:rPr>
        <w:t>农田、城镇</w:t>
      </w:r>
      <w:r>
        <w:rPr>
          <w:rFonts w:hint="eastAsia"/>
        </w:rPr>
        <w:t>等</w:t>
      </w:r>
      <w:r>
        <w:rPr>
          <w:rFonts w:hint="eastAsia"/>
          <w:lang w:val="en-US" w:eastAsia="zh-CN"/>
        </w:rPr>
        <w:t>6</w:t>
      </w:r>
      <w:r>
        <w:rPr>
          <w:rFonts w:hint="eastAsia"/>
        </w:rPr>
        <w:t>个类型。运用</w:t>
      </w:r>
      <w:r>
        <w:t>ArcGIS</w:t>
      </w:r>
      <w:r>
        <w:rPr>
          <w:rFonts w:hint="eastAsia"/>
        </w:rPr>
        <w:t>地理信息系统软件，根据野外植被调查情况，利用</w:t>
      </w:r>
      <w:r>
        <w:t>ArcGIS</w:t>
      </w:r>
      <w:r>
        <w:rPr>
          <w:rFonts w:hint="eastAsia"/>
        </w:rPr>
        <w:t>和</w:t>
      </w:r>
      <w:r>
        <w:t>Fragstats的统计分析功能可以得到各类景观要素的指数信息，结果见下表。</w:t>
      </w:r>
    </w:p>
    <w:p w14:paraId="433DD5AB">
      <w:pPr>
        <w:pStyle w:val="19"/>
        <w:rPr>
          <w:highlight w:val="none"/>
        </w:rPr>
      </w:pPr>
      <w:bookmarkStart w:id="350" w:name="_Hlk137202435"/>
      <w:r>
        <w:rPr>
          <w:highlight w:val="none"/>
        </w:rPr>
        <w:t>表</w:t>
      </w:r>
      <w:r>
        <w:rPr>
          <w:rFonts w:hint="eastAsia"/>
          <w:highlight w:val="none"/>
          <w:lang w:val="en-US" w:eastAsia="zh-CN"/>
        </w:rPr>
        <w:t>5.2-5</w:t>
      </w:r>
      <w:r>
        <w:rPr>
          <w:highlight w:val="none"/>
        </w:rPr>
        <w:t>评价范围景观指数统计表</w:t>
      </w:r>
    </w:p>
    <w:bookmarkEnd w:id="350"/>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
        <w:gridCol w:w="1389"/>
        <w:gridCol w:w="1872"/>
        <w:gridCol w:w="1302"/>
        <w:gridCol w:w="1303"/>
        <w:gridCol w:w="1373"/>
      </w:tblGrid>
      <w:tr w14:paraId="2BBFFB50">
        <w:tblPrEx>
          <w:tblCellMar>
            <w:top w:w="0" w:type="dxa"/>
            <w:left w:w="108" w:type="dxa"/>
            <w:bottom w:w="0" w:type="dxa"/>
            <w:right w:w="108" w:type="dxa"/>
          </w:tblCellMar>
        </w:tblPrEx>
        <w:trPr>
          <w:trHeight w:val="397" w:hRule="atLeast"/>
          <w:jc w:val="center"/>
        </w:trPr>
        <w:tc>
          <w:tcPr>
            <w:tcW w:w="756" w:type="pct"/>
            <w:shd w:val="clear" w:color="auto" w:fill="auto"/>
            <w:noWrap/>
            <w:vAlign w:val="center"/>
          </w:tcPr>
          <w:p w14:paraId="2F704E0F">
            <w:pPr>
              <w:pStyle w:val="43"/>
              <w:bidi w:val="0"/>
              <w:rPr>
                <w:b/>
                <w:bCs/>
              </w:rPr>
            </w:pPr>
            <w:r>
              <w:rPr>
                <w:b/>
                <w:bCs/>
              </w:rPr>
              <w:t>景观类型</w:t>
            </w:r>
          </w:p>
        </w:tc>
        <w:tc>
          <w:tcPr>
            <w:tcW w:w="814" w:type="pct"/>
            <w:shd w:val="clear" w:color="auto" w:fill="auto"/>
            <w:noWrap/>
            <w:vAlign w:val="center"/>
          </w:tcPr>
          <w:p w14:paraId="2EC8315E">
            <w:pPr>
              <w:pStyle w:val="43"/>
              <w:bidi w:val="0"/>
              <w:rPr>
                <w:b/>
                <w:bCs/>
              </w:rPr>
            </w:pPr>
            <w:r>
              <w:rPr>
                <w:b/>
                <w:bCs/>
              </w:rPr>
              <w:t>CA（hm</w:t>
            </w:r>
            <w:r>
              <w:rPr>
                <w:rFonts w:hint="eastAsia"/>
                <w:b/>
                <w:bCs/>
                <w:vertAlign w:val="superscript"/>
              </w:rPr>
              <w:t>2</w:t>
            </w:r>
            <w:r>
              <w:rPr>
                <w:rFonts w:hint="eastAsia"/>
                <w:b/>
                <w:bCs/>
                <w:vertAlign w:val="superscript"/>
                <w:lang w:eastAsia="zh-CN"/>
              </w:rPr>
              <w:t>)</w:t>
            </w:r>
          </w:p>
        </w:tc>
        <w:tc>
          <w:tcPr>
            <w:tcW w:w="1097" w:type="pct"/>
            <w:shd w:val="clear" w:color="auto" w:fill="auto"/>
            <w:noWrap/>
            <w:vAlign w:val="center"/>
          </w:tcPr>
          <w:p w14:paraId="5A78E46E">
            <w:pPr>
              <w:pStyle w:val="43"/>
              <w:bidi w:val="0"/>
              <w:rPr>
                <w:b/>
                <w:bCs/>
              </w:rPr>
            </w:pPr>
            <w:r>
              <w:rPr>
                <w:b/>
                <w:bCs/>
              </w:rPr>
              <w:t>PLAND（%</w:t>
            </w:r>
            <w:r>
              <w:rPr>
                <w:rFonts w:hint="eastAsia"/>
                <w:b/>
                <w:bCs/>
                <w:lang w:eastAsia="zh-CN"/>
              </w:rPr>
              <w:t>)</w:t>
            </w:r>
          </w:p>
        </w:tc>
        <w:tc>
          <w:tcPr>
            <w:tcW w:w="763" w:type="pct"/>
            <w:shd w:val="clear" w:color="auto" w:fill="auto"/>
            <w:noWrap/>
            <w:vAlign w:val="center"/>
          </w:tcPr>
          <w:p w14:paraId="7C7B6806">
            <w:pPr>
              <w:pStyle w:val="43"/>
              <w:bidi w:val="0"/>
              <w:rPr>
                <w:b/>
                <w:bCs/>
              </w:rPr>
            </w:pPr>
            <w:r>
              <w:rPr>
                <w:b/>
                <w:bCs/>
              </w:rPr>
              <w:t>LPI（%</w:t>
            </w:r>
            <w:r>
              <w:rPr>
                <w:rFonts w:hint="eastAsia"/>
                <w:b/>
                <w:bCs/>
                <w:lang w:eastAsia="zh-CN"/>
              </w:rPr>
              <w:t>)</w:t>
            </w:r>
          </w:p>
        </w:tc>
        <w:tc>
          <w:tcPr>
            <w:tcW w:w="763" w:type="pct"/>
            <w:shd w:val="clear" w:color="auto" w:fill="auto"/>
            <w:vAlign w:val="center"/>
          </w:tcPr>
          <w:p w14:paraId="26DBFE06">
            <w:pPr>
              <w:pStyle w:val="43"/>
              <w:bidi w:val="0"/>
              <w:rPr>
                <w:b/>
                <w:bCs/>
              </w:rPr>
            </w:pPr>
            <w:r>
              <w:rPr>
                <w:b/>
                <w:bCs/>
              </w:rPr>
              <w:t>IJI</w:t>
            </w:r>
          </w:p>
        </w:tc>
        <w:tc>
          <w:tcPr>
            <w:tcW w:w="804" w:type="pct"/>
            <w:shd w:val="clear" w:color="auto" w:fill="auto"/>
            <w:vAlign w:val="center"/>
          </w:tcPr>
          <w:p w14:paraId="32105B6A">
            <w:pPr>
              <w:pStyle w:val="43"/>
              <w:bidi w:val="0"/>
              <w:rPr>
                <w:b/>
                <w:bCs/>
              </w:rPr>
            </w:pPr>
            <w:r>
              <w:rPr>
                <w:b/>
                <w:bCs/>
              </w:rPr>
              <w:t>AI</w:t>
            </w:r>
          </w:p>
        </w:tc>
      </w:tr>
      <w:tr w14:paraId="6BE1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175F4ACE">
            <w:pPr>
              <w:pStyle w:val="43"/>
              <w:bidi w:val="0"/>
              <w:rPr>
                <w:rFonts w:hint="default"/>
                <w:lang w:val="en-US" w:eastAsia="zh-CN"/>
              </w:rPr>
            </w:pPr>
            <w:r>
              <w:rPr>
                <w:rFonts w:hint="eastAsia"/>
                <w:lang w:val="en-US" w:eastAsia="zh-CN"/>
              </w:rPr>
              <w:t>森林</w:t>
            </w:r>
          </w:p>
        </w:tc>
        <w:tc>
          <w:tcPr>
            <w:tcW w:w="1388" w:type="dxa"/>
            <w:shd w:val="clear" w:color="auto" w:fill="auto"/>
            <w:noWrap/>
            <w:vAlign w:val="bottom"/>
          </w:tcPr>
          <w:p w14:paraId="5C64D201">
            <w:pPr>
              <w:pStyle w:val="43"/>
              <w:bidi w:val="0"/>
              <w:rPr>
                <w:rFonts w:hint="default"/>
                <w:lang w:val="en-US" w:eastAsia="zh-CN"/>
              </w:rPr>
            </w:pPr>
            <w:r>
              <w:rPr>
                <w:rFonts w:hint="eastAsia"/>
                <w:lang w:val="en-US" w:eastAsia="zh-CN"/>
              </w:rPr>
              <w:t xml:space="preserve">11.01 </w:t>
            </w:r>
          </w:p>
        </w:tc>
        <w:tc>
          <w:tcPr>
            <w:tcW w:w="1870" w:type="dxa"/>
            <w:shd w:val="clear" w:color="auto" w:fill="auto"/>
            <w:noWrap/>
            <w:vAlign w:val="bottom"/>
          </w:tcPr>
          <w:p w14:paraId="1CFD8050">
            <w:pPr>
              <w:pStyle w:val="43"/>
              <w:bidi w:val="0"/>
              <w:rPr>
                <w:rFonts w:hint="default"/>
                <w:lang w:val="en-US" w:eastAsia="zh-CN"/>
              </w:rPr>
            </w:pPr>
            <w:r>
              <w:rPr>
                <w:rFonts w:hint="eastAsia"/>
                <w:lang w:val="en-US" w:eastAsia="zh-CN"/>
              </w:rPr>
              <w:t xml:space="preserve">4.75 </w:t>
            </w:r>
          </w:p>
        </w:tc>
        <w:tc>
          <w:tcPr>
            <w:tcW w:w="1302" w:type="dxa"/>
            <w:shd w:val="clear" w:color="auto" w:fill="auto"/>
            <w:noWrap/>
            <w:vAlign w:val="center"/>
          </w:tcPr>
          <w:p w14:paraId="7F19B649">
            <w:pPr>
              <w:pStyle w:val="43"/>
              <w:bidi w:val="0"/>
              <w:rPr>
                <w:rFonts w:hint="eastAsia"/>
                <w:lang w:val="en-US" w:eastAsia="zh-CN"/>
              </w:rPr>
            </w:pPr>
            <w:r>
              <w:rPr>
                <w:rFonts w:hint="eastAsia"/>
                <w:lang w:val="en-US" w:eastAsia="zh-CN"/>
              </w:rPr>
              <w:t xml:space="preserve">2.08 </w:t>
            </w:r>
          </w:p>
        </w:tc>
        <w:tc>
          <w:tcPr>
            <w:tcW w:w="1302" w:type="dxa"/>
            <w:shd w:val="clear" w:color="auto" w:fill="auto"/>
            <w:vAlign w:val="center"/>
          </w:tcPr>
          <w:p w14:paraId="7292FA87">
            <w:pPr>
              <w:pStyle w:val="43"/>
              <w:bidi w:val="0"/>
              <w:rPr>
                <w:rFonts w:hint="eastAsia"/>
                <w:lang w:val="en-US" w:eastAsia="zh-CN"/>
              </w:rPr>
            </w:pPr>
            <w:r>
              <w:rPr>
                <w:rFonts w:hint="eastAsia"/>
                <w:lang w:val="en-US" w:eastAsia="zh-CN"/>
              </w:rPr>
              <w:t xml:space="preserve">58.42 </w:t>
            </w:r>
          </w:p>
        </w:tc>
        <w:tc>
          <w:tcPr>
            <w:tcW w:w="1371" w:type="dxa"/>
            <w:shd w:val="clear" w:color="auto" w:fill="auto"/>
            <w:vAlign w:val="center"/>
          </w:tcPr>
          <w:p w14:paraId="437D9E1A">
            <w:pPr>
              <w:pStyle w:val="43"/>
              <w:bidi w:val="0"/>
              <w:rPr>
                <w:rFonts w:hint="eastAsia"/>
                <w:lang w:val="en-US" w:eastAsia="zh-CN"/>
              </w:rPr>
            </w:pPr>
            <w:r>
              <w:rPr>
                <w:rFonts w:hint="eastAsia"/>
                <w:lang w:val="en-US" w:eastAsia="zh-CN"/>
              </w:rPr>
              <w:t xml:space="preserve">94.08 </w:t>
            </w:r>
          </w:p>
        </w:tc>
      </w:tr>
      <w:tr w14:paraId="1CCC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141A2C5E">
            <w:pPr>
              <w:pStyle w:val="43"/>
              <w:bidi w:val="0"/>
              <w:rPr>
                <w:rFonts w:hint="eastAsia"/>
                <w:lang w:val="en-US" w:eastAsia="zh-CN"/>
              </w:rPr>
            </w:pPr>
            <w:r>
              <w:rPr>
                <w:rFonts w:hint="eastAsia"/>
                <w:lang w:val="en-US" w:eastAsia="zh-CN"/>
              </w:rPr>
              <w:t>灌丛</w:t>
            </w:r>
          </w:p>
        </w:tc>
        <w:tc>
          <w:tcPr>
            <w:tcW w:w="1388" w:type="dxa"/>
            <w:shd w:val="clear" w:color="auto" w:fill="auto"/>
            <w:noWrap/>
            <w:vAlign w:val="center"/>
          </w:tcPr>
          <w:p w14:paraId="3944201B">
            <w:pPr>
              <w:pStyle w:val="43"/>
              <w:bidi w:val="0"/>
              <w:rPr>
                <w:rFonts w:hint="eastAsia"/>
                <w:lang w:val="en-US" w:eastAsia="zh-CN"/>
              </w:rPr>
            </w:pPr>
            <w:r>
              <w:rPr>
                <w:rFonts w:hint="default"/>
                <w:lang w:val="en-US" w:eastAsia="zh-CN"/>
              </w:rPr>
              <w:t xml:space="preserve">60.35 </w:t>
            </w:r>
          </w:p>
        </w:tc>
        <w:tc>
          <w:tcPr>
            <w:tcW w:w="1870" w:type="dxa"/>
            <w:shd w:val="clear" w:color="auto" w:fill="auto"/>
            <w:noWrap/>
            <w:vAlign w:val="center"/>
          </w:tcPr>
          <w:p w14:paraId="54DFC310">
            <w:pPr>
              <w:pStyle w:val="43"/>
              <w:bidi w:val="0"/>
              <w:rPr>
                <w:rFonts w:hint="eastAsia"/>
                <w:lang w:val="en-US" w:eastAsia="zh-CN"/>
              </w:rPr>
            </w:pPr>
            <w:r>
              <w:rPr>
                <w:rFonts w:hint="default"/>
                <w:lang w:val="en-US" w:eastAsia="zh-CN"/>
              </w:rPr>
              <w:t xml:space="preserve">26.02 </w:t>
            </w:r>
          </w:p>
        </w:tc>
        <w:tc>
          <w:tcPr>
            <w:tcW w:w="1302" w:type="dxa"/>
            <w:shd w:val="clear" w:color="auto" w:fill="auto"/>
            <w:noWrap/>
            <w:vAlign w:val="center"/>
          </w:tcPr>
          <w:p w14:paraId="2D22A86D">
            <w:pPr>
              <w:pStyle w:val="43"/>
              <w:bidi w:val="0"/>
              <w:rPr>
                <w:rFonts w:hint="eastAsia"/>
                <w:lang w:val="en-US" w:eastAsia="zh-CN"/>
              </w:rPr>
            </w:pPr>
            <w:r>
              <w:rPr>
                <w:rFonts w:hint="eastAsia"/>
                <w:lang w:val="en-US" w:eastAsia="zh-CN"/>
              </w:rPr>
              <w:t xml:space="preserve">10.24 </w:t>
            </w:r>
          </w:p>
        </w:tc>
        <w:tc>
          <w:tcPr>
            <w:tcW w:w="1302" w:type="dxa"/>
            <w:shd w:val="clear" w:color="auto" w:fill="auto"/>
            <w:vAlign w:val="center"/>
          </w:tcPr>
          <w:p w14:paraId="55E64092">
            <w:pPr>
              <w:pStyle w:val="43"/>
              <w:bidi w:val="0"/>
              <w:rPr>
                <w:rFonts w:hint="eastAsia"/>
                <w:lang w:val="en-US" w:eastAsia="zh-CN"/>
              </w:rPr>
            </w:pPr>
            <w:r>
              <w:rPr>
                <w:rFonts w:hint="eastAsia"/>
                <w:lang w:val="en-US" w:eastAsia="zh-CN"/>
              </w:rPr>
              <w:t xml:space="preserve">64.56 </w:t>
            </w:r>
          </w:p>
        </w:tc>
        <w:tc>
          <w:tcPr>
            <w:tcW w:w="1371" w:type="dxa"/>
            <w:shd w:val="clear" w:color="auto" w:fill="auto"/>
            <w:vAlign w:val="center"/>
          </w:tcPr>
          <w:p w14:paraId="198697B2">
            <w:pPr>
              <w:pStyle w:val="43"/>
              <w:bidi w:val="0"/>
              <w:rPr>
                <w:rFonts w:hint="eastAsia"/>
                <w:lang w:val="en-US" w:eastAsia="zh-CN"/>
              </w:rPr>
            </w:pPr>
            <w:r>
              <w:rPr>
                <w:rFonts w:hint="eastAsia"/>
                <w:lang w:val="en-US" w:eastAsia="zh-CN"/>
              </w:rPr>
              <w:t xml:space="preserve">97.26 </w:t>
            </w:r>
          </w:p>
        </w:tc>
      </w:tr>
      <w:tr w14:paraId="5212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24B1B9D0">
            <w:pPr>
              <w:pStyle w:val="43"/>
              <w:bidi w:val="0"/>
              <w:rPr>
                <w:rFonts w:hint="eastAsia"/>
                <w:lang w:val="en-US" w:eastAsia="zh-CN"/>
              </w:rPr>
            </w:pPr>
            <w:r>
              <w:rPr>
                <w:rFonts w:hint="eastAsia"/>
                <w:lang w:val="en-US" w:eastAsia="zh-CN"/>
              </w:rPr>
              <w:t>草地</w:t>
            </w:r>
          </w:p>
        </w:tc>
        <w:tc>
          <w:tcPr>
            <w:tcW w:w="1388" w:type="dxa"/>
            <w:shd w:val="clear" w:color="auto" w:fill="auto"/>
            <w:noWrap/>
            <w:vAlign w:val="center"/>
          </w:tcPr>
          <w:p w14:paraId="5F79EFE6">
            <w:pPr>
              <w:pStyle w:val="43"/>
              <w:bidi w:val="0"/>
              <w:rPr>
                <w:rFonts w:hint="default"/>
                <w:lang w:val="en-US" w:eastAsia="zh-CN"/>
              </w:rPr>
            </w:pPr>
            <w:r>
              <w:rPr>
                <w:rFonts w:hint="default"/>
                <w:lang w:val="en-US" w:eastAsia="zh-CN"/>
              </w:rPr>
              <w:t xml:space="preserve">1.27 </w:t>
            </w:r>
          </w:p>
        </w:tc>
        <w:tc>
          <w:tcPr>
            <w:tcW w:w="1870" w:type="dxa"/>
            <w:shd w:val="clear" w:color="auto" w:fill="auto"/>
            <w:noWrap/>
            <w:vAlign w:val="center"/>
          </w:tcPr>
          <w:p w14:paraId="41E622B3">
            <w:pPr>
              <w:pStyle w:val="43"/>
              <w:bidi w:val="0"/>
              <w:rPr>
                <w:rFonts w:hint="eastAsia"/>
                <w:lang w:val="en-US" w:eastAsia="zh-CN"/>
              </w:rPr>
            </w:pPr>
            <w:r>
              <w:rPr>
                <w:rFonts w:hint="default"/>
                <w:lang w:val="en-US" w:eastAsia="zh-CN"/>
              </w:rPr>
              <w:t xml:space="preserve">0.55 </w:t>
            </w:r>
          </w:p>
        </w:tc>
        <w:tc>
          <w:tcPr>
            <w:tcW w:w="1302" w:type="dxa"/>
            <w:shd w:val="clear" w:color="auto" w:fill="auto"/>
            <w:noWrap/>
            <w:vAlign w:val="center"/>
          </w:tcPr>
          <w:p w14:paraId="5259275C">
            <w:pPr>
              <w:pStyle w:val="43"/>
              <w:bidi w:val="0"/>
              <w:rPr>
                <w:rFonts w:hint="eastAsia"/>
                <w:lang w:val="en-US" w:eastAsia="zh-CN"/>
              </w:rPr>
            </w:pPr>
            <w:r>
              <w:rPr>
                <w:rFonts w:hint="eastAsia"/>
                <w:lang w:val="en-US" w:eastAsia="zh-CN"/>
              </w:rPr>
              <w:t xml:space="preserve">0.12 </w:t>
            </w:r>
          </w:p>
        </w:tc>
        <w:tc>
          <w:tcPr>
            <w:tcW w:w="1302" w:type="dxa"/>
            <w:shd w:val="clear" w:color="auto" w:fill="auto"/>
            <w:vAlign w:val="center"/>
          </w:tcPr>
          <w:p w14:paraId="1ED85CF3">
            <w:pPr>
              <w:pStyle w:val="43"/>
              <w:bidi w:val="0"/>
              <w:rPr>
                <w:rFonts w:hint="eastAsia"/>
                <w:lang w:val="en-US" w:eastAsia="zh-CN"/>
              </w:rPr>
            </w:pPr>
            <w:r>
              <w:rPr>
                <w:rFonts w:hint="eastAsia"/>
                <w:lang w:val="en-US" w:eastAsia="zh-CN"/>
              </w:rPr>
              <w:t xml:space="preserve">55.29 </w:t>
            </w:r>
          </w:p>
        </w:tc>
        <w:tc>
          <w:tcPr>
            <w:tcW w:w="1371" w:type="dxa"/>
            <w:shd w:val="clear" w:color="auto" w:fill="auto"/>
            <w:vAlign w:val="center"/>
          </w:tcPr>
          <w:p w14:paraId="42CE70AC">
            <w:pPr>
              <w:pStyle w:val="43"/>
              <w:bidi w:val="0"/>
              <w:rPr>
                <w:rFonts w:hint="eastAsia"/>
                <w:lang w:val="en-US" w:eastAsia="zh-CN"/>
              </w:rPr>
            </w:pPr>
            <w:r>
              <w:rPr>
                <w:rFonts w:hint="eastAsia"/>
                <w:lang w:val="en-US" w:eastAsia="zh-CN"/>
              </w:rPr>
              <w:t xml:space="preserve">73.48 </w:t>
            </w:r>
          </w:p>
        </w:tc>
      </w:tr>
      <w:tr w14:paraId="1010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5FB6D93A">
            <w:pPr>
              <w:pStyle w:val="43"/>
              <w:bidi w:val="0"/>
              <w:rPr>
                <w:rFonts w:hint="default"/>
                <w:lang w:val="en-US" w:eastAsia="zh-CN"/>
              </w:rPr>
            </w:pPr>
            <w:r>
              <w:rPr>
                <w:rFonts w:hint="eastAsia"/>
                <w:lang w:val="en-US" w:eastAsia="zh-CN"/>
              </w:rPr>
              <w:t>湿地</w:t>
            </w:r>
          </w:p>
        </w:tc>
        <w:tc>
          <w:tcPr>
            <w:tcW w:w="1388" w:type="dxa"/>
            <w:shd w:val="clear" w:color="auto" w:fill="auto"/>
            <w:noWrap/>
            <w:vAlign w:val="center"/>
          </w:tcPr>
          <w:p w14:paraId="7C07E218">
            <w:pPr>
              <w:pStyle w:val="43"/>
              <w:bidi w:val="0"/>
              <w:rPr>
                <w:rFonts w:hint="default"/>
                <w:lang w:val="en-US" w:eastAsia="zh-CN"/>
              </w:rPr>
            </w:pPr>
            <w:r>
              <w:rPr>
                <w:rFonts w:hint="default"/>
                <w:lang w:val="en-US" w:eastAsia="zh-CN"/>
              </w:rPr>
              <w:t xml:space="preserve">2.05 </w:t>
            </w:r>
          </w:p>
        </w:tc>
        <w:tc>
          <w:tcPr>
            <w:tcW w:w="1870" w:type="dxa"/>
            <w:shd w:val="clear" w:color="auto" w:fill="auto"/>
            <w:noWrap/>
            <w:vAlign w:val="center"/>
          </w:tcPr>
          <w:p w14:paraId="4BFA3ED0">
            <w:pPr>
              <w:pStyle w:val="43"/>
              <w:bidi w:val="0"/>
              <w:rPr>
                <w:rFonts w:hint="default"/>
                <w:lang w:val="en-US" w:eastAsia="zh-CN"/>
              </w:rPr>
            </w:pPr>
            <w:r>
              <w:rPr>
                <w:rFonts w:hint="default"/>
                <w:lang w:val="en-US" w:eastAsia="zh-CN"/>
              </w:rPr>
              <w:t xml:space="preserve">0.88 </w:t>
            </w:r>
          </w:p>
        </w:tc>
        <w:tc>
          <w:tcPr>
            <w:tcW w:w="1302" w:type="dxa"/>
            <w:shd w:val="clear" w:color="auto" w:fill="auto"/>
            <w:noWrap/>
            <w:vAlign w:val="center"/>
          </w:tcPr>
          <w:p w14:paraId="669322A0">
            <w:pPr>
              <w:pStyle w:val="43"/>
              <w:bidi w:val="0"/>
              <w:rPr>
                <w:rFonts w:hint="eastAsia"/>
                <w:lang w:val="en-US" w:eastAsia="zh-CN"/>
              </w:rPr>
            </w:pPr>
            <w:r>
              <w:rPr>
                <w:rFonts w:hint="eastAsia"/>
                <w:lang w:val="en-US" w:eastAsia="zh-CN"/>
              </w:rPr>
              <w:t xml:space="preserve">0.53 </w:t>
            </w:r>
          </w:p>
        </w:tc>
        <w:tc>
          <w:tcPr>
            <w:tcW w:w="1302" w:type="dxa"/>
            <w:shd w:val="clear" w:color="auto" w:fill="auto"/>
            <w:vAlign w:val="center"/>
          </w:tcPr>
          <w:p w14:paraId="223F47F6">
            <w:pPr>
              <w:pStyle w:val="43"/>
              <w:bidi w:val="0"/>
              <w:rPr>
                <w:rFonts w:hint="eastAsia"/>
                <w:lang w:val="en-US" w:eastAsia="zh-CN"/>
              </w:rPr>
            </w:pPr>
            <w:r>
              <w:rPr>
                <w:rFonts w:hint="eastAsia"/>
                <w:lang w:val="en-US" w:eastAsia="zh-CN"/>
              </w:rPr>
              <w:t xml:space="preserve">83.14 </w:t>
            </w:r>
          </w:p>
        </w:tc>
        <w:tc>
          <w:tcPr>
            <w:tcW w:w="1371" w:type="dxa"/>
            <w:shd w:val="clear" w:color="auto" w:fill="auto"/>
            <w:vAlign w:val="center"/>
          </w:tcPr>
          <w:p w14:paraId="7648D084">
            <w:pPr>
              <w:pStyle w:val="43"/>
              <w:bidi w:val="0"/>
              <w:rPr>
                <w:rFonts w:hint="eastAsia"/>
                <w:lang w:val="en-US" w:eastAsia="zh-CN"/>
              </w:rPr>
            </w:pPr>
            <w:r>
              <w:rPr>
                <w:rFonts w:hint="eastAsia"/>
                <w:lang w:val="en-US" w:eastAsia="zh-CN"/>
              </w:rPr>
              <w:t xml:space="preserve">92.07 </w:t>
            </w:r>
          </w:p>
        </w:tc>
      </w:tr>
      <w:tr w14:paraId="5D89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2E705DC5">
            <w:pPr>
              <w:pStyle w:val="43"/>
              <w:bidi w:val="0"/>
              <w:rPr>
                <w:rFonts w:hint="eastAsia"/>
                <w:lang w:val="en-US" w:eastAsia="zh-CN"/>
              </w:rPr>
            </w:pPr>
            <w:r>
              <w:rPr>
                <w:rFonts w:hint="eastAsia"/>
                <w:lang w:val="en-US" w:eastAsia="zh-CN"/>
              </w:rPr>
              <w:t>农田</w:t>
            </w:r>
          </w:p>
        </w:tc>
        <w:tc>
          <w:tcPr>
            <w:tcW w:w="1388" w:type="dxa"/>
            <w:shd w:val="clear" w:color="auto" w:fill="auto"/>
            <w:noWrap/>
            <w:vAlign w:val="bottom"/>
          </w:tcPr>
          <w:p w14:paraId="1CF80489">
            <w:pPr>
              <w:pStyle w:val="43"/>
              <w:bidi w:val="0"/>
              <w:rPr>
                <w:rFonts w:hint="eastAsia"/>
                <w:lang w:val="en-US" w:eastAsia="zh-CN"/>
              </w:rPr>
            </w:pPr>
            <w:r>
              <w:rPr>
                <w:rFonts w:hint="eastAsia"/>
                <w:lang w:val="en-US" w:eastAsia="zh-CN"/>
              </w:rPr>
              <w:t xml:space="preserve">97.96 </w:t>
            </w:r>
          </w:p>
        </w:tc>
        <w:tc>
          <w:tcPr>
            <w:tcW w:w="1870" w:type="dxa"/>
            <w:shd w:val="clear" w:color="auto" w:fill="auto"/>
            <w:noWrap/>
            <w:vAlign w:val="bottom"/>
          </w:tcPr>
          <w:p w14:paraId="4B926472">
            <w:pPr>
              <w:pStyle w:val="43"/>
              <w:bidi w:val="0"/>
              <w:rPr>
                <w:rFonts w:hint="eastAsia"/>
                <w:lang w:val="en-US" w:eastAsia="zh-CN"/>
              </w:rPr>
            </w:pPr>
            <w:r>
              <w:rPr>
                <w:rFonts w:hint="eastAsia"/>
                <w:lang w:val="en-US" w:eastAsia="zh-CN"/>
              </w:rPr>
              <w:t xml:space="preserve">42.22 </w:t>
            </w:r>
          </w:p>
        </w:tc>
        <w:tc>
          <w:tcPr>
            <w:tcW w:w="1302" w:type="dxa"/>
            <w:shd w:val="clear" w:color="auto" w:fill="auto"/>
            <w:noWrap/>
            <w:vAlign w:val="center"/>
          </w:tcPr>
          <w:p w14:paraId="408D9D16">
            <w:pPr>
              <w:pStyle w:val="43"/>
              <w:bidi w:val="0"/>
              <w:rPr>
                <w:rFonts w:hint="eastAsia"/>
                <w:lang w:val="en-US" w:eastAsia="zh-CN"/>
              </w:rPr>
            </w:pPr>
            <w:r>
              <w:rPr>
                <w:rFonts w:hint="eastAsia"/>
                <w:lang w:val="en-US" w:eastAsia="zh-CN"/>
              </w:rPr>
              <w:t xml:space="preserve">23.42 </w:t>
            </w:r>
          </w:p>
        </w:tc>
        <w:tc>
          <w:tcPr>
            <w:tcW w:w="1302" w:type="dxa"/>
            <w:shd w:val="clear" w:color="auto" w:fill="auto"/>
            <w:vAlign w:val="center"/>
          </w:tcPr>
          <w:p w14:paraId="50F79BE9">
            <w:pPr>
              <w:pStyle w:val="43"/>
              <w:bidi w:val="0"/>
              <w:rPr>
                <w:rFonts w:hint="eastAsia"/>
                <w:lang w:val="en-US" w:eastAsia="zh-CN"/>
              </w:rPr>
            </w:pPr>
            <w:r>
              <w:rPr>
                <w:rFonts w:hint="eastAsia"/>
                <w:lang w:val="en-US" w:eastAsia="zh-CN"/>
              </w:rPr>
              <w:t xml:space="preserve">78.39 </w:t>
            </w:r>
          </w:p>
        </w:tc>
        <w:tc>
          <w:tcPr>
            <w:tcW w:w="1371" w:type="dxa"/>
            <w:shd w:val="clear" w:color="auto" w:fill="auto"/>
            <w:vAlign w:val="center"/>
          </w:tcPr>
          <w:p w14:paraId="2525599A">
            <w:pPr>
              <w:pStyle w:val="43"/>
              <w:bidi w:val="0"/>
              <w:rPr>
                <w:rFonts w:hint="eastAsia"/>
                <w:lang w:val="en-US" w:eastAsia="zh-CN"/>
              </w:rPr>
            </w:pPr>
            <w:r>
              <w:rPr>
                <w:rFonts w:hint="eastAsia"/>
                <w:lang w:val="en-US" w:eastAsia="zh-CN"/>
              </w:rPr>
              <w:t xml:space="preserve">97.10 </w:t>
            </w:r>
          </w:p>
        </w:tc>
      </w:tr>
      <w:tr w14:paraId="5836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dxa"/>
            <w:shd w:val="clear" w:color="auto" w:fill="auto"/>
            <w:noWrap/>
            <w:vAlign w:val="center"/>
          </w:tcPr>
          <w:p w14:paraId="0D6A2DA0">
            <w:pPr>
              <w:pStyle w:val="43"/>
              <w:bidi w:val="0"/>
              <w:rPr>
                <w:rFonts w:hint="eastAsia"/>
                <w:lang w:val="en-US" w:eastAsia="zh-CN"/>
              </w:rPr>
            </w:pPr>
            <w:r>
              <w:rPr>
                <w:rFonts w:hint="eastAsia"/>
                <w:lang w:val="en-US" w:eastAsia="zh-CN"/>
              </w:rPr>
              <w:t>城镇</w:t>
            </w:r>
          </w:p>
        </w:tc>
        <w:tc>
          <w:tcPr>
            <w:tcW w:w="1388" w:type="dxa"/>
            <w:shd w:val="clear" w:color="auto" w:fill="auto"/>
            <w:noWrap/>
            <w:vAlign w:val="bottom"/>
          </w:tcPr>
          <w:p w14:paraId="731D895B">
            <w:pPr>
              <w:pStyle w:val="43"/>
              <w:bidi w:val="0"/>
              <w:rPr>
                <w:rFonts w:hint="eastAsia"/>
                <w:lang w:val="en-US" w:eastAsia="zh-CN"/>
              </w:rPr>
            </w:pPr>
            <w:r>
              <w:rPr>
                <w:rFonts w:hint="eastAsia"/>
                <w:lang w:val="en-US" w:eastAsia="zh-CN"/>
              </w:rPr>
              <w:t xml:space="preserve">59.34 </w:t>
            </w:r>
          </w:p>
        </w:tc>
        <w:tc>
          <w:tcPr>
            <w:tcW w:w="1870" w:type="dxa"/>
            <w:shd w:val="clear" w:color="auto" w:fill="auto"/>
            <w:noWrap/>
            <w:vAlign w:val="bottom"/>
          </w:tcPr>
          <w:p w14:paraId="7AB4C133">
            <w:pPr>
              <w:pStyle w:val="43"/>
              <w:bidi w:val="0"/>
              <w:rPr>
                <w:rFonts w:hint="eastAsia"/>
                <w:lang w:val="en-US" w:eastAsia="zh-CN"/>
              </w:rPr>
            </w:pPr>
            <w:r>
              <w:rPr>
                <w:rFonts w:hint="eastAsia"/>
                <w:lang w:val="en-US" w:eastAsia="zh-CN"/>
              </w:rPr>
              <w:t xml:space="preserve">25.58 </w:t>
            </w:r>
          </w:p>
        </w:tc>
        <w:tc>
          <w:tcPr>
            <w:tcW w:w="1302" w:type="dxa"/>
            <w:shd w:val="clear" w:color="auto" w:fill="auto"/>
            <w:noWrap/>
            <w:vAlign w:val="center"/>
          </w:tcPr>
          <w:p w14:paraId="62BA95A1">
            <w:pPr>
              <w:pStyle w:val="43"/>
              <w:bidi w:val="0"/>
              <w:rPr>
                <w:rFonts w:hint="eastAsia"/>
                <w:lang w:val="en-US" w:eastAsia="zh-CN"/>
              </w:rPr>
            </w:pPr>
            <w:r>
              <w:rPr>
                <w:rFonts w:hint="eastAsia"/>
                <w:lang w:val="en-US" w:eastAsia="zh-CN"/>
              </w:rPr>
              <w:t xml:space="preserve">25.31 </w:t>
            </w:r>
          </w:p>
        </w:tc>
        <w:tc>
          <w:tcPr>
            <w:tcW w:w="1302" w:type="dxa"/>
            <w:shd w:val="clear" w:color="auto" w:fill="auto"/>
            <w:vAlign w:val="center"/>
          </w:tcPr>
          <w:p w14:paraId="5169A124">
            <w:pPr>
              <w:pStyle w:val="43"/>
              <w:bidi w:val="0"/>
              <w:rPr>
                <w:rFonts w:hint="eastAsia"/>
                <w:lang w:val="en-US" w:eastAsia="zh-CN"/>
              </w:rPr>
            </w:pPr>
            <w:r>
              <w:rPr>
                <w:rFonts w:hint="eastAsia"/>
                <w:lang w:val="en-US" w:eastAsia="zh-CN"/>
              </w:rPr>
              <w:t xml:space="preserve">65.87 </w:t>
            </w:r>
          </w:p>
        </w:tc>
        <w:tc>
          <w:tcPr>
            <w:tcW w:w="1371" w:type="dxa"/>
            <w:shd w:val="clear" w:color="auto" w:fill="auto"/>
            <w:vAlign w:val="center"/>
          </w:tcPr>
          <w:p w14:paraId="68968B96">
            <w:pPr>
              <w:pStyle w:val="43"/>
              <w:bidi w:val="0"/>
              <w:rPr>
                <w:rFonts w:hint="eastAsia"/>
                <w:lang w:val="en-US" w:eastAsia="zh-CN"/>
              </w:rPr>
            </w:pPr>
            <w:r>
              <w:rPr>
                <w:rFonts w:hint="eastAsia"/>
                <w:lang w:val="en-US" w:eastAsia="zh-CN"/>
              </w:rPr>
              <w:t xml:space="preserve">97.59 </w:t>
            </w:r>
          </w:p>
        </w:tc>
      </w:tr>
    </w:tbl>
    <w:p w14:paraId="236A4E9F">
      <w:pPr>
        <w:pStyle w:val="41"/>
        <w:bidi w:val="0"/>
      </w:pPr>
      <w:r>
        <w:rPr>
          <w:rFonts w:hint="eastAsia"/>
          <w:lang w:eastAsia="zh-CN"/>
        </w:rPr>
        <w:t>从上</w:t>
      </w:r>
      <w:r>
        <w:t>表可以看出，评价区内</w:t>
      </w:r>
      <w:r>
        <w:rPr>
          <w:rFonts w:hint="eastAsia"/>
          <w:lang w:val="en-US" w:eastAsia="zh-CN"/>
        </w:rPr>
        <w:t>农田</w:t>
      </w:r>
      <w:r>
        <w:t>斑块面积最大，为</w:t>
      </w:r>
      <w:r>
        <w:rPr>
          <w:rFonts w:hint="eastAsia"/>
          <w:lang w:val="en-US" w:eastAsia="zh-CN"/>
        </w:rPr>
        <w:t>97.96</w:t>
      </w:r>
      <w:r>
        <w:t>hm</w:t>
      </w:r>
      <w:r>
        <w:rPr>
          <w:vertAlign w:val="superscript"/>
        </w:rPr>
        <w:t>2</w:t>
      </w:r>
      <w:r>
        <w:t>，占评价区总面积的</w:t>
      </w:r>
      <w:r>
        <w:rPr>
          <w:rFonts w:hint="eastAsia"/>
          <w:lang w:val="en-US" w:eastAsia="zh-CN"/>
        </w:rPr>
        <w:t>42.22</w:t>
      </w:r>
      <w:r>
        <w:t>%，最大斑块指数为</w:t>
      </w:r>
      <w:r>
        <w:rPr>
          <w:rFonts w:hint="eastAsia"/>
          <w:lang w:val="en-US" w:eastAsia="zh-CN"/>
        </w:rPr>
        <w:t>23.42</w:t>
      </w:r>
      <w:r>
        <w:t>，散布与并列指数为</w:t>
      </w:r>
      <w:r>
        <w:rPr>
          <w:rFonts w:hint="eastAsia"/>
          <w:lang w:val="en-US" w:eastAsia="zh-CN"/>
        </w:rPr>
        <w:t>78.39</w:t>
      </w:r>
      <w:r>
        <w:t>，聚集度指数为</w:t>
      </w:r>
      <w:r>
        <w:rPr>
          <w:rFonts w:hint="eastAsia"/>
          <w:lang w:val="en-US" w:eastAsia="zh-CN"/>
        </w:rPr>
        <w:t>97.01</w:t>
      </w:r>
      <w:r>
        <w:rPr>
          <w:rFonts w:hint="eastAsia"/>
          <w:lang w:eastAsia="zh-CN"/>
        </w:rPr>
        <w:t>；</w:t>
      </w:r>
      <w:r>
        <w:rPr>
          <w:rFonts w:hint="eastAsia"/>
        </w:rPr>
        <w:t>其次为</w:t>
      </w:r>
      <w:r>
        <w:rPr>
          <w:rFonts w:hint="eastAsia"/>
          <w:lang w:val="en-US" w:eastAsia="zh-CN"/>
        </w:rPr>
        <w:t>灌丛</w:t>
      </w:r>
      <w:r>
        <w:rPr>
          <w:rFonts w:hint="eastAsia"/>
        </w:rPr>
        <w:t>景观，</w:t>
      </w:r>
      <w:r>
        <w:t>面积为</w:t>
      </w:r>
      <w:r>
        <w:rPr>
          <w:rFonts w:hint="eastAsia"/>
          <w:lang w:val="en-US" w:eastAsia="zh-CN"/>
        </w:rPr>
        <w:t>60.35</w:t>
      </w:r>
      <w:r>
        <w:t>公顷，占</w:t>
      </w:r>
      <w:r>
        <w:rPr>
          <w:rFonts w:hint="eastAsia"/>
        </w:rPr>
        <w:t>比为</w:t>
      </w:r>
      <w:r>
        <w:rPr>
          <w:rFonts w:hint="eastAsia"/>
          <w:lang w:val="en-US" w:eastAsia="zh-CN"/>
        </w:rPr>
        <w:t>26.02</w:t>
      </w:r>
      <w:r>
        <w:t>%，</w:t>
      </w:r>
      <w:r>
        <w:rPr>
          <w:rFonts w:hint="eastAsia"/>
        </w:rPr>
        <w:t>最大斑块指数</w:t>
      </w:r>
      <w:r>
        <w:t>为</w:t>
      </w:r>
      <w:r>
        <w:rPr>
          <w:rFonts w:hint="eastAsia"/>
          <w:lang w:val="en-US" w:eastAsia="zh-CN"/>
        </w:rPr>
        <w:t>10.24</w:t>
      </w:r>
      <w:r>
        <w:t>%，</w:t>
      </w:r>
      <w:r>
        <w:rPr>
          <w:rFonts w:hint="eastAsia"/>
        </w:rPr>
        <w:t>散布与并列指数为</w:t>
      </w:r>
      <w:r>
        <w:rPr>
          <w:rFonts w:hint="eastAsia"/>
          <w:lang w:val="en-US" w:eastAsia="zh-CN"/>
        </w:rPr>
        <w:t>64.56</w:t>
      </w:r>
      <w:r>
        <w:rPr>
          <w:rFonts w:hint="eastAsia"/>
        </w:rPr>
        <w:t>，聚集度指数</w:t>
      </w:r>
      <w:r>
        <w:t>为</w:t>
      </w:r>
      <w:r>
        <w:rPr>
          <w:rFonts w:hint="eastAsia"/>
          <w:lang w:val="en-US" w:eastAsia="zh-CN"/>
        </w:rPr>
        <w:t>97.26。</w:t>
      </w:r>
      <w:r>
        <w:t>评价范围内的优势板块为</w:t>
      </w:r>
      <w:r>
        <w:rPr>
          <w:rFonts w:hint="eastAsia"/>
          <w:lang w:val="en-US" w:eastAsia="zh-CN"/>
        </w:rPr>
        <w:t>农田</w:t>
      </w:r>
      <w:r>
        <w:t>景观，集中度</w:t>
      </w:r>
      <w:r>
        <w:rPr>
          <w:rFonts w:hint="eastAsia"/>
          <w:lang w:val="en-US" w:eastAsia="zh-CN"/>
        </w:rPr>
        <w:t>较</w:t>
      </w:r>
      <w:r>
        <w:t>高。</w:t>
      </w:r>
    </w:p>
    <w:p w14:paraId="7D1C004A">
      <w:pPr>
        <w:pStyle w:val="41"/>
        <w:bidi w:val="0"/>
        <w:rPr>
          <w:rFonts w:hint="eastAsia"/>
        </w:rPr>
      </w:pPr>
      <w:r>
        <w:t>根据Fragstats的统计分析，评价区域内香农多样性指数为</w:t>
      </w:r>
      <w:r>
        <w:rPr>
          <w:rFonts w:hint="eastAsia"/>
          <w:lang w:val="en-US" w:eastAsia="zh-CN"/>
        </w:rPr>
        <w:t>1.28</w:t>
      </w:r>
      <w:r>
        <w:t>，蔓延度指数为</w:t>
      </w:r>
      <w:r>
        <w:rPr>
          <w:rFonts w:hint="eastAsia"/>
          <w:lang w:val="en-US" w:eastAsia="zh-CN"/>
        </w:rPr>
        <w:t>59.19</w:t>
      </w:r>
      <w:r>
        <w:t>，</w:t>
      </w:r>
      <w:r>
        <w:rPr>
          <w:rFonts w:hint="eastAsia"/>
        </w:rPr>
        <w:t>散布与并列指数为</w:t>
      </w:r>
      <w:r>
        <w:rPr>
          <w:rFonts w:hint="eastAsia"/>
          <w:lang w:val="en-US" w:eastAsia="zh-CN"/>
        </w:rPr>
        <w:t>71.37</w:t>
      </w:r>
      <w:r>
        <w:rPr>
          <w:rFonts w:hint="eastAsia"/>
        </w:rPr>
        <w:t>，聚集度指数为</w:t>
      </w:r>
      <w:r>
        <w:rPr>
          <w:rFonts w:hint="eastAsia"/>
          <w:lang w:val="en-US" w:eastAsia="zh-CN"/>
        </w:rPr>
        <w:t>96.95</w:t>
      </w:r>
      <w:r>
        <w:rPr>
          <w:rFonts w:hint="eastAsia"/>
        </w:rPr>
        <w:t>，总的来看，评价区内景观斑块</w:t>
      </w:r>
      <w:r>
        <w:rPr>
          <w:rFonts w:hint="eastAsia"/>
          <w:lang w:val="en-US" w:eastAsia="zh-CN"/>
        </w:rPr>
        <w:t>农田</w:t>
      </w:r>
      <w:r>
        <w:rPr>
          <w:rFonts w:hint="eastAsia"/>
        </w:rPr>
        <w:t>占绝对主导地位，在评价区陆域呈大片连续分布。</w:t>
      </w:r>
    </w:p>
    <w:p w14:paraId="294D11A3">
      <w:pPr>
        <w:pStyle w:val="4"/>
        <w:bidi w:val="0"/>
      </w:pPr>
      <w:r>
        <w:rPr>
          <w:rFonts w:hint="eastAsia"/>
          <w:lang w:val="en-US" w:eastAsia="zh-CN"/>
        </w:rPr>
        <w:t>永久基本农田</w:t>
      </w:r>
      <w:r>
        <w:rPr>
          <w:rFonts w:hint="eastAsia"/>
        </w:rPr>
        <w:t>现状调查</w:t>
      </w:r>
    </w:p>
    <w:p w14:paraId="6996F7FF">
      <w:pPr>
        <w:pStyle w:val="41"/>
        <w:bidi w:val="0"/>
        <w:rPr>
          <w:rFonts w:hint="eastAsia"/>
        </w:rPr>
      </w:pPr>
      <w:r>
        <w:rPr>
          <w:rFonts w:hint="eastAsia"/>
        </w:rPr>
        <w:t>根据叠图分析，本项目评价区范围内涉及永久基本农田</w:t>
      </w:r>
      <w:r>
        <w:rPr>
          <w:rFonts w:hint="eastAsia"/>
          <w:lang w:val="en-US" w:eastAsia="zh-CN"/>
        </w:rPr>
        <w:t>79.56</w:t>
      </w:r>
      <w:r>
        <w:rPr>
          <w:rFonts w:hint="eastAsia"/>
        </w:rPr>
        <w:t>hm</w:t>
      </w:r>
      <w:r>
        <w:rPr>
          <w:rFonts w:hint="eastAsia"/>
          <w:vertAlign w:val="superscript"/>
        </w:rPr>
        <w:t>2</w:t>
      </w:r>
      <w:r>
        <w:rPr>
          <w:rFonts w:hint="eastAsia"/>
        </w:rPr>
        <w:t>，</w:t>
      </w:r>
      <w:r>
        <w:rPr>
          <w:rFonts w:hint="eastAsia"/>
          <w:lang w:val="en-US" w:eastAsia="zh-CN"/>
        </w:rPr>
        <w:t>项目紧邻永久基本农田</w:t>
      </w:r>
      <w:r>
        <w:rPr>
          <w:rFonts w:hint="eastAsia"/>
        </w:rPr>
        <w:t>。经调查，评价范围内</w:t>
      </w:r>
      <w:r>
        <w:rPr>
          <w:rFonts w:hint="eastAsia"/>
          <w:lang w:val="en-US" w:eastAsia="zh-CN"/>
        </w:rPr>
        <w:t>永久</w:t>
      </w:r>
      <w:r>
        <w:rPr>
          <w:rFonts w:hint="eastAsia"/>
        </w:rPr>
        <w:t>基本农田植被主要为</w:t>
      </w:r>
      <w:r>
        <w:rPr>
          <w:rFonts w:hint="eastAsia"/>
          <w:lang w:val="en-US" w:eastAsia="zh-CN"/>
        </w:rPr>
        <w:t>玉米、红薯</w:t>
      </w:r>
      <w:r>
        <w:rPr>
          <w:rFonts w:hint="eastAsia"/>
        </w:rPr>
        <w:t>等粮食作物。</w:t>
      </w:r>
    </w:p>
    <w:p w14:paraId="38072698">
      <w:pPr>
        <w:pStyle w:val="41"/>
        <w:bidi w:val="0"/>
        <w:rPr>
          <w:rFonts w:hint="eastAsia"/>
          <w:lang w:val="en-US" w:eastAsia="zh-CN"/>
        </w:rPr>
      </w:pPr>
      <w:r>
        <w:rPr>
          <w:rFonts w:hint="eastAsia"/>
          <w:lang w:val="en-US" w:eastAsia="zh-CN"/>
        </w:rPr>
        <w:t>项目与永久基本农田位置关系如下图：</w:t>
      </w:r>
    </w:p>
    <w:p w14:paraId="571DAC3E">
      <w:pPr>
        <w:pStyle w:val="19"/>
        <w:rPr>
          <w:rFonts w:cs="Times New Roman"/>
          <w:highlight w:val="yellow"/>
        </w:rPr>
      </w:pPr>
      <w:r>
        <w:rPr>
          <w:rStyle w:val="74"/>
          <w:kern w:val="2"/>
        </w:rPr>
        <w:drawing>
          <wp:inline distT="0" distB="0" distL="114300" distR="114300">
            <wp:extent cx="5641975" cy="3959860"/>
            <wp:effectExtent l="0" t="0" r="12065" b="2540"/>
            <wp:docPr id="99" name="图片 99" descr="E:/02-生态调查/2026-01-23砚山县红舍克东山石灰石矿项目生态图绘制/04-项目成果/生态图0123/附图8 项目与永久基本农田位置关系图.jpg附图8 项目与永久基本农田位置关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E:/02-生态调查/2026-01-23砚山县红舍克东山石灰石矿项目生态图绘制/04-项目成果/生态图0123/附图8 项目与永久基本农田位置关系图.jpg附图8 项目与永久基本农田位置关系图"/>
                    <pic:cNvPicPr>
                      <a:picLocks noChangeAspect="1"/>
                    </pic:cNvPicPr>
                  </pic:nvPicPr>
                  <pic:blipFill>
                    <a:blip r:embed="rId37"/>
                    <a:srcRect l="952" t="1328" r="885" b="3539"/>
                    <a:stretch>
                      <a:fillRect/>
                    </a:stretch>
                  </pic:blipFill>
                  <pic:spPr>
                    <a:xfrm>
                      <a:off x="0" y="0"/>
                      <a:ext cx="5641975" cy="3959860"/>
                    </a:xfrm>
                    <a:prstGeom prst="rect">
                      <a:avLst/>
                    </a:prstGeom>
                  </pic:spPr>
                </pic:pic>
              </a:graphicData>
            </a:graphic>
          </wp:inline>
        </w:drawing>
      </w:r>
    </w:p>
    <w:p w14:paraId="12534563">
      <w:pPr>
        <w:pStyle w:val="45"/>
        <w:bidi w:val="0"/>
        <w:rPr>
          <w:rFonts w:hint="default"/>
          <w:lang w:val="en-US" w:eastAsia="zh-CN"/>
        </w:rPr>
      </w:pPr>
      <w:r>
        <w:t xml:space="preserve">图 </w:t>
      </w:r>
      <w:r>
        <w:rPr>
          <w:rFonts w:hint="eastAsia"/>
          <w:lang w:val="en-US" w:eastAsia="zh-CN"/>
        </w:rPr>
        <w:t>5.2-6项目与永久基本农田位置关系图</w:t>
      </w:r>
    </w:p>
    <w:p w14:paraId="1FE82B7F">
      <w:pPr>
        <w:pStyle w:val="4"/>
        <w:bidi w:val="0"/>
        <w:ind w:left="4080" w:leftChars="0" w:firstLineChars="0"/>
      </w:pPr>
      <w:r>
        <w:rPr>
          <w:rFonts w:hint="eastAsia"/>
          <w:lang w:val="en-US" w:eastAsia="zh-CN"/>
        </w:rPr>
        <w:t>外来入侵物种</w:t>
      </w:r>
      <w:r>
        <w:rPr>
          <w:rFonts w:hint="eastAsia"/>
        </w:rPr>
        <w:t>现状调查</w:t>
      </w:r>
    </w:p>
    <w:p w14:paraId="3F1F6A14">
      <w:pPr>
        <w:pStyle w:val="41"/>
        <w:bidi w:val="0"/>
        <w:rPr>
          <w:rFonts w:hint="eastAsia"/>
          <w:lang w:eastAsia="zh-CN"/>
        </w:rPr>
      </w:pPr>
      <w:r>
        <w:rPr>
          <w:rFonts w:hint="eastAsia"/>
        </w:rPr>
        <w:t>根据马金双2018年的《中国外来入侵植物名录》，评价区外来入侵植物主要以藿香蓟、假臭草、鬼针草为主。根据国家林草局、农业农村部等六部门共同发布的《重点管理外来入侵物种名录》，藿香蓟、假臭草、鬼针草为评价区需要重点管理的入侵植物，它们零星分布于撂荒地、农田、</w:t>
      </w:r>
      <w:r>
        <w:rPr>
          <w:rFonts w:hint="eastAsia"/>
          <w:lang w:val="en-US" w:eastAsia="zh-CN"/>
        </w:rPr>
        <w:t>乔</w:t>
      </w:r>
      <w:r>
        <w:rPr>
          <w:rFonts w:hint="eastAsia"/>
        </w:rPr>
        <w:t>灌林下、林缘和路旁且个体数量不大，未形成单一优势群落</w:t>
      </w:r>
      <w:r>
        <w:rPr>
          <w:rFonts w:hint="eastAsia"/>
          <w:lang w:eastAsia="zh-CN"/>
        </w:rPr>
        <w:t>。</w:t>
      </w:r>
    </w:p>
    <w:p w14:paraId="3F00D0BC">
      <w:pPr>
        <w:pStyle w:val="3"/>
        <w:bidi w:val="0"/>
        <w:rPr>
          <w:rFonts w:hint="default"/>
        </w:rPr>
      </w:pPr>
      <w:bookmarkStart w:id="351" w:name="_Toc12949"/>
      <w:r>
        <w:rPr>
          <w:rFonts w:hint="default"/>
        </w:rPr>
        <w:t>大气环境现状质量评价</w:t>
      </w:r>
      <w:bookmarkEnd w:id="351"/>
    </w:p>
    <w:p w14:paraId="59E89C10">
      <w:pPr>
        <w:pStyle w:val="20"/>
        <w:spacing w:before="0" w:line="360" w:lineRule="auto"/>
        <w:ind w:firstLine="482" w:firstLineChars="200"/>
        <w:rPr>
          <w:rFonts w:hint="default" w:ascii="Times New Roman" w:hAnsi="Times New Roman" w:eastAsia="宋体"/>
          <w:b/>
          <w:bCs/>
          <w:color w:val="auto"/>
          <w:lang w:val="en-US" w:eastAsia="zh-CN"/>
        </w:rPr>
      </w:pPr>
      <w:bookmarkStart w:id="352" w:name="_Toc19325"/>
      <w:r>
        <w:rPr>
          <w:rFonts w:hint="eastAsia" w:ascii="Times New Roman" w:hAnsi="Times New Roman"/>
          <w:b/>
          <w:bCs/>
          <w:color w:val="auto"/>
          <w:lang w:eastAsia="zh-CN"/>
        </w:rPr>
        <w:t>（</w:t>
      </w:r>
      <w:r>
        <w:rPr>
          <w:rFonts w:hint="eastAsia" w:ascii="Times New Roman" w:hAnsi="Times New Roman"/>
          <w:b/>
          <w:bCs/>
          <w:color w:val="auto"/>
          <w:lang w:val="en-US" w:eastAsia="zh-CN"/>
        </w:rPr>
        <w:t>1</w:t>
      </w:r>
      <w:r>
        <w:rPr>
          <w:rFonts w:hint="eastAsia" w:ascii="Times New Roman" w:hAnsi="Times New Roman"/>
          <w:b/>
          <w:bCs/>
          <w:color w:val="auto"/>
          <w:lang w:eastAsia="zh-CN"/>
        </w:rPr>
        <w:t>）</w:t>
      </w:r>
      <w:r>
        <w:rPr>
          <w:rFonts w:hint="eastAsia" w:ascii="Times New Roman" w:hAnsi="Times New Roman"/>
          <w:b/>
          <w:bCs/>
          <w:color w:val="auto"/>
          <w:lang w:val="en-US" w:eastAsia="zh-CN"/>
        </w:rPr>
        <w:t>达标区判定</w:t>
      </w:r>
    </w:p>
    <w:p w14:paraId="74F7F512">
      <w:pPr>
        <w:pStyle w:val="41"/>
        <w:bidi w:val="0"/>
      </w:pPr>
      <w:r>
        <w:t>项目属于二类环境空气功能区，环境空气质量执行《环境空气质量标准》（GB3095-20</w:t>
      </w:r>
      <w:r>
        <w:rPr>
          <w:rFonts w:hint="eastAsia"/>
          <w:lang w:val="en-US" w:eastAsia="zh-CN"/>
        </w:rPr>
        <w:t>26</w:t>
      </w:r>
      <w:r>
        <w:t>）中</w:t>
      </w:r>
      <w:r>
        <w:rPr>
          <w:rFonts w:hint="eastAsia"/>
          <w:lang w:val="en-US" w:eastAsia="zh-CN"/>
        </w:rPr>
        <w:t>过渡期</w:t>
      </w:r>
      <w:r>
        <w:t>二级标准。根据《环境影响评价技术导则  大气环境》（HJ2.2-2018）规定，项目所在区域基本污染物环境质量现状达标判定，优先采用国家或地方生态环境主管部门公开发布的评价基准年环境质量公告或环境质量报告中的数据或结论。</w:t>
      </w:r>
    </w:p>
    <w:p w14:paraId="38574BCF">
      <w:pPr>
        <w:pStyle w:val="41"/>
        <w:bidi w:val="0"/>
        <w:rPr>
          <w:rFonts w:hint="default"/>
          <w:lang w:val="en-US" w:eastAsia="zh-CN"/>
        </w:rPr>
      </w:pPr>
      <w:r>
        <w:rPr>
          <w:rFonts w:ascii="Times New Roman" w:hAnsi="Times New Roman"/>
          <w:color w:val="auto"/>
        </w:rPr>
        <w:t>根据《文山壮族苗族自治州202</w:t>
      </w:r>
      <w:r>
        <w:rPr>
          <w:rFonts w:hint="eastAsia" w:ascii="Times New Roman" w:hAnsi="Times New Roman"/>
          <w:color w:val="auto"/>
          <w:lang w:val="en-US" w:eastAsia="zh-CN"/>
        </w:rPr>
        <w:t>4</w:t>
      </w:r>
      <w:r>
        <w:rPr>
          <w:rFonts w:ascii="Times New Roman" w:hAnsi="Times New Roman"/>
          <w:color w:val="auto"/>
        </w:rPr>
        <w:t>年度生态环境状况公报》，</w:t>
      </w:r>
      <w:r>
        <w:rPr>
          <w:rFonts w:hint="eastAsia" w:ascii="Times New Roman" w:hAnsi="Times New Roman"/>
          <w:color w:val="auto"/>
          <w:lang w:val="en-US" w:eastAsia="zh-CN"/>
        </w:rPr>
        <w:t>2024年，</w:t>
      </w:r>
      <w:r>
        <w:rPr>
          <w:rFonts w:hint="default" w:ascii="Times New Roman" w:hAnsi="Times New Roman" w:eastAsia="宋体" w:cs="Times New Roman"/>
          <w:color w:val="auto"/>
          <w:szCs w:val="24"/>
        </w:rPr>
        <w:t>扣除远距离生物质焚烧传输影响后，全州环境空气优良天数比率在98.8%</w:t>
      </w:r>
      <w:r>
        <w:rPr>
          <w:rFonts w:hint="eastAsia" w:ascii="Times New Roman" w:hAnsi="Times New Roman" w:eastAsia="宋体" w:cs="Times New Roman"/>
          <w:color w:val="auto"/>
          <w:szCs w:val="24"/>
          <w:lang w:eastAsia="zh-CN"/>
        </w:rPr>
        <w:t>～</w:t>
      </w:r>
      <w:r>
        <w:rPr>
          <w:rFonts w:hint="default" w:ascii="Times New Roman" w:hAnsi="Times New Roman" w:eastAsia="宋体" w:cs="Times New Roman"/>
          <w:color w:val="auto"/>
          <w:szCs w:val="24"/>
        </w:rPr>
        <w:t>99.7%之间；细颗粒物年均浓度在15-22.8微克/立方米之间；环境空气质量综合指数为2.41。完成2024年度大气环境质量考核指标任务。</w:t>
      </w:r>
      <w:r>
        <w:rPr>
          <w:rFonts w:ascii="Times New Roman" w:hAnsi="Times New Roman"/>
          <w:color w:val="auto"/>
        </w:rPr>
        <w:t>砚山县空气质量优良率</w:t>
      </w:r>
      <w:r>
        <w:rPr>
          <w:rFonts w:hint="eastAsia" w:ascii="Times New Roman" w:hAnsi="Times New Roman"/>
          <w:color w:val="auto"/>
          <w:lang w:val="en-US" w:eastAsia="zh-CN"/>
        </w:rPr>
        <w:t>99.4</w:t>
      </w:r>
      <w:r>
        <w:rPr>
          <w:rFonts w:ascii="Times New Roman" w:hAnsi="Times New Roman"/>
          <w:color w:val="auto"/>
        </w:rPr>
        <w:t>%，</w:t>
      </w:r>
      <w:r>
        <w:rPr>
          <w:rFonts w:hint="eastAsia" w:ascii="Times New Roman" w:hAnsi="Times New Roman"/>
          <w:color w:val="auto"/>
          <w:lang w:val="en-US" w:eastAsia="zh-CN"/>
        </w:rPr>
        <w:t>比上年下降0.6%</w:t>
      </w:r>
      <w:r>
        <w:rPr>
          <w:rFonts w:ascii="Times New Roman" w:hAnsi="Times New Roman"/>
          <w:color w:val="auto"/>
        </w:rPr>
        <w:t>；细颗粒物浓度为1</w:t>
      </w:r>
      <w:r>
        <w:rPr>
          <w:rFonts w:hint="eastAsia" w:ascii="Times New Roman" w:hAnsi="Times New Roman"/>
          <w:color w:val="auto"/>
          <w:lang w:val="en-US" w:eastAsia="zh-CN"/>
        </w:rPr>
        <w:t>7</w:t>
      </w:r>
      <w:r>
        <w:rPr>
          <w:rFonts w:ascii="Times New Roman" w:hAnsi="Times New Roman"/>
          <w:color w:val="auto"/>
        </w:rPr>
        <w:t>微克/</w:t>
      </w:r>
      <w:r>
        <w:rPr>
          <w:rFonts w:hint="eastAsia" w:ascii="Times New Roman" w:hAnsi="Times New Roman"/>
          <w:color w:val="auto"/>
        </w:rPr>
        <w:t>立方米</w:t>
      </w:r>
      <w:r>
        <w:rPr>
          <w:rFonts w:ascii="Times New Roman" w:hAnsi="Times New Roman"/>
          <w:color w:val="auto"/>
        </w:rPr>
        <w:t>，比上年</w:t>
      </w:r>
      <w:r>
        <w:rPr>
          <w:rFonts w:hint="eastAsia" w:ascii="Times New Roman" w:hAnsi="Times New Roman"/>
          <w:color w:val="auto"/>
          <w:lang w:val="en-US" w:eastAsia="zh-CN"/>
        </w:rPr>
        <w:t>上升6.3</w:t>
      </w:r>
      <w:r>
        <w:rPr>
          <w:rFonts w:ascii="Times New Roman" w:hAnsi="Times New Roman"/>
          <w:color w:val="auto"/>
        </w:rPr>
        <w:t>%；</w:t>
      </w:r>
      <w:r>
        <w:rPr>
          <w:rStyle w:val="42"/>
        </w:rPr>
        <w:t>环境空气综合指数</w:t>
      </w:r>
      <w:r>
        <w:rPr>
          <w:rStyle w:val="42"/>
          <w:rFonts w:hint="eastAsia"/>
          <w:lang w:val="en-US" w:eastAsia="zh-CN"/>
        </w:rPr>
        <w:t>为</w:t>
      </w:r>
      <w:r>
        <w:rPr>
          <w:rStyle w:val="42"/>
        </w:rPr>
        <w:t>2.</w:t>
      </w:r>
      <w:r>
        <w:rPr>
          <w:rStyle w:val="42"/>
          <w:rFonts w:hint="eastAsia"/>
          <w:lang w:val="en-US" w:eastAsia="zh-CN"/>
        </w:rPr>
        <w:t>52</w:t>
      </w:r>
      <w:r>
        <w:rPr>
          <w:rStyle w:val="42"/>
        </w:rPr>
        <w:t>。</w:t>
      </w:r>
      <w:r>
        <w:rPr>
          <w:rStyle w:val="42"/>
          <w:rFonts w:hint="eastAsia"/>
        </w:rPr>
        <w:t>通过以上论述，判定砚山县空气质量为达标区</w:t>
      </w:r>
      <w:r>
        <w:rPr>
          <w:rStyle w:val="42"/>
        </w:rPr>
        <w:t>。</w:t>
      </w:r>
      <w:r>
        <w:rPr>
          <w:rStyle w:val="42"/>
          <w:rFonts w:hint="eastAsia"/>
          <w:lang w:val="en-US" w:eastAsia="zh-CN"/>
        </w:rPr>
        <w:t>经对比</w:t>
      </w:r>
      <w:r>
        <w:rPr>
          <w:rStyle w:val="42"/>
        </w:rPr>
        <w:t>《环境</w:t>
      </w:r>
      <w:r>
        <w:t>空气质量标准》（GB3095-20</w:t>
      </w:r>
      <w:r>
        <w:rPr>
          <w:rFonts w:hint="eastAsia"/>
          <w:lang w:val="en-US" w:eastAsia="zh-CN"/>
        </w:rPr>
        <w:t>26</w:t>
      </w:r>
      <w:r>
        <w:t>）中</w:t>
      </w:r>
      <w:r>
        <w:rPr>
          <w:rFonts w:hint="eastAsia"/>
          <w:lang w:val="en-US" w:eastAsia="zh-CN"/>
        </w:rPr>
        <w:t>过渡期</w:t>
      </w:r>
      <w:r>
        <w:t>二级标准</w:t>
      </w:r>
      <w:r>
        <w:rPr>
          <w:rFonts w:hint="eastAsia"/>
          <w:lang w:eastAsia="zh-CN"/>
        </w:rPr>
        <w:t>，</w:t>
      </w:r>
      <w:r>
        <w:rPr>
          <w:rFonts w:hint="eastAsia"/>
          <w:lang w:val="en-US" w:eastAsia="zh-CN"/>
        </w:rPr>
        <w:t>砚山县也属于达标区。</w:t>
      </w:r>
    </w:p>
    <w:p w14:paraId="32CA7227">
      <w:pPr>
        <w:pStyle w:val="41"/>
        <w:bidi w:val="0"/>
        <w:rPr>
          <w:b/>
          <w:bCs/>
        </w:rPr>
      </w:pPr>
      <w:r>
        <w:rPr>
          <w:rFonts w:hint="eastAsia"/>
          <w:b/>
          <w:bCs/>
          <w:lang w:eastAsia="zh-CN"/>
        </w:rPr>
        <w:t>（</w:t>
      </w:r>
      <w:r>
        <w:rPr>
          <w:rFonts w:hint="eastAsia"/>
          <w:b/>
          <w:bCs/>
          <w:lang w:val="en-US" w:eastAsia="zh-CN"/>
        </w:rPr>
        <w:t>2）</w:t>
      </w:r>
      <w:r>
        <w:rPr>
          <w:b/>
          <w:bCs/>
        </w:rPr>
        <w:t>特征污染物环境质量现状数据</w:t>
      </w:r>
    </w:p>
    <w:p w14:paraId="7B520AB4">
      <w:pPr>
        <w:pStyle w:val="41"/>
        <w:bidi w:val="0"/>
        <w:rPr>
          <w:rFonts w:hint="default"/>
          <w:lang w:eastAsia="zh-CN"/>
        </w:rPr>
      </w:pPr>
      <w:r>
        <w:t>根据项目工程分析</w:t>
      </w:r>
      <w:r>
        <w:rPr>
          <w:rFonts w:hint="eastAsia"/>
          <w:lang w:eastAsia="zh-CN"/>
        </w:rPr>
        <w:t>、</w:t>
      </w:r>
      <w:r>
        <w:t>大气污染物排放特征，确定项目污染物为</w:t>
      </w:r>
      <w:r>
        <w:rPr>
          <w:rFonts w:hint="eastAsia"/>
          <w:lang w:val="en-US" w:eastAsia="zh-CN"/>
        </w:rPr>
        <w:t>TSP</w:t>
      </w:r>
      <w:r>
        <w:t>。</w:t>
      </w:r>
      <w:bookmarkEnd w:id="352"/>
      <w:r>
        <w:rPr>
          <w:rFonts w:hint="default"/>
          <w:lang w:eastAsia="zh-CN"/>
        </w:rPr>
        <w:t>为了解项目区空气质量现状，</w:t>
      </w:r>
      <w:r>
        <w:rPr>
          <w:rFonts w:hint="eastAsia"/>
          <w:lang w:val="en-US" w:eastAsia="zh-CN"/>
        </w:rPr>
        <w:t>本次委托</w:t>
      </w:r>
      <w:r>
        <w:rPr>
          <w:rFonts w:hint="eastAsia"/>
          <w:lang w:eastAsia="zh-CN"/>
        </w:rPr>
        <w:t>中博源检测（云南）</w:t>
      </w:r>
      <w:r>
        <w:rPr>
          <w:rFonts w:hint="default"/>
        </w:rPr>
        <w:t>有限公司</w:t>
      </w:r>
      <w:r>
        <w:rPr>
          <w:rFonts w:hint="eastAsia"/>
          <w:lang w:val="en-US" w:eastAsia="zh-CN"/>
        </w:rPr>
        <w:t>于2025年10月23日—2025年11月2</w:t>
      </w:r>
      <w:r>
        <w:rPr>
          <w:rFonts w:hint="default"/>
          <w:lang w:eastAsia="zh-CN"/>
        </w:rPr>
        <w:t>日对评价区进行了空气环境现状监测</w:t>
      </w:r>
      <w:r>
        <w:rPr>
          <w:rFonts w:hint="eastAsia"/>
          <w:lang w:eastAsia="zh-CN"/>
        </w:rPr>
        <w:t>。</w:t>
      </w:r>
    </w:p>
    <w:p w14:paraId="0A5ABAAD">
      <w:pPr>
        <w:pStyle w:val="41"/>
        <w:bidi w:val="0"/>
        <w:rPr>
          <w:rFonts w:hint="default"/>
          <w:lang w:eastAsia="zh-CN"/>
        </w:rPr>
      </w:pPr>
      <w:r>
        <w:rPr>
          <w:rFonts w:hint="default"/>
          <w:lang w:val="en-US" w:eastAsia="zh-CN"/>
        </w:rPr>
        <w:t>1）</w:t>
      </w:r>
      <w:r>
        <w:rPr>
          <w:rFonts w:hint="default"/>
        </w:rPr>
        <w:t>监测项目：TSP</w:t>
      </w:r>
      <w:r>
        <w:rPr>
          <w:rFonts w:hint="default"/>
          <w:lang w:eastAsia="zh-CN"/>
        </w:rPr>
        <w:t>。</w:t>
      </w:r>
    </w:p>
    <w:p w14:paraId="3038EC93">
      <w:pPr>
        <w:pStyle w:val="41"/>
        <w:bidi w:val="0"/>
        <w:rPr>
          <w:rFonts w:hint="default"/>
          <w:lang w:eastAsia="zh-CN"/>
        </w:rPr>
      </w:pPr>
      <w:r>
        <w:rPr>
          <w:rFonts w:hint="default"/>
          <w:lang w:val="en-US" w:eastAsia="zh-CN"/>
        </w:rPr>
        <w:t>2）</w:t>
      </w:r>
      <w:r>
        <w:rPr>
          <w:rFonts w:hint="default"/>
        </w:rPr>
        <w:t>监测点位：</w:t>
      </w:r>
      <w:r>
        <w:rPr>
          <w:rFonts w:hint="eastAsia"/>
          <w:lang w:val="en-US" w:eastAsia="zh-CN"/>
        </w:rPr>
        <w:t>设置1个监测点位，</w:t>
      </w:r>
      <w:r>
        <w:rPr>
          <w:rFonts w:hint="default"/>
          <w:lang w:val="en-US" w:eastAsia="zh-CN"/>
        </w:rPr>
        <w:t>位于项目场地</w:t>
      </w:r>
      <w:r>
        <w:rPr>
          <w:rFonts w:hint="eastAsia"/>
          <w:lang w:val="en-US" w:eastAsia="zh-CN"/>
        </w:rPr>
        <w:t>内</w:t>
      </w:r>
      <w:r>
        <w:rPr>
          <w:rFonts w:hint="default"/>
          <w:lang w:eastAsia="zh-CN"/>
        </w:rPr>
        <w:t>。</w:t>
      </w:r>
    </w:p>
    <w:p w14:paraId="78C0FA7A">
      <w:pPr>
        <w:pStyle w:val="41"/>
        <w:bidi w:val="0"/>
        <w:rPr>
          <w:rFonts w:hint="default"/>
        </w:rPr>
      </w:pPr>
      <w:r>
        <w:rPr>
          <w:rFonts w:hint="default"/>
          <w:lang w:val="en-US" w:eastAsia="zh-CN"/>
        </w:rPr>
        <w:t>3）</w:t>
      </w:r>
      <w:r>
        <w:rPr>
          <w:rFonts w:hint="default"/>
        </w:rPr>
        <w:t>监测周期及频率：连续采样7天，每天至少有24小时的采样时间。</w:t>
      </w:r>
    </w:p>
    <w:p w14:paraId="75C9F732">
      <w:pPr>
        <w:pStyle w:val="41"/>
        <w:bidi w:val="0"/>
        <w:rPr>
          <w:rFonts w:hint="default"/>
        </w:rPr>
      </w:pPr>
      <w:r>
        <w:rPr>
          <w:rFonts w:hint="default"/>
          <w:lang w:val="en-US" w:eastAsia="zh-CN"/>
        </w:rPr>
        <w:t>4）</w:t>
      </w:r>
      <w:r>
        <w:rPr>
          <w:rFonts w:hint="default"/>
        </w:rPr>
        <w:t>监测方法：按</w:t>
      </w:r>
      <w:r>
        <w:rPr>
          <w:rFonts w:hint="eastAsia"/>
          <w:lang w:eastAsia="zh-CN"/>
        </w:rPr>
        <w:t>《</w:t>
      </w:r>
      <w:r>
        <w:rPr>
          <w:rFonts w:hint="default"/>
        </w:rPr>
        <w:t>环境</w:t>
      </w:r>
      <w:r>
        <w:rPr>
          <w:rFonts w:hint="default"/>
          <w:lang w:eastAsia="zh-CN"/>
        </w:rPr>
        <w:t>影响</w:t>
      </w:r>
      <w:r>
        <w:rPr>
          <w:rFonts w:hint="default"/>
        </w:rPr>
        <w:t>评价技术导则</w:t>
      </w:r>
      <w:r>
        <w:rPr>
          <w:rFonts w:hint="default"/>
          <w:lang w:val="en-US" w:eastAsia="zh-CN"/>
        </w:rPr>
        <w:t xml:space="preserve"> </w:t>
      </w:r>
      <w:r>
        <w:rPr>
          <w:rFonts w:hint="default"/>
        </w:rPr>
        <w:t>大气环境》（HJ2.2-2018）中的规定进行监测，监测值应符合GB3095对数据有效性的规定。</w:t>
      </w:r>
    </w:p>
    <w:p w14:paraId="0D250B72">
      <w:pPr>
        <w:pStyle w:val="41"/>
        <w:bidi w:val="0"/>
        <w:rPr>
          <w:rFonts w:hint="default"/>
        </w:rPr>
      </w:pPr>
      <w:r>
        <w:rPr>
          <w:rFonts w:hint="eastAsia"/>
          <w:lang w:val="en-US" w:eastAsia="zh-CN"/>
        </w:rPr>
        <w:t>5</w:t>
      </w:r>
      <w:r>
        <w:rPr>
          <w:rFonts w:hint="default"/>
          <w:lang w:eastAsia="zh-CN"/>
        </w:rPr>
        <w:t>）</w:t>
      </w:r>
      <w:r>
        <w:rPr>
          <w:rFonts w:hint="default"/>
        </w:rPr>
        <w:t>现状评价结果</w:t>
      </w:r>
    </w:p>
    <w:p w14:paraId="02025DBD">
      <w:pPr>
        <w:pStyle w:val="41"/>
        <w:bidi w:val="0"/>
        <w:rPr>
          <w:rFonts w:hint="default"/>
        </w:rPr>
      </w:pPr>
      <w:r>
        <w:rPr>
          <w:rFonts w:hint="default"/>
        </w:rPr>
        <w:t>采用单因子指数法进行环境空气质量现状评价。单因子指数法的数学表达式</w:t>
      </w:r>
      <w:r>
        <w:rPr>
          <w:rFonts w:hint="default"/>
          <w:lang w:eastAsia="zh-CN"/>
        </w:rPr>
        <w:t>如下</w:t>
      </w:r>
      <w:r>
        <w:rPr>
          <w:rFonts w:hint="default"/>
        </w:rPr>
        <w:t>：</w:t>
      </w:r>
    </w:p>
    <w:p w14:paraId="47A5DDA8">
      <w:pPr>
        <w:pStyle w:val="41"/>
        <w:bidi w:val="0"/>
        <w:rPr>
          <w:rFonts w:hint="default"/>
        </w:rPr>
      </w:pPr>
      <w:r>
        <w:rPr>
          <w:rFonts w:hint="default"/>
        </w:rPr>
        <w:t>Pi=Ci/Si</w:t>
      </w:r>
    </w:p>
    <w:p w14:paraId="5628237F">
      <w:pPr>
        <w:pStyle w:val="41"/>
        <w:bidi w:val="0"/>
        <w:rPr>
          <w:rFonts w:hint="default"/>
        </w:rPr>
      </w:pPr>
      <w:r>
        <w:rPr>
          <w:rFonts w:hint="default"/>
        </w:rPr>
        <w:t>式中：Pi—某污染物i的单因子标准指数；</w:t>
      </w:r>
    </w:p>
    <w:p w14:paraId="08447679">
      <w:pPr>
        <w:pStyle w:val="41"/>
        <w:bidi w:val="0"/>
        <w:rPr>
          <w:rFonts w:hint="default"/>
        </w:rPr>
      </w:pPr>
      <w:r>
        <w:rPr>
          <w:rFonts w:hint="default"/>
        </w:rPr>
        <w:t xml:space="preserve">      Ci—i污染物的监测浓度值，µg/</w:t>
      </w:r>
      <w:r>
        <w:rPr>
          <w:rFonts w:hint="eastAsia"/>
          <w:lang w:eastAsia="zh-CN"/>
        </w:rPr>
        <w:t>m</w:t>
      </w:r>
      <w:r>
        <w:rPr>
          <w:rFonts w:hint="eastAsia"/>
          <w:vertAlign w:val="superscript"/>
          <w:lang w:eastAsia="zh-CN"/>
        </w:rPr>
        <w:t>3</w:t>
      </w:r>
      <w:r>
        <w:rPr>
          <w:rFonts w:hint="default"/>
        </w:rPr>
        <w:t>；</w:t>
      </w:r>
    </w:p>
    <w:p w14:paraId="58CE0A0B">
      <w:pPr>
        <w:pStyle w:val="41"/>
        <w:bidi w:val="0"/>
        <w:rPr>
          <w:rFonts w:hint="eastAsia" w:eastAsia="宋体"/>
          <w:lang w:eastAsia="zh-CN"/>
        </w:rPr>
      </w:pPr>
      <w:r>
        <w:rPr>
          <w:rFonts w:hint="default"/>
        </w:rPr>
        <w:t xml:space="preserve">      Si—i污染物相应的环境质量标准值，µg/</w:t>
      </w:r>
      <w:r>
        <w:rPr>
          <w:rFonts w:hint="eastAsia"/>
          <w:lang w:eastAsia="zh-CN"/>
        </w:rPr>
        <w:t>m</w:t>
      </w:r>
      <w:r>
        <w:rPr>
          <w:rFonts w:hint="eastAsia"/>
          <w:vertAlign w:val="superscript"/>
          <w:lang w:eastAsia="zh-CN"/>
        </w:rPr>
        <w:t>3</w:t>
      </w:r>
    </w:p>
    <w:p w14:paraId="0CA65467">
      <w:pPr>
        <w:pStyle w:val="41"/>
        <w:bidi w:val="0"/>
        <w:rPr>
          <w:rFonts w:hint="default"/>
        </w:rPr>
      </w:pPr>
      <w:r>
        <w:rPr>
          <w:rFonts w:hint="eastAsia"/>
          <w:lang w:val="en-US" w:eastAsia="zh-CN"/>
        </w:rPr>
        <w:t>6</w:t>
      </w:r>
      <w:r>
        <w:rPr>
          <w:rFonts w:hint="default"/>
          <w:lang w:eastAsia="zh-CN"/>
        </w:rPr>
        <w:t>）</w:t>
      </w:r>
      <w:r>
        <w:rPr>
          <w:rFonts w:hint="default"/>
        </w:rPr>
        <w:t>监测结果统计</w:t>
      </w:r>
    </w:p>
    <w:p w14:paraId="57D4D34E">
      <w:pPr>
        <w:pStyle w:val="41"/>
        <w:bidi w:val="0"/>
        <w:rPr>
          <w:rFonts w:hint="default"/>
        </w:rPr>
      </w:pPr>
      <w:bookmarkStart w:id="353" w:name="_bookmark113"/>
      <w:bookmarkEnd w:id="353"/>
      <w:r>
        <w:rPr>
          <w:rFonts w:hint="eastAsia"/>
          <w:lang w:val="en-US" w:eastAsia="zh-CN"/>
        </w:rPr>
        <w:t>根据监测报告，本次补充监测的结果如下</w:t>
      </w:r>
      <w:r>
        <w:rPr>
          <w:rFonts w:hint="default"/>
        </w:rPr>
        <w:t>。</w:t>
      </w:r>
    </w:p>
    <w:p w14:paraId="4F7F341A">
      <w:pPr>
        <w:pStyle w:val="45"/>
        <w:bidi w:val="0"/>
        <w:rPr>
          <w:rFonts w:hint="default"/>
          <w:lang w:val="en-US" w:eastAsia="zh-CN"/>
        </w:rPr>
      </w:pPr>
      <w:r>
        <w:rPr>
          <w:rFonts w:hint="default"/>
          <w:lang w:val="en-US" w:eastAsia="zh-CN"/>
        </w:rPr>
        <w:t>表</w:t>
      </w:r>
      <w:r>
        <w:rPr>
          <w:rFonts w:hint="eastAsia"/>
          <w:lang w:val="en-US" w:eastAsia="zh-CN"/>
        </w:rPr>
        <w:t>5.3</w:t>
      </w:r>
      <w:r>
        <w:rPr>
          <w:rFonts w:hint="default"/>
          <w:lang w:val="en-US" w:eastAsia="zh-CN"/>
        </w:rPr>
        <w:t>-1  环境空气质量补充监测结果一览表</w:t>
      </w:r>
    </w:p>
    <w:tbl>
      <w:tblPr>
        <w:tblStyle w:val="3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8"/>
        <w:gridCol w:w="1827"/>
        <w:gridCol w:w="1261"/>
        <w:gridCol w:w="1424"/>
        <w:gridCol w:w="1009"/>
        <w:gridCol w:w="744"/>
        <w:gridCol w:w="782"/>
        <w:gridCol w:w="705"/>
        <w:gridCol w:w="389"/>
      </w:tblGrid>
      <w:tr w14:paraId="2140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6" w:hRule="atLeast"/>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41FF9">
            <w:pPr>
              <w:pStyle w:val="43"/>
              <w:bidi w:val="0"/>
              <w:rPr>
                <w:rFonts w:hint="eastAsia"/>
                <w:b/>
                <w:bCs/>
              </w:rPr>
            </w:pPr>
            <w:r>
              <w:rPr>
                <w:rFonts w:hint="eastAsia"/>
                <w:b/>
                <w:bCs/>
                <w:lang w:val="en-US" w:eastAsia="zh-CN"/>
              </w:rPr>
              <w:t>采样地点</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E2343">
            <w:pPr>
              <w:pStyle w:val="43"/>
              <w:bidi w:val="0"/>
              <w:rPr>
                <w:rFonts w:hint="eastAsia"/>
                <w:b/>
                <w:bCs/>
              </w:rPr>
            </w:pPr>
            <w:r>
              <w:rPr>
                <w:rFonts w:hint="eastAsia"/>
                <w:b/>
                <w:bCs/>
                <w:lang w:val="en-US" w:eastAsia="zh-CN"/>
              </w:rPr>
              <w:t>采样日期</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1CF3">
            <w:pPr>
              <w:pStyle w:val="43"/>
              <w:bidi w:val="0"/>
              <w:rPr>
                <w:rFonts w:hint="eastAsia"/>
                <w:b/>
                <w:bCs/>
              </w:rPr>
            </w:pPr>
            <w:r>
              <w:rPr>
                <w:rFonts w:hint="eastAsia"/>
                <w:b/>
                <w:bCs/>
                <w:lang w:val="en-US" w:eastAsia="zh-CN"/>
              </w:rPr>
              <w:t>采样时间</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9D5D">
            <w:pPr>
              <w:pStyle w:val="43"/>
              <w:bidi w:val="0"/>
              <w:rPr>
                <w:rFonts w:hint="eastAsia"/>
                <w:b/>
                <w:bCs/>
              </w:rPr>
            </w:pPr>
            <w:r>
              <w:rPr>
                <w:rFonts w:hint="eastAsia"/>
                <w:b/>
                <w:bCs/>
                <w:lang w:val="en-US" w:eastAsia="zh-CN"/>
              </w:rPr>
              <w:t>样品编号</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57C6D">
            <w:pPr>
              <w:pStyle w:val="43"/>
              <w:bidi w:val="0"/>
              <w:rPr>
                <w:rFonts w:hint="eastAsia"/>
                <w:b/>
                <w:bCs/>
              </w:rPr>
            </w:pPr>
            <w:r>
              <w:rPr>
                <w:rFonts w:hint="eastAsia"/>
                <w:b/>
                <w:bCs/>
                <w:lang w:val="en-US" w:eastAsia="zh-CN"/>
              </w:rPr>
              <w:t>总悬浮颗粒物（</w:t>
            </w:r>
            <w:r>
              <w:rPr>
                <w:rFonts w:hint="default"/>
                <w:b/>
                <w:bCs/>
                <w:lang w:val="en-US" w:eastAsia="zh-CN"/>
              </w:rPr>
              <w:t>μg/</w:t>
            </w:r>
            <w:r>
              <w:rPr>
                <w:rFonts w:hint="eastAsia"/>
                <w:b/>
                <w:bCs/>
                <w:lang w:val="en-US" w:eastAsia="zh-CN"/>
              </w:rPr>
              <w:t>m</w:t>
            </w:r>
            <w:r>
              <w:rPr>
                <w:rFonts w:hint="eastAsia"/>
                <w:b/>
                <w:bCs/>
                <w:vertAlign w:val="superscript"/>
                <w:lang w:val="en-US" w:eastAsia="zh-CN"/>
              </w:rPr>
              <w:t>3</w:t>
            </w:r>
            <w:r>
              <w:rPr>
                <w:rFonts w:hint="eastAsia"/>
                <w:b/>
                <w:bCs/>
                <w:lang w:val="en-US" w:eastAsia="zh-CN"/>
              </w:rPr>
              <w:t>）</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A989B">
            <w:pPr>
              <w:pStyle w:val="43"/>
              <w:bidi w:val="0"/>
              <w:rPr>
                <w:rFonts w:hint="eastAsia"/>
                <w:b/>
                <w:bCs/>
              </w:rPr>
            </w:pPr>
            <w:r>
              <w:rPr>
                <w:rFonts w:hint="eastAsia"/>
                <w:b/>
                <w:bCs/>
                <w:lang w:val="en-US" w:eastAsia="zh-CN"/>
              </w:rPr>
              <w:t>执行标准（</w:t>
            </w:r>
            <w:r>
              <w:rPr>
                <w:rFonts w:hint="default"/>
                <w:b/>
                <w:bCs/>
                <w:lang w:val="en-US" w:eastAsia="zh-CN"/>
              </w:rPr>
              <w:t>μg/</w:t>
            </w:r>
            <w:r>
              <w:rPr>
                <w:rFonts w:hint="eastAsia"/>
                <w:b/>
                <w:bCs/>
                <w:lang w:val="en-US" w:eastAsia="zh-CN"/>
              </w:rPr>
              <w:t>m</w:t>
            </w:r>
            <w:r>
              <w:rPr>
                <w:rFonts w:hint="eastAsia"/>
                <w:b/>
                <w:bCs/>
                <w:vertAlign w:val="superscript"/>
                <w:lang w:val="en-US" w:eastAsia="zh-CN"/>
              </w:rPr>
              <w:t>3</w:t>
            </w:r>
            <w:r>
              <w:rPr>
                <w:rFonts w:hint="eastAsia"/>
                <w:b/>
                <w:bCs/>
                <w:lang w:val="en-US" w:eastAsia="zh-CN"/>
              </w:rPr>
              <w:t>）</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3C654">
            <w:pPr>
              <w:pStyle w:val="43"/>
              <w:bidi w:val="0"/>
              <w:rPr>
                <w:rFonts w:hint="eastAsia"/>
                <w:b/>
                <w:bCs/>
              </w:rPr>
            </w:pPr>
            <w:r>
              <w:rPr>
                <w:rFonts w:hint="eastAsia"/>
                <w:b/>
                <w:bCs/>
                <w:lang w:val="en-US" w:eastAsia="zh-CN"/>
              </w:rPr>
              <w:t>标准指数</w:t>
            </w:r>
            <w:r>
              <w:rPr>
                <w:rFonts w:hint="default"/>
                <w:b/>
                <w:bCs/>
                <w:lang w:val="en-US" w:eastAsia="zh-CN"/>
              </w:rPr>
              <w:t>Pi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D13D">
            <w:pPr>
              <w:pStyle w:val="43"/>
              <w:bidi w:val="0"/>
              <w:rPr>
                <w:rFonts w:hint="eastAsia"/>
                <w:b/>
                <w:bCs/>
              </w:rPr>
            </w:pPr>
            <w:r>
              <w:rPr>
                <w:rFonts w:hint="eastAsia"/>
                <w:b/>
                <w:bCs/>
                <w:lang w:val="en-US" w:eastAsia="zh-CN"/>
              </w:rPr>
              <w:t>超标率（</w:t>
            </w:r>
            <w:r>
              <w:rPr>
                <w:rFonts w:hint="default"/>
                <w:b/>
                <w:bCs/>
                <w:lang w:val="en-US" w:eastAsia="zh-CN"/>
              </w:rPr>
              <w:t>%</w:t>
            </w:r>
            <w:r>
              <w:rPr>
                <w:rFonts w:hint="eastAsia"/>
                <w:b/>
                <w:bCs/>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6F37F">
            <w:pPr>
              <w:pStyle w:val="43"/>
              <w:bidi w:val="0"/>
              <w:rPr>
                <w:rFonts w:hint="eastAsia"/>
                <w:b/>
                <w:bCs/>
              </w:rPr>
            </w:pPr>
            <w:r>
              <w:rPr>
                <w:rFonts w:hint="eastAsia"/>
                <w:b/>
                <w:bCs/>
                <w:lang w:val="en-US" w:eastAsia="zh-CN"/>
              </w:rPr>
              <w:t>达标情况</w:t>
            </w:r>
          </w:p>
        </w:tc>
      </w:tr>
      <w:tr w14:paraId="2660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B204C">
            <w:pPr>
              <w:pStyle w:val="43"/>
              <w:bidi w:val="0"/>
              <w:rPr>
                <w:rFonts w:hint="default" w:eastAsia="宋体"/>
                <w:lang w:val="en-US" w:eastAsia="zh-CN"/>
              </w:rPr>
            </w:pPr>
            <w:r>
              <w:rPr>
                <w:rFonts w:hint="eastAsia"/>
                <w:lang w:val="en-US" w:eastAsia="zh-CN"/>
              </w:rPr>
              <w:t>场地内</w:t>
            </w: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EEC71">
            <w:pPr>
              <w:pStyle w:val="43"/>
              <w:bidi w:val="0"/>
              <w:rPr>
                <w:rFonts w:hint="default"/>
              </w:rPr>
            </w:pPr>
            <w:r>
              <w:rPr>
                <w:rFonts w:hint="default"/>
                <w:lang w:val="en-US" w:eastAsia="zh-CN"/>
              </w:rPr>
              <w:t>2025.10.23-2025.10.24</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4190">
            <w:pPr>
              <w:pStyle w:val="43"/>
              <w:bidi w:val="0"/>
              <w:rPr>
                <w:rFonts w:hint="default"/>
              </w:rPr>
            </w:pPr>
            <w:r>
              <w:rPr>
                <w:rFonts w:hint="default"/>
                <w:lang w:val="en-US" w:eastAsia="zh-CN"/>
              </w:rPr>
              <w:t>09:00-</w:t>
            </w:r>
            <w:r>
              <w:rPr>
                <w:lang w:val="en-US" w:eastAsia="zh-CN"/>
              </w:rPr>
              <w:t>次日</w:t>
            </w:r>
            <w:r>
              <w:rPr>
                <w:rFonts w:hint="default"/>
                <w:lang w:val="en-US" w:eastAsia="zh-CN"/>
              </w:rPr>
              <w:t>09:00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0273">
            <w:pPr>
              <w:pStyle w:val="43"/>
              <w:bidi w:val="0"/>
              <w:rPr>
                <w:rFonts w:hint="default"/>
              </w:rPr>
            </w:pPr>
            <w:r>
              <w:rPr>
                <w:rFonts w:hint="default"/>
                <w:lang w:val="en-US" w:eastAsia="zh-CN"/>
              </w:rPr>
              <w:t>20251022004HTSP-1-1-1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96D17">
            <w:pPr>
              <w:pStyle w:val="43"/>
              <w:bidi w:val="0"/>
              <w:rPr>
                <w:rFonts w:hint="default"/>
              </w:rPr>
            </w:pPr>
            <w:r>
              <w:rPr>
                <w:rFonts w:hint="default"/>
                <w:lang w:val="en-US" w:eastAsia="zh-CN"/>
              </w:rPr>
              <w:t>188</w:t>
            </w:r>
          </w:p>
        </w:tc>
        <w:tc>
          <w:tcPr>
            <w:tcW w:w="4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C8DC5">
            <w:pPr>
              <w:pStyle w:val="43"/>
              <w:bidi w:val="0"/>
              <w:rPr>
                <w:rFonts w:hint="default"/>
              </w:rPr>
            </w:pPr>
            <w:r>
              <w:rPr>
                <w:rFonts w:hint="default"/>
                <w:lang w:val="en-US" w:eastAsia="zh-CN"/>
              </w:rPr>
              <w:t>300</w:t>
            </w: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2D51">
            <w:pPr>
              <w:pStyle w:val="43"/>
              <w:bidi w:val="0"/>
              <w:rPr>
                <w:rFonts w:hint="default"/>
              </w:rPr>
            </w:pPr>
            <w:r>
              <w:rPr>
                <w:rFonts w:hint="default"/>
                <w:lang w:val="en-US" w:eastAsia="zh-CN"/>
              </w:rPr>
              <w:t xml:space="preserve">0.63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E1A4">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2DB14">
            <w:pPr>
              <w:pStyle w:val="43"/>
              <w:bidi w:val="0"/>
              <w:rPr>
                <w:rFonts w:hint="eastAsia"/>
              </w:rPr>
            </w:pPr>
            <w:r>
              <w:rPr>
                <w:rFonts w:hint="eastAsia"/>
                <w:lang w:val="en-US" w:eastAsia="zh-CN"/>
              </w:rPr>
              <w:t>达标</w:t>
            </w:r>
          </w:p>
        </w:tc>
      </w:tr>
      <w:tr w14:paraId="6A0A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CF5B7">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AED22">
            <w:pPr>
              <w:pStyle w:val="43"/>
              <w:bidi w:val="0"/>
              <w:rPr>
                <w:rFonts w:hint="default"/>
              </w:rPr>
            </w:pPr>
            <w:r>
              <w:rPr>
                <w:rFonts w:hint="default"/>
                <w:lang w:val="en-US" w:eastAsia="zh-CN"/>
              </w:rPr>
              <w:t>2025.10.24-2025.10.25</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4264">
            <w:pPr>
              <w:pStyle w:val="43"/>
              <w:bidi w:val="0"/>
              <w:rPr>
                <w:rFonts w:hint="default"/>
              </w:rPr>
            </w:pPr>
            <w:r>
              <w:rPr>
                <w:rFonts w:hint="default"/>
                <w:lang w:val="en-US" w:eastAsia="zh-CN"/>
              </w:rPr>
              <w:t>09:20-</w:t>
            </w:r>
            <w:r>
              <w:rPr>
                <w:lang w:val="en-US" w:eastAsia="zh-CN"/>
              </w:rPr>
              <w:t>次日</w:t>
            </w:r>
            <w:r>
              <w:rPr>
                <w:rFonts w:hint="default"/>
                <w:lang w:val="en-US" w:eastAsia="zh-CN"/>
              </w:rPr>
              <w:t>09:20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A9E1">
            <w:pPr>
              <w:pStyle w:val="43"/>
              <w:bidi w:val="0"/>
              <w:rPr>
                <w:rFonts w:hint="default"/>
              </w:rPr>
            </w:pPr>
            <w:r>
              <w:rPr>
                <w:rFonts w:hint="default"/>
                <w:lang w:val="en-US" w:eastAsia="zh-CN"/>
              </w:rPr>
              <w:t>20251022004HTSP-1-2-1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316B">
            <w:pPr>
              <w:pStyle w:val="43"/>
              <w:bidi w:val="0"/>
              <w:rPr>
                <w:rFonts w:hint="default"/>
              </w:rPr>
            </w:pPr>
            <w:r>
              <w:rPr>
                <w:rFonts w:hint="default"/>
                <w:lang w:val="en-US" w:eastAsia="zh-CN"/>
              </w:rPr>
              <w:t>183</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0553C">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0249">
            <w:pPr>
              <w:pStyle w:val="43"/>
              <w:bidi w:val="0"/>
              <w:rPr>
                <w:rFonts w:hint="default"/>
              </w:rPr>
            </w:pPr>
            <w:r>
              <w:rPr>
                <w:rFonts w:hint="default"/>
                <w:lang w:val="en-US" w:eastAsia="zh-CN"/>
              </w:rPr>
              <w:t xml:space="preserve">0.61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FD5B">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D0E46">
            <w:pPr>
              <w:pStyle w:val="43"/>
              <w:bidi w:val="0"/>
              <w:rPr>
                <w:rFonts w:hint="eastAsia"/>
              </w:rPr>
            </w:pPr>
            <w:r>
              <w:rPr>
                <w:rFonts w:hint="eastAsia"/>
                <w:lang w:val="en-US" w:eastAsia="zh-CN"/>
              </w:rPr>
              <w:t>达标</w:t>
            </w:r>
          </w:p>
        </w:tc>
      </w:tr>
      <w:tr w14:paraId="07C0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0927F">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E2285">
            <w:pPr>
              <w:pStyle w:val="43"/>
              <w:bidi w:val="0"/>
              <w:rPr>
                <w:rFonts w:hint="default"/>
              </w:rPr>
            </w:pPr>
            <w:r>
              <w:rPr>
                <w:rFonts w:hint="default"/>
                <w:lang w:val="en-US" w:eastAsia="zh-CN"/>
              </w:rPr>
              <w:t>2025.10.25-2025.10.26</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77DB">
            <w:pPr>
              <w:pStyle w:val="43"/>
              <w:bidi w:val="0"/>
              <w:rPr>
                <w:rFonts w:hint="default"/>
              </w:rPr>
            </w:pPr>
            <w:r>
              <w:rPr>
                <w:rFonts w:hint="default"/>
                <w:lang w:val="en-US" w:eastAsia="zh-CN"/>
              </w:rPr>
              <w:t>09:40-</w:t>
            </w:r>
            <w:r>
              <w:rPr>
                <w:lang w:val="en-US" w:eastAsia="zh-CN"/>
              </w:rPr>
              <w:t>次日</w:t>
            </w:r>
            <w:r>
              <w:rPr>
                <w:rFonts w:hint="default"/>
                <w:lang w:val="en-US" w:eastAsia="zh-CN"/>
              </w:rPr>
              <w:t>09:40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3ED10">
            <w:pPr>
              <w:pStyle w:val="43"/>
              <w:bidi w:val="0"/>
              <w:rPr>
                <w:rFonts w:hint="default"/>
              </w:rPr>
            </w:pPr>
            <w:r>
              <w:rPr>
                <w:rFonts w:hint="default"/>
                <w:lang w:val="en-US" w:eastAsia="zh-CN"/>
              </w:rPr>
              <w:t>20251022004HTSP-1-3-1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1403">
            <w:pPr>
              <w:pStyle w:val="43"/>
              <w:bidi w:val="0"/>
              <w:rPr>
                <w:rFonts w:hint="default"/>
              </w:rPr>
            </w:pPr>
            <w:r>
              <w:rPr>
                <w:rFonts w:hint="default"/>
                <w:lang w:val="en-US" w:eastAsia="zh-CN"/>
              </w:rPr>
              <w:t>185</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9E60A">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AF460">
            <w:pPr>
              <w:pStyle w:val="43"/>
              <w:bidi w:val="0"/>
              <w:rPr>
                <w:rFonts w:hint="default"/>
              </w:rPr>
            </w:pPr>
            <w:r>
              <w:rPr>
                <w:rFonts w:hint="default"/>
                <w:lang w:val="en-US" w:eastAsia="zh-CN"/>
              </w:rPr>
              <w:t xml:space="preserve">0.62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4BE7">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6821E">
            <w:pPr>
              <w:pStyle w:val="43"/>
              <w:bidi w:val="0"/>
              <w:rPr>
                <w:rFonts w:hint="eastAsia"/>
              </w:rPr>
            </w:pPr>
            <w:r>
              <w:rPr>
                <w:rFonts w:hint="eastAsia"/>
                <w:lang w:val="en-US" w:eastAsia="zh-CN"/>
              </w:rPr>
              <w:t>达标</w:t>
            </w:r>
          </w:p>
        </w:tc>
      </w:tr>
      <w:tr w14:paraId="7461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5E345">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E0B7">
            <w:pPr>
              <w:pStyle w:val="43"/>
              <w:bidi w:val="0"/>
              <w:rPr>
                <w:rFonts w:hint="default"/>
              </w:rPr>
            </w:pPr>
            <w:r>
              <w:rPr>
                <w:rFonts w:hint="default"/>
                <w:lang w:val="en-US" w:eastAsia="zh-CN"/>
              </w:rPr>
              <w:t>2025.10.26-2025.10.27</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A960D">
            <w:pPr>
              <w:pStyle w:val="43"/>
              <w:bidi w:val="0"/>
              <w:rPr>
                <w:rFonts w:hint="default"/>
              </w:rPr>
            </w:pPr>
            <w:r>
              <w:rPr>
                <w:rFonts w:hint="default"/>
                <w:lang w:val="en-US" w:eastAsia="zh-CN"/>
              </w:rPr>
              <w:t>10:00-</w:t>
            </w:r>
            <w:r>
              <w:rPr>
                <w:lang w:val="en-US" w:eastAsia="zh-CN"/>
              </w:rPr>
              <w:t>次日</w:t>
            </w:r>
            <w:r>
              <w:rPr>
                <w:rFonts w:hint="default"/>
                <w:lang w:val="en-US" w:eastAsia="zh-CN"/>
              </w:rPr>
              <w:t>10:00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1C9FF">
            <w:pPr>
              <w:pStyle w:val="43"/>
              <w:bidi w:val="0"/>
              <w:rPr>
                <w:rFonts w:hint="default"/>
              </w:rPr>
            </w:pPr>
            <w:r>
              <w:rPr>
                <w:rFonts w:hint="default"/>
                <w:lang w:val="en-US" w:eastAsia="zh-CN"/>
              </w:rPr>
              <w:t>20251022004HTSP-1-4-1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A2480">
            <w:pPr>
              <w:pStyle w:val="43"/>
              <w:bidi w:val="0"/>
              <w:rPr>
                <w:rFonts w:hint="default"/>
              </w:rPr>
            </w:pPr>
            <w:r>
              <w:rPr>
                <w:rFonts w:hint="default"/>
                <w:lang w:val="en-US" w:eastAsia="zh-CN"/>
              </w:rPr>
              <w:t>187</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D6F41">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0033F">
            <w:pPr>
              <w:pStyle w:val="43"/>
              <w:bidi w:val="0"/>
              <w:rPr>
                <w:rFonts w:hint="default"/>
              </w:rPr>
            </w:pPr>
            <w:r>
              <w:rPr>
                <w:rFonts w:hint="default"/>
                <w:lang w:val="en-US" w:eastAsia="zh-CN"/>
              </w:rPr>
              <w:t xml:space="preserve">0.62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6F628">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5AB3">
            <w:pPr>
              <w:pStyle w:val="43"/>
              <w:bidi w:val="0"/>
              <w:rPr>
                <w:rFonts w:hint="eastAsia"/>
              </w:rPr>
            </w:pPr>
            <w:r>
              <w:rPr>
                <w:rFonts w:hint="eastAsia"/>
                <w:lang w:val="en-US" w:eastAsia="zh-CN"/>
              </w:rPr>
              <w:t>达标</w:t>
            </w:r>
          </w:p>
        </w:tc>
      </w:tr>
      <w:tr w14:paraId="75E1F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C0FB9">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A8B83">
            <w:pPr>
              <w:pStyle w:val="43"/>
              <w:bidi w:val="0"/>
              <w:rPr>
                <w:rFonts w:hint="default"/>
              </w:rPr>
            </w:pPr>
            <w:r>
              <w:rPr>
                <w:rFonts w:hint="default"/>
                <w:lang w:val="en-US" w:eastAsia="zh-CN"/>
              </w:rPr>
              <w:t>2025.10.27-2025.10.28</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AAA1">
            <w:pPr>
              <w:pStyle w:val="43"/>
              <w:bidi w:val="0"/>
              <w:rPr>
                <w:rFonts w:hint="default"/>
              </w:rPr>
            </w:pPr>
            <w:r>
              <w:rPr>
                <w:rFonts w:hint="default"/>
                <w:lang w:val="en-US" w:eastAsia="zh-CN"/>
              </w:rPr>
              <w:t>10:20-</w:t>
            </w:r>
            <w:r>
              <w:rPr>
                <w:lang w:val="en-US" w:eastAsia="zh-CN"/>
              </w:rPr>
              <w:t>次日</w:t>
            </w:r>
            <w:r>
              <w:rPr>
                <w:rFonts w:hint="default"/>
                <w:lang w:val="en-US" w:eastAsia="zh-CN"/>
              </w:rPr>
              <w:t>10:20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60A1">
            <w:pPr>
              <w:pStyle w:val="43"/>
              <w:bidi w:val="0"/>
              <w:rPr>
                <w:rFonts w:hint="default"/>
              </w:rPr>
            </w:pPr>
            <w:r>
              <w:rPr>
                <w:rFonts w:hint="default"/>
                <w:lang w:val="en-US" w:eastAsia="zh-CN"/>
              </w:rPr>
              <w:t>20251022004HTSP-1-5-1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764D">
            <w:pPr>
              <w:pStyle w:val="43"/>
              <w:bidi w:val="0"/>
              <w:rPr>
                <w:rFonts w:hint="default"/>
              </w:rPr>
            </w:pPr>
            <w:r>
              <w:rPr>
                <w:rFonts w:hint="default"/>
                <w:lang w:val="en-US" w:eastAsia="zh-CN"/>
              </w:rPr>
              <w:t>184</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EB802">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411F2">
            <w:pPr>
              <w:pStyle w:val="43"/>
              <w:bidi w:val="0"/>
              <w:rPr>
                <w:rFonts w:hint="default"/>
              </w:rPr>
            </w:pPr>
            <w:r>
              <w:rPr>
                <w:rFonts w:hint="default"/>
                <w:lang w:val="en-US" w:eastAsia="zh-CN"/>
              </w:rPr>
              <w:t xml:space="preserve">0.61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2EC7D">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13D8D">
            <w:pPr>
              <w:pStyle w:val="43"/>
              <w:bidi w:val="0"/>
              <w:rPr>
                <w:rFonts w:hint="eastAsia"/>
              </w:rPr>
            </w:pPr>
            <w:r>
              <w:rPr>
                <w:rFonts w:hint="eastAsia"/>
                <w:lang w:val="en-US" w:eastAsia="zh-CN"/>
              </w:rPr>
              <w:t>达标</w:t>
            </w:r>
          </w:p>
        </w:tc>
      </w:tr>
      <w:tr w14:paraId="4573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8664E">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9203">
            <w:pPr>
              <w:pStyle w:val="43"/>
              <w:bidi w:val="0"/>
              <w:rPr>
                <w:rFonts w:hint="default"/>
              </w:rPr>
            </w:pPr>
            <w:r>
              <w:rPr>
                <w:rFonts w:hint="default"/>
                <w:lang w:val="en-US" w:eastAsia="zh-CN"/>
              </w:rPr>
              <w:t>2025.10.28-2025.10.29</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6291">
            <w:pPr>
              <w:pStyle w:val="43"/>
              <w:bidi w:val="0"/>
              <w:rPr>
                <w:rFonts w:hint="default"/>
              </w:rPr>
            </w:pPr>
            <w:r>
              <w:rPr>
                <w:rFonts w:hint="default"/>
                <w:lang w:val="en-US" w:eastAsia="zh-CN"/>
              </w:rPr>
              <w:t>10:40-</w:t>
            </w:r>
            <w:r>
              <w:rPr>
                <w:lang w:val="en-US" w:eastAsia="zh-CN"/>
              </w:rPr>
              <w:t>次日</w:t>
            </w:r>
            <w:r>
              <w:rPr>
                <w:rFonts w:hint="default"/>
                <w:lang w:val="en-US" w:eastAsia="zh-CN"/>
              </w:rPr>
              <w:t>10:40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3FCC">
            <w:pPr>
              <w:pStyle w:val="43"/>
              <w:bidi w:val="0"/>
              <w:rPr>
                <w:rFonts w:hint="default"/>
              </w:rPr>
            </w:pPr>
            <w:r>
              <w:rPr>
                <w:rFonts w:hint="default"/>
                <w:lang w:val="en-US" w:eastAsia="zh-CN"/>
              </w:rPr>
              <w:t>20251022004HTSP-1-6-1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3883">
            <w:pPr>
              <w:pStyle w:val="43"/>
              <w:bidi w:val="0"/>
              <w:rPr>
                <w:rFonts w:hint="default"/>
              </w:rPr>
            </w:pPr>
            <w:r>
              <w:rPr>
                <w:rFonts w:hint="default"/>
                <w:lang w:val="en-US" w:eastAsia="zh-CN"/>
              </w:rPr>
              <w:t>191</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CFA27">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3F36">
            <w:pPr>
              <w:pStyle w:val="43"/>
              <w:bidi w:val="0"/>
              <w:rPr>
                <w:rFonts w:hint="default"/>
              </w:rPr>
            </w:pPr>
            <w:r>
              <w:rPr>
                <w:rFonts w:hint="default"/>
                <w:lang w:val="en-US" w:eastAsia="zh-CN"/>
              </w:rPr>
              <w:t xml:space="preserve">0.64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9112">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DB954">
            <w:pPr>
              <w:pStyle w:val="43"/>
              <w:bidi w:val="0"/>
              <w:rPr>
                <w:rFonts w:hint="eastAsia"/>
              </w:rPr>
            </w:pPr>
            <w:r>
              <w:rPr>
                <w:rFonts w:hint="eastAsia"/>
                <w:lang w:val="en-US" w:eastAsia="zh-CN"/>
              </w:rPr>
              <w:t>达标</w:t>
            </w:r>
          </w:p>
        </w:tc>
      </w:tr>
      <w:tr w14:paraId="3BBD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460DD">
            <w:pPr>
              <w:pStyle w:val="43"/>
              <w:bidi w:val="0"/>
              <w:rPr>
                <w:rFonts w:hint="default"/>
              </w:rPr>
            </w:pPr>
          </w:p>
        </w:tc>
        <w:tc>
          <w:tcPr>
            <w:tcW w:w="10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5CA9">
            <w:pPr>
              <w:pStyle w:val="43"/>
              <w:bidi w:val="0"/>
              <w:rPr>
                <w:rFonts w:hint="default"/>
              </w:rPr>
            </w:pPr>
            <w:r>
              <w:rPr>
                <w:rFonts w:hint="default"/>
                <w:lang w:val="en-US" w:eastAsia="zh-CN"/>
              </w:rPr>
              <w:t>2025.10.29-2025.10.30</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8A74">
            <w:pPr>
              <w:pStyle w:val="43"/>
              <w:bidi w:val="0"/>
              <w:rPr>
                <w:rFonts w:hint="default"/>
              </w:rPr>
            </w:pPr>
            <w:r>
              <w:rPr>
                <w:rFonts w:hint="default"/>
                <w:lang w:val="en-US" w:eastAsia="zh-CN"/>
              </w:rPr>
              <w:t>11:00-</w:t>
            </w:r>
            <w:r>
              <w:rPr>
                <w:lang w:val="en-US" w:eastAsia="zh-CN"/>
              </w:rPr>
              <w:t>次日</w:t>
            </w:r>
            <w:r>
              <w:rPr>
                <w:rFonts w:hint="default"/>
                <w:lang w:val="en-US" w:eastAsia="zh-CN"/>
              </w:rPr>
              <w:t>11:00</w:t>
            </w:r>
          </w:p>
        </w:tc>
        <w:tc>
          <w:tcPr>
            <w:tcW w:w="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CC3B">
            <w:pPr>
              <w:pStyle w:val="43"/>
              <w:bidi w:val="0"/>
              <w:rPr>
                <w:rFonts w:hint="default"/>
              </w:rPr>
            </w:pPr>
            <w:r>
              <w:rPr>
                <w:rFonts w:hint="default"/>
                <w:lang w:val="en-US" w:eastAsia="zh-CN"/>
              </w:rPr>
              <w:t>20251022004HTSP-1-7-1</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C865">
            <w:pPr>
              <w:pStyle w:val="43"/>
              <w:bidi w:val="0"/>
              <w:rPr>
                <w:rFonts w:hint="default"/>
              </w:rPr>
            </w:pPr>
            <w:r>
              <w:rPr>
                <w:rFonts w:hint="default"/>
                <w:lang w:val="en-US" w:eastAsia="zh-CN"/>
              </w:rPr>
              <w:t>189</w:t>
            </w:r>
          </w:p>
        </w:tc>
        <w:tc>
          <w:tcPr>
            <w:tcW w:w="4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3EC22">
            <w:pPr>
              <w:pStyle w:val="43"/>
              <w:bidi w:val="0"/>
              <w:rPr>
                <w:rFonts w:hint="default"/>
              </w:rPr>
            </w:pPr>
          </w:p>
        </w:tc>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3F9B">
            <w:pPr>
              <w:pStyle w:val="43"/>
              <w:bidi w:val="0"/>
              <w:rPr>
                <w:rFonts w:hint="default"/>
              </w:rPr>
            </w:pPr>
            <w:r>
              <w:rPr>
                <w:rFonts w:hint="default"/>
                <w:lang w:val="en-US" w:eastAsia="zh-CN"/>
              </w:rPr>
              <w:t xml:space="preserve">0.63 </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4B4B">
            <w:pPr>
              <w:pStyle w:val="43"/>
              <w:bidi w:val="0"/>
              <w:rPr>
                <w:rFonts w:hint="default"/>
              </w:rPr>
            </w:pPr>
            <w:r>
              <w:rPr>
                <w:rFonts w:hint="default"/>
                <w:lang w:val="en-US" w:eastAsia="zh-CN"/>
              </w:rPr>
              <w:t>/</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DC2A">
            <w:pPr>
              <w:pStyle w:val="43"/>
              <w:bidi w:val="0"/>
              <w:rPr>
                <w:rFonts w:hint="eastAsia"/>
              </w:rPr>
            </w:pPr>
            <w:r>
              <w:rPr>
                <w:rFonts w:hint="eastAsia"/>
                <w:lang w:val="en-US" w:eastAsia="zh-CN"/>
              </w:rPr>
              <w:t>达标</w:t>
            </w:r>
          </w:p>
        </w:tc>
      </w:tr>
    </w:tbl>
    <w:p w14:paraId="0E551AD4">
      <w:pPr>
        <w:pStyle w:val="41"/>
        <w:bidi w:val="0"/>
        <w:rPr>
          <w:rFonts w:hint="default"/>
          <w:lang w:eastAsia="zh-CN"/>
        </w:rPr>
      </w:pPr>
      <w:r>
        <w:rPr>
          <w:rFonts w:hint="default"/>
        </w:rPr>
        <w:t>据以上现状监测数据统计分析可见：委托监测的监测点中TSP日平均浓度满足（</w:t>
      </w:r>
      <w:r>
        <w:rPr>
          <w:rFonts w:hint="eastAsia"/>
          <w:lang w:eastAsia="zh-CN"/>
        </w:rPr>
        <w:t>《</w:t>
      </w:r>
      <w:r>
        <w:rPr>
          <w:rFonts w:hint="default"/>
        </w:rPr>
        <w:t>环境空气质量标准》（GB3095-</w:t>
      </w:r>
      <w:r>
        <w:rPr>
          <w:rFonts w:hint="eastAsia"/>
          <w:lang w:eastAsia="zh-CN"/>
        </w:rPr>
        <w:t>2026</w:t>
      </w:r>
      <w:r>
        <w:rPr>
          <w:rFonts w:hint="default"/>
        </w:rPr>
        <w:t>）</w:t>
      </w:r>
      <w:r>
        <w:rPr>
          <w:rFonts w:hint="eastAsia"/>
          <w:lang w:eastAsia="zh-CN"/>
        </w:rPr>
        <w:t>过渡阶段</w:t>
      </w:r>
      <w:r>
        <w:rPr>
          <w:rFonts w:hint="default"/>
        </w:rPr>
        <w:t>浓度限值</w:t>
      </w:r>
      <w:r>
        <w:rPr>
          <w:rFonts w:hint="default"/>
          <w:lang w:eastAsia="zh-CN"/>
        </w:rPr>
        <w:t>。</w:t>
      </w:r>
    </w:p>
    <w:p w14:paraId="740D26E0">
      <w:pPr>
        <w:pStyle w:val="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354" w:name="_Toc17165"/>
      <w:r>
        <w:rPr>
          <w:rFonts w:hint="default" w:ascii="Times New Roman" w:hAnsi="Times New Roman" w:cs="Times New Roman"/>
          <w:color w:val="000000" w:themeColor="text1"/>
          <w:highlight w:val="none"/>
          <w14:textFill>
            <w14:solidFill>
              <w14:schemeClr w14:val="tx1"/>
            </w14:solidFill>
          </w14:textFill>
        </w:rPr>
        <w:t>地表水环境现状</w:t>
      </w:r>
      <w:r>
        <w:rPr>
          <w:rFonts w:hint="default" w:ascii="Times New Roman" w:hAnsi="Times New Roman" w:cs="Times New Roman"/>
          <w:color w:val="000000" w:themeColor="text1"/>
          <w:highlight w:val="none"/>
          <w:lang w:val="en-US" w:eastAsia="zh-CN"/>
          <w14:textFill>
            <w14:solidFill>
              <w14:schemeClr w14:val="tx1"/>
            </w14:solidFill>
          </w14:textFill>
        </w:rPr>
        <w:t>评价</w:t>
      </w:r>
      <w:bookmarkEnd w:id="354"/>
    </w:p>
    <w:p w14:paraId="324793BF">
      <w:pPr>
        <w:pStyle w:val="41"/>
        <w:bidi w:val="0"/>
        <w:rPr>
          <w:rFonts w:hint="default"/>
          <w:b/>
          <w:bCs/>
          <w:lang w:val="en-US" w:eastAsia="zh-CN"/>
        </w:rPr>
      </w:pPr>
      <w:r>
        <w:rPr>
          <w:rFonts w:hint="default"/>
          <w:b/>
          <w:bCs/>
          <w:lang w:eastAsia="zh-CN"/>
        </w:rPr>
        <w:t>（</w:t>
      </w:r>
      <w:r>
        <w:rPr>
          <w:rFonts w:hint="default"/>
          <w:b/>
          <w:bCs/>
          <w:lang w:val="en-US" w:eastAsia="zh-CN"/>
        </w:rPr>
        <w:t>1）区域地表水</w:t>
      </w:r>
      <w:r>
        <w:rPr>
          <w:rFonts w:hint="eastAsia"/>
          <w:b/>
          <w:bCs/>
          <w:lang w:val="en-US" w:eastAsia="zh-CN"/>
        </w:rPr>
        <w:t>环境质量标准</w:t>
      </w:r>
    </w:p>
    <w:p w14:paraId="6B07A816">
      <w:pPr>
        <w:pStyle w:val="41"/>
        <w:bidi w:val="0"/>
        <w:rPr>
          <w:lang w:val="zh-CN"/>
        </w:rPr>
      </w:pPr>
      <w:r>
        <w:t>根据调查，项目区域最近地表水为</w:t>
      </w:r>
      <w:r>
        <w:rPr>
          <w:rFonts w:hint="eastAsia"/>
          <w:lang w:val="en-US" w:eastAsia="zh-CN"/>
        </w:rPr>
        <w:t>项目西侧400m的石马水库，西北侧1580m的红舍克下坝水库，西北侧295</w:t>
      </w:r>
      <w:r>
        <w:t>0m的</w:t>
      </w:r>
      <w:r>
        <w:rPr>
          <w:rFonts w:hint="eastAsia"/>
          <w:lang w:val="en-US" w:eastAsia="zh-CN"/>
        </w:rPr>
        <w:t>红舍克</w:t>
      </w:r>
      <w:r>
        <w:t>水库，为清水江上游</w:t>
      </w:r>
      <w:r>
        <w:rPr>
          <w:rFonts w:hint="eastAsia"/>
          <w:lang w:val="en-US" w:eastAsia="zh-CN"/>
        </w:rPr>
        <w:t>流域，位于听湖水库上游</w:t>
      </w:r>
      <w:r>
        <w:t>。</w:t>
      </w:r>
      <w:r>
        <w:rPr>
          <w:lang w:val="zh-CN"/>
        </w:rPr>
        <w:t>根据云南省水利厅2014年5月发布的《云南省水功能区划》（2014年修订），项目区</w:t>
      </w:r>
      <w:r>
        <w:rPr>
          <w:rFonts w:hint="eastAsia"/>
          <w:lang w:val="en-US" w:eastAsia="zh-CN"/>
        </w:rPr>
        <w:t>属于</w:t>
      </w:r>
      <w:r>
        <w:rPr>
          <w:lang w:val="zh-CN"/>
        </w:rPr>
        <w:t>清水江</w:t>
      </w:r>
      <w:r>
        <w:rPr>
          <w:rFonts w:hint="eastAsia"/>
          <w:lang w:val="en-US" w:eastAsia="zh-CN"/>
        </w:rPr>
        <w:t>砚山源头水保护区，源头</w:t>
      </w:r>
      <w:r>
        <w:rPr>
          <w:rFonts w:hint="eastAsia"/>
          <w:lang w:val="zh-CN"/>
        </w:rPr>
        <w:t>——</w:t>
      </w:r>
      <w:r>
        <w:rPr>
          <w:rFonts w:hint="eastAsia"/>
          <w:lang w:val="en-US" w:eastAsia="zh-CN"/>
        </w:rPr>
        <w:t>砚山听湖水库区起始；</w:t>
      </w:r>
      <w:r>
        <w:rPr>
          <w:lang w:val="zh-CN"/>
        </w:rPr>
        <w:t>全长</w:t>
      </w:r>
      <w:r>
        <w:rPr>
          <w:rFonts w:hint="eastAsia"/>
          <w:lang w:val="en-US" w:eastAsia="zh-CN"/>
        </w:rPr>
        <w:t>5.5</w:t>
      </w:r>
      <w:r>
        <w:rPr>
          <w:lang w:val="zh-CN"/>
        </w:rPr>
        <w:t>km，</w:t>
      </w:r>
      <w:r>
        <w:rPr>
          <w:rFonts w:hint="eastAsia"/>
          <w:lang w:val="en-US" w:eastAsia="zh-CN"/>
        </w:rPr>
        <w:t>2030年水质目标为Ⅱ类</w:t>
      </w:r>
      <w:r>
        <w:rPr>
          <w:lang w:val="zh-CN"/>
        </w:rPr>
        <w:t>。</w:t>
      </w:r>
      <w:r>
        <w:rPr>
          <w:rFonts w:hint="default"/>
        </w:rPr>
        <w:t>依据《云南省水功能区划（2014年修订版）》1.7.1一级区划中</w:t>
      </w:r>
      <w:r>
        <w:rPr>
          <w:rFonts w:hint="eastAsia"/>
          <w:lang w:eastAsia="zh-CN"/>
        </w:rPr>
        <w:t>“</w:t>
      </w:r>
      <w:r>
        <w:rPr>
          <w:rFonts w:hint="default"/>
        </w:rPr>
        <w:t>保留区：为目前开发利用程度不高，为今后开发利用和保护水资源而预留的水域。该类功能区应维持现状，不能破坏。保留区水质控制目标一般不低于《地表水环境质量标准》（GB3838-2002）Ⅲ类标准，或按现状水质类别控制。</w:t>
      </w:r>
      <w:r>
        <w:rPr>
          <w:rFonts w:hint="eastAsia"/>
          <w:lang w:eastAsia="zh-CN"/>
        </w:rPr>
        <w:t>”</w:t>
      </w:r>
      <w:r>
        <w:rPr>
          <w:rFonts w:hint="default"/>
        </w:rPr>
        <w:t>的要求，执行《地表水环境质量标准》（GB3838-2002）中Ⅲ类标准。</w:t>
      </w:r>
    </w:p>
    <w:p w14:paraId="7F7AE83B">
      <w:pPr>
        <w:pStyle w:val="41"/>
        <w:bidi w:val="0"/>
        <w:rPr>
          <w:lang w:val="zh-CN"/>
        </w:rPr>
      </w:pPr>
      <w:r>
        <w:rPr>
          <w:rFonts w:hint="eastAsia"/>
          <w:lang w:val="en-US" w:eastAsia="zh-CN"/>
        </w:rPr>
        <w:t>项目区域径流经石马水库、红舍克上坝水库后进入红舍克水库，红舍克水库为砚山县“千吨万人”饮用水水源地，属于县级监管饮用水源，主要功能为生活饮用、工业、农灌，兼顾防洪，执行</w:t>
      </w:r>
      <w:r>
        <w:rPr>
          <w:rFonts w:hint="default"/>
        </w:rPr>
        <w:t>《地表水环境质量标准》（GB3838-2002）中Ⅲ类标准。</w:t>
      </w:r>
    </w:p>
    <w:p w14:paraId="0A410BD6">
      <w:pPr>
        <w:pStyle w:val="41"/>
        <w:bidi w:val="0"/>
        <w:rPr>
          <w:rFonts w:hint="default"/>
          <w:lang w:val="en-US" w:eastAsia="zh-CN"/>
        </w:rPr>
      </w:pPr>
      <w:r>
        <w:rPr>
          <w:rFonts w:hint="eastAsia"/>
          <w:lang w:val="en-US" w:eastAsia="zh-CN"/>
        </w:rPr>
        <w:t>根据文山州生态环境局砚山分局生态环境监测站《砚山县2025年第四季度农村“千吨万人”饮用水水源地水质监测报告》（砚环监字〔2025〕-047号），红舍克水库水质现状监测结果如下表。</w:t>
      </w:r>
    </w:p>
    <w:p w14:paraId="004087C0">
      <w:pPr>
        <w:pStyle w:val="45"/>
        <w:bidi w:val="0"/>
        <w:rPr>
          <w:rFonts w:hint="default"/>
          <w:lang w:val="en-US" w:eastAsia="zh-CN"/>
        </w:rPr>
      </w:pPr>
      <w:r>
        <w:rPr>
          <w:rFonts w:hint="eastAsia"/>
          <w:lang w:val="en-US" w:eastAsia="zh-CN"/>
        </w:rPr>
        <w:t>表5.4-1 红舍克水库2025年第四季度水质监测结果表   单位：mg/L</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368"/>
        <w:gridCol w:w="1745"/>
        <w:gridCol w:w="1527"/>
        <w:gridCol w:w="1069"/>
      </w:tblGrid>
      <w:tr w14:paraId="461B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7D2ECBBE">
            <w:pPr>
              <w:pStyle w:val="43"/>
              <w:bidi w:val="0"/>
              <w:rPr>
                <w:rFonts w:hint="default"/>
                <w:b/>
                <w:bCs/>
                <w:lang w:val="en-US" w:eastAsia="zh-CN"/>
              </w:rPr>
            </w:pPr>
            <w:r>
              <w:rPr>
                <w:rFonts w:hint="eastAsia"/>
                <w:b/>
                <w:bCs/>
                <w:lang w:val="en-US" w:eastAsia="zh-CN"/>
              </w:rPr>
              <w:t>序号</w:t>
            </w:r>
          </w:p>
        </w:tc>
        <w:tc>
          <w:tcPr>
            <w:tcW w:w="3369" w:type="dxa"/>
            <w:vAlign w:val="center"/>
          </w:tcPr>
          <w:p w14:paraId="78B6C96C">
            <w:pPr>
              <w:pStyle w:val="43"/>
              <w:bidi w:val="0"/>
              <w:rPr>
                <w:rFonts w:hint="default"/>
                <w:b/>
                <w:bCs/>
                <w:lang w:val="en-US" w:eastAsia="zh-CN"/>
              </w:rPr>
            </w:pPr>
            <w:r>
              <w:rPr>
                <w:rFonts w:hint="eastAsia"/>
                <w:b/>
                <w:bCs/>
                <w:lang w:val="en-US" w:eastAsia="zh-CN"/>
              </w:rPr>
              <w:t>监测项目</w:t>
            </w:r>
          </w:p>
        </w:tc>
        <w:tc>
          <w:tcPr>
            <w:tcW w:w="1745" w:type="dxa"/>
            <w:vAlign w:val="center"/>
          </w:tcPr>
          <w:p w14:paraId="2EADEF86">
            <w:pPr>
              <w:pStyle w:val="43"/>
              <w:bidi w:val="0"/>
              <w:rPr>
                <w:rFonts w:hint="default"/>
                <w:b/>
                <w:bCs/>
                <w:lang w:val="en-US" w:eastAsia="zh-CN"/>
              </w:rPr>
            </w:pPr>
            <w:r>
              <w:rPr>
                <w:rFonts w:hint="eastAsia"/>
                <w:b/>
                <w:bCs/>
                <w:lang w:val="en-US" w:eastAsia="zh-CN"/>
              </w:rPr>
              <w:t>监测结果</w:t>
            </w:r>
          </w:p>
        </w:tc>
        <w:tc>
          <w:tcPr>
            <w:tcW w:w="1527" w:type="dxa"/>
            <w:vAlign w:val="center"/>
          </w:tcPr>
          <w:p w14:paraId="0A608D25">
            <w:pPr>
              <w:pStyle w:val="43"/>
              <w:bidi w:val="0"/>
              <w:rPr>
                <w:rFonts w:hint="default"/>
                <w:b/>
                <w:bCs/>
                <w:lang w:val="en-US" w:eastAsia="zh-CN"/>
              </w:rPr>
            </w:pPr>
            <w:r>
              <w:rPr>
                <w:rFonts w:hint="eastAsia"/>
                <w:b/>
                <w:bCs/>
                <w:lang w:val="en-US" w:eastAsia="zh-CN"/>
              </w:rPr>
              <w:t>执行标准</w:t>
            </w:r>
          </w:p>
        </w:tc>
        <w:tc>
          <w:tcPr>
            <w:tcW w:w="1069" w:type="dxa"/>
            <w:vAlign w:val="center"/>
          </w:tcPr>
          <w:p w14:paraId="352D77A8">
            <w:pPr>
              <w:pStyle w:val="43"/>
              <w:bidi w:val="0"/>
              <w:rPr>
                <w:rFonts w:hint="default"/>
                <w:b/>
                <w:bCs/>
                <w:lang w:val="en-US" w:eastAsia="zh-CN"/>
              </w:rPr>
            </w:pPr>
            <w:r>
              <w:rPr>
                <w:rFonts w:hint="eastAsia"/>
                <w:b/>
                <w:bCs/>
                <w:lang w:val="en-US" w:eastAsia="zh-CN"/>
              </w:rPr>
              <w:t>达标情况</w:t>
            </w:r>
          </w:p>
        </w:tc>
      </w:tr>
      <w:tr w14:paraId="1DC1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12191774">
            <w:pPr>
              <w:pStyle w:val="43"/>
              <w:bidi w:val="0"/>
              <w:rPr>
                <w:rFonts w:hint="default"/>
                <w:lang w:val="en-US" w:eastAsia="zh-CN"/>
              </w:rPr>
            </w:pPr>
            <w:r>
              <w:rPr>
                <w:rFonts w:hint="eastAsia"/>
                <w:lang w:val="en-US" w:eastAsia="zh-CN"/>
              </w:rPr>
              <w:t>1</w:t>
            </w:r>
          </w:p>
        </w:tc>
        <w:tc>
          <w:tcPr>
            <w:tcW w:w="3369" w:type="dxa"/>
            <w:vAlign w:val="center"/>
          </w:tcPr>
          <w:p w14:paraId="706FC158">
            <w:pPr>
              <w:pStyle w:val="43"/>
              <w:bidi w:val="0"/>
              <w:rPr>
                <w:rFonts w:hint="default"/>
                <w:lang w:val="en-US" w:eastAsia="zh-CN"/>
              </w:rPr>
            </w:pPr>
            <w:r>
              <w:rPr>
                <w:rFonts w:hint="eastAsia"/>
                <w:lang w:val="en-US" w:eastAsia="zh-CN"/>
              </w:rPr>
              <w:t>水温（</w:t>
            </w:r>
            <w:r>
              <w:rPr>
                <w:rFonts w:hint="default"/>
                <w:lang w:val="en-US" w:eastAsia="zh-CN"/>
              </w:rPr>
              <w:t>℃</w:t>
            </w:r>
            <w:r>
              <w:rPr>
                <w:rFonts w:hint="eastAsia"/>
                <w:lang w:val="en-US" w:eastAsia="zh-CN"/>
              </w:rPr>
              <w:t>）</w:t>
            </w:r>
          </w:p>
        </w:tc>
        <w:tc>
          <w:tcPr>
            <w:tcW w:w="1745" w:type="dxa"/>
            <w:vAlign w:val="center"/>
          </w:tcPr>
          <w:p w14:paraId="3137AFD5">
            <w:pPr>
              <w:pStyle w:val="43"/>
              <w:bidi w:val="0"/>
              <w:rPr>
                <w:rFonts w:hint="default"/>
                <w:lang w:val="en-US" w:eastAsia="zh-CN"/>
              </w:rPr>
            </w:pPr>
            <w:r>
              <w:rPr>
                <w:rFonts w:hint="eastAsia"/>
                <w:lang w:val="en-US" w:eastAsia="zh-CN"/>
              </w:rPr>
              <w:t>23.1</w:t>
            </w:r>
          </w:p>
        </w:tc>
        <w:tc>
          <w:tcPr>
            <w:tcW w:w="1527" w:type="dxa"/>
            <w:vAlign w:val="center"/>
          </w:tcPr>
          <w:p w14:paraId="064F9900">
            <w:pPr>
              <w:pStyle w:val="43"/>
              <w:bidi w:val="0"/>
              <w:rPr>
                <w:rFonts w:hint="default"/>
                <w:lang w:val="en-US" w:eastAsia="zh-CN"/>
              </w:rPr>
            </w:pPr>
          </w:p>
        </w:tc>
        <w:tc>
          <w:tcPr>
            <w:tcW w:w="1069" w:type="dxa"/>
            <w:vAlign w:val="center"/>
          </w:tcPr>
          <w:p w14:paraId="28F24B26">
            <w:pPr>
              <w:pStyle w:val="43"/>
              <w:bidi w:val="0"/>
              <w:rPr>
                <w:rFonts w:hint="default"/>
                <w:lang w:val="en-US" w:eastAsia="zh-CN"/>
              </w:rPr>
            </w:pPr>
            <w:r>
              <w:rPr>
                <w:rFonts w:hint="eastAsia"/>
                <w:lang w:val="en-US" w:eastAsia="zh-CN"/>
              </w:rPr>
              <w:t>/</w:t>
            </w:r>
          </w:p>
        </w:tc>
      </w:tr>
      <w:tr w14:paraId="4823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5DF714CD">
            <w:pPr>
              <w:pStyle w:val="43"/>
              <w:bidi w:val="0"/>
              <w:rPr>
                <w:rFonts w:hint="default"/>
                <w:lang w:val="en-US" w:eastAsia="zh-CN"/>
              </w:rPr>
            </w:pPr>
            <w:r>
              <w:rPr>
                <w:rFonts w:hint="eastAsia"/>
                <w:lang w:val="en-US" w:eastAsia="zh-CN"/>
              </w:rPr>
              <w:t>2</w:t>
            </w:r>
          </w:p>
        </w:tc>
        <w:tc>
          <w:tcPr>
            <w:tcW w:w="3369" w:type="dxa"/>
            <w:vAlign w:val="center"/>
          </w:tcPr>
          <w:p w14:paraId="1DEF5466">
            <w:pPr>
              <w:pStyle w:val="43"/>
              <w:bidi w:val="0"/>
              <w:rPr>
                <w:rFonts w:hint="default"/>
                <w:lang w:val="en-US" w:eastAsia="zh-CN"/>
              </w:rPr>
            </w:pPr>
            <w:r>
              <w:rPr>
                <w:rFonts w:hint="eastAsia"/>
                <w:lang w:val="en-US" w:eastAsia="zh-CN"/>
              </w:rPr>
              <w:t>pH值（无量纲）</w:t>
            </w:r>
          </w:p>
        </w:tc>
        <w:tc>
          <w:tcPr>
            <w:tcW w:w="1745" w:type="dxa"/>
            <w:vAlign w:val="center"/>
          </w:tcPr>
          <w:p w14:paraId="33440940">
            <w:pPr>
              <w:pStyle w:val="43"/>
              <w:bidi w:val="0"/>
              <w:rPr>
                <w:rFonts w:hint="default"/>
                <w:lang w:val="en-US" w:eastAsia="zh-CN"/>
              </w:rPr>
            </w:pPr>
            <w:r>
              <w:rPr>
                <w:rFonts w:hint="eastAsia"/>
                <w:lang w:val="en-US" w:eastAsia="zh-CN"/>
              </w:rPr>
              <w:t>8.6</w:t>
            </w:r>
          </w:p>
        </w:tc>
        <w:tc>
          <w:tcPr>
            <w:tcW w:w="1527" w:type="dxa"/>
            <w:vAlign w:val="center"/>
          </w:tcPr>
          <w:p w14:paraId="4E72F921">
            <w:pPr>
              <w:pStyle w:val="43"/>
              <w:bidi w:val="0"/>
              <w:rPr>
                <w:rFonts w:hint="default"/>
                <w:lang w:val="en-US" w:eastAsia="zh-CN"/>
              </w:rPr>
            </w:pPr>
            <w:r>
              <w:rPr>
                <w:rFonts w:hint="eastAsia"/>
                <w:lang w:val="en-US" w:eastAsia="zh-CN"/>
              </w:rPr>
              <w:t>6~9</w:t>
            </w:r>
          </w:p>
        </w:tc>
        <w:tc>
          <w:tcPr>
            <w:tcW w:w="1069" w:type="dxa"/>
            <w:vAlign w:val="center"/>
          </w:tcPr>
          <w:p w14:paraId="1C66D50C">
            <w:pPr>
              <w:pStyle w:val="43"/>
              <w:bidi w:val="0"/>
              <w:rPr>
                <w:rFonts w:hint="default"/>
                <w:lang w:val="en-US" w:eastAsia="zh-CN"/>
              </w:rPr>
            </w:pPr>
            <w:r>
              <w:rPr>
                <w:rFonts w:hint="eastAsia"/>
                <w:lang w:val="en-US" w:eastAsia="zh-CN"/>
              </w:rPr>
              <w:t>达标</w:t>
            </w:r>
          </w:p>
        </w:tc>
      </w:tr>
      <w:tr w14:paraId="6579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61E6E91">
            <w:pPr>
              <w:pStyle w:val="43"/>
              <w:bidi w:val="0"/>
              <w:rPr>
                <w:rFonts w:hint="default"/>
                <w:lang w:val="en-US" w:eastAsia="zh-CN"/>
              </w:rPr>
            </w:pPr>
            <w:r>
              <w:rPr>
                <w:rFonts w:hint="eastAsia"/>
                <w:lang w:val="en-US" w:eastAsia="zh-CN"/>
              </w:rPr>
              <w:t>3</w:t>
            </w:r>
          </w:p>
        </w:tc>
        <w:tc>
          <w:tcPr>
            <w:tcW w:w="3369" w:type="dxa"/>
            <w:vAlign w:val="center"/>
          </w:tcPr>
          <w:p w14:paraId="0BB7B8F5">
            <w:pPr>
              <w:pStyle w:val="43"/>
              <w:bidi w:val="0"/>
              <w:rPr>
                <w:rFonts w:hint="default"/>
                <w:lang w:val="en-US" w:eastAsia="zh-CN"/>
              </w:rPr>
            </w:pPr>
            <w:r>
              <w:rPr>
                <w:rFonts w:hint="eastAsia"/>
                <w:lang w:val="en-US" w:eastAsia="zh-CN"/>
              </w:rPr>
              <w:t>溶解氧≥</w:t>
            </w:r>
          </w:p>
        </w:tc>
        <w:tc>
          <w:tcPr>
            <w:tcW w:w="1745" w:type="dxa"/>
            <w:vAlign w:val="center"/>
          </w:tcPr>
          <w:p w14:paraId="38A30FDC">
            <w:pPr>
              <w:pStyle w:val="43"/>
              <w:bidi w:val="0"/>
              <w:rPr>
                <w:rFonts w:hint="default"/>
                <w:lang w:val="en-US" w:eastAsia="zh-CN"/>
              </w:rPr>
            </w:pPr>
            <w:r>
              <w:rPr>
                <w:rFonts w:hint="eastAsia"/>
                <w:lang w:val="en-US" w:eastAsia="zh-CN"/>
              </w:rPr>
              <w:t>9.23</w:t>
            </w:r>
          </w:p>
        </w:tc>
        <w:tc>
          <w:tcPr>
            <w:tcW w:w="1527" w:type="dxa"/>
            <w:vAlign w:val="center"/>
          </w:tcPr>
          <w:p w14:paraId="471465C3">
            <w:pPr>
              <w:pStyle w:val="43"/>
              <w:bidi w:val="0"/>
              <w:rPr>
                <w:rFonts w:hint="default"/>
                <w:lang w:val="en-US" w:eastAsia="zh-CN"/>
              </w:rPr>
            </w:pPr>
            <w:r>
              <w:rPr>
                <w:rFonts w:hint="eastAsia"/>
                <w:lang w:val="en-US" w:eastAsia="zh-CN"/>
              </w:rPr>
              <w:t>5</w:t>
            </w:r>
          </w:p>
        </w:tc>
        <w:tc>
          <w:tcPr>
            <w:tcW w:w="1069" w:type="dxa"/>
            <w:vAlign w:val="center"/>
          </w:tcPr>
          <w:p w14:paraId="101A5982">
            <w:pPr>
              <w:pStyle w:val="43"/>
              <w:bidi w:val="0"/>
              <w:rPr>
                <w:rFonts w:hint="default"/>
                <w:lang w:val="en-US" w:eastAsia="zh-CN"/>
              </w:rPr>
            </w:pPr>
            <w:r>
              <w:rPr>
                <w:rFonts w:hint="eastAsia"/>
                <w:lang w:val="en-US" w:eastAsia="zh-CN"/>
              </w:rPr>
              <w:t>达标</w:t>
            </w:r>
          </w:p>
        </w:tc>
      </w:tr>
      <w:tr w14:paraId="6A2A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501E6D84">
            <w:pPr>
              <w:pStyle w:val="43"/>
              <w:bidi w:val="0"/>
              <w:rPr>
                <w:rFonts w:hint="default"/>
                <w:lang w:val="en-US" w:eastAsia="zh-CN"/>
              </w:rPr>
            </w:pPr>
            <w:r>
              <w:rPr>
                <w:rFonts w:hint="eastAsia"/>
                <w:lang w:val="en-US" w:eastAsia="zh-CN"/>
              </w:rPr>
              <w:t>4</w:t>
            </w:r>
          </w:p>
        </w:tc>
        <w:tc>
          <w:tcPr>
            <w:tcW w:w="3369" w:type="dxa"/>
            <w:vAlign w:val="center"/>
          </w:tcPr>
          <w:p w14:paraId="45990966">
            <w:pPr>
              <w:pStyle w:val="43"/>
              <w:bidi w:val="0"/>
              <w:rPr>
                <w:rFonts w:hint="default"/>
                <w:lang w:val="en-US" w:eastAsia="zh-CN"/>
              </w:rPr>
            </w:pPr>
            <w:r>
              <w:rPr>
                <w:rFonts w:hint="eastAsia"/>
                <w:lang w:val="en-US" w:eastAsia="zh-CN"/>
              </w:rPr>
              <w:t>高锰酸盐指数≤</w:t>
            </w:r>
          </w:p>
        </w:tc>
        <w:tc>
          <w:tcPr>
            <w:tcW w:w="1745" w:type="dxa"/>
            <w:vAlign w:val="center"/>
          </w:tcPr>
          <w:p w14:paraId="73B359C5">
            <w:pPr>
              <w:pStyle w:val="43"/>
              <w:bidi w:val="0"/>
              <w:rPr>
                <w:rFonts w:hint="default"/>
                <w:lang w:val="en-US" w:eastAsia="zh-CN"/>
              </w:rPr>
            </w:pPr>
            <w:r>
              <w:rPr>
                <w:rFonts w:hint="eastAsia"/>
                <w:lang w:val="en-US" w:eastAsia="zh-CN"/>
              </w:rPr>
              <w:t>4.4</w:t>
            </w:r>
          </w:p>
        </w:tc>
        <w:tc>
          <w:tcPr>
            <w:tcW w:w="1527" w:type="dxa"/>
            <w:vAlign w:val="center"/>
          </w:tcPr>
          <w:p w14:paraId="152C9D33">
            <w:pPr>
              <w:pStyle w:val="43"/>
              <w:bidi w:val="0"/>
              <w:rPr>
                <w:rFonts w:hint="default"/>
                <w:lang w:val="en-US" w:eastAsia="zh-CN"/>
              </w:rPr>
            </w:pPr>
            <w:r>
              <w:rPr>
                <w:rFonts w:hint="eastAsia"/>
                <w:lang w:val="en-US" w:eastAsia="zh-CN"/>
              </w:rPr>
              <w:t>6</w:t>
            </w:r>
          </w:p>
        </w:tc>
        <w:tc>
          <w:tcPr>
            <w:tcW w:w="1069" w:type="dxa"/>
            <w:vAlign w:val="center"/>
          </w:tcPr>
          <w:p w14:paraId="3BE60B45">
            <w:pPr>
              <w:pStyle w:val="43"/>
              <w:bidi w:val="0"/>
              <w:rPr>
                <w:rFonts w:hint="default"/>
                <w:lang w:val="en-US" w:eastAsia="zh-CN"/>
              </w:rPr>
            </w:pPr>
            <w:r>
              <w:rPr>
                <w:rFonts w:hint="eastAsia"/>
                <w:lang w:val="en-US" w:eastAsia="zh-CN"/>
              </w:rPr>
              <w:t>达标</w:t>
            </w:r>
          </w:p>
        </w:tc>
      </w:tr>
      <w:tr w14:paraId="5EF1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FD215B5">
            <w:pPr>
              <w:pStyle w:val="43"/>
              <w:bidi w:val="0"/>
              <w:rPr>
                <w:rFonts w:hint="default"/>
                <w:lang w:val="en-US" w:eastAsia="zh-CN"/>
              </w:rPr>
            </w:pPr>
            <w:r>
              <w:rPr>
                <w:rFonts w:hint="eastAsia"/>
                <w:lang w:val="en-US" w:eastAsia="zh-CN"/>
              </w:rPr>
              <w:t>5</w:t>
            </w:r>
          </w:p>
        </w:tc>
        <w:tc>
          <w:tcPr>
            <w:tcW w:w="3369" w:type="dxa"/>
            <w:vAlign w:val="center"/>
          </w:tcPr>
          <w:p w14:paraId="072EEDCB">
            <w:pPr>
              <w:pStyle w:val="43"/>
              <w:bidi w:val="0"/>
              <w:rPr>
                <w:rFonts w:hint="default"/>
                <w:lang w:val="en-US" w:eastAsia="zh-CN"/>
              </w:rPr>
            </w:pPr>
            <w:r>
              <w:rPr>
                <w:rFonts w:hint="eastAsia"/>
                <w:lang w:val="en-US" w:eastAsia="zh-CN"/>
              </w:rPr>
              <w:t>五日生化需氧量（BOD</w:t>
            </w:r>
            <w:r>
              <w:rPr>
                <w:rFonts w:hint="eastAsia"/>
                <w:vertAlign w:val="subscript"/>
                <w:lang w:val="en-US" w:eastAsia="zh-CN"/>
              </w:rPr>
              <w:t>5</w:t>
            </w:r>
            <w:r>
              <w:rPr>
                <w:rFonts w:hint="eastAsia"/>
                <w:lang w:val="en-US" w:eastAsia="zh-CN"/>
              </w:rPr>
              <w:t>）≤</w:t>
            </w:r>
          </w:p>
        </w:tc>
        <w:tc>
          <w:tcPr>
            <w:tcW w:w="1745" w:type="dxa"/>
            <w:vAlign w:val="center"/>
          </w:tcPr>
          <w:p w14:paraId="4015848A">
            <w:pPr>
              <w:pStyle w:val="43"/>
              <w:bidi w:val="0"/>
              <w:rPr>
                <w:rFonts w:hint="default"/>
                <w:lang w:val="en-US" w:eastAsia="zh-CN"/>
              </w:rPr>
            </w:pPr>
            <w:r>
              <w:rPr>
                <w:rFonts w:hint="eastAsia"/>
                <w:lang w:val="en-US" w:eastAsia="zh-CN"/>
              </w:rPr>
              <w:t>3.9</w:t>
            </w:r>
          </w:p>
        </w:tc>
        <w:tc>
          <w:tcPr>
            <w:tcW w:w="1527" w:type="dxa"/>
            <w:vAlign w:val="center"/>
          </w:tcPr>
          <w:p w14:paraId="54ED0F6B">
            <w:pPr>
              <w:pStyle w:val="43"/>
              <w:bidi w:val="0"/>
              <w:rPr>
                <w:rFonts w:hint="default"/>
                <w:lang w:val="en-US" w:eastAsia="zh-CN"/>
              </w:rPr>
            </w:pPr>
            <w:r>
              <w:rPr>
                <w:rFonts w:hint="eastAsia"/>
                <w:lang w:val="en-US" w:eastAsia="zh-CN"/>
              </w:rPr>
              <w:t>4</w:t>
            </w:r>
          </w:p>
        </w:tc>
        <w:tc>
          <w:tcPr>
            <w:tcW w:w="1069" w:type="dxa"/>
            <w:vAlign w:val="center"/>
          </w:tcPr>
          <w:p w14:paraId="2EA9F6B3">
            <w:pPr>
              <w:pStyle w:val="43"/>
              <w:bidi w:val="0"/>
              <w:rPr>
                <w:rFonts w:hint="default"/>
                <w:lang w:val="en-US" w:eastAsia="zh-CN"/>
              </w:rPr>
            </w:pPr>
            <w:r>
              <w:rPr>
                <w:rFonts w:hint="eastAsia"/>
                <w:lang w:val="en-US" w:eastAsia="zh-CN"/>
              </w:rPr>
              <w:t>达标</w:t>
            </w:r>
          </w:p>
        </w:tc>
      </w:tr>
      <w:tr w14:paraId="710C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65AE66C">
            <w:pPr>
              <w:pStyle w:val="43"/>
              <w:bidi w:val="0"/>
              <w:rPr>
                <w:rFonts w:hint="default"/>
                <w:lang w:val="en-US" w:eastAsia="zh-CN"/>
              </w:rPr>
            </w:pPr>
            <w:r>
              <w:rPr>
                <w:rFonts w:hint="eastAsia"/>
                <w:lang w:val="en-US" w:eastAsia="zh-CN"/>
              </w:rPr>
              <w:t>6</w:t>
            </w:r>
          </w:p>
        </w:tc>
        <w:tc>
          <w:tcPr>
            <w:tcW w:w="3369" w:type="dxa"/>
            <w:vAlign w:val="center"/>
          </w:tcPr>
          <w:p w14:paraId="0ABACBA4">
            <w:pPr>
              <w:pStyle w:val="43"/>
              <w:bidi w:val="0"/>
              <w:rPr>
                <w:rFonts w:hint="default"/>
                <w:lang w:val="en-US" w:eastAsia="zh-CN"/>
              </w:rPr>
            </w:pPr>
            <w:r>
              <w:rPr>
                <w:rFonts w:hint="eastAsia"/>
                <w:lang w:val="en-US" w:eastAsia="zh-CN"/>
              </w:rPr>
              <w:t>氨氮≤</w:t>
            </w:r>
          </w:p>
        </w:tc>
        <w:tc>
          <w:tcPr>
            <w:tcW w:w="1745" w:type="dxa"/>
            <w:vAlign w:val="center"/>
          </w:tcPr>
          <w:p w14:paraId="53516330">
            <w:pPr>
              <w:pStyle w:val="43"/>
              <w:bidi w:val="0"/>
              <w:rPr>
                <w:rFonts w:hint="default"/>
                <w:lang w:val="en-US" w:eastAsia="zh-CN"/>
              </w:rPr>
            </w:pPr>
            <w:r>
              <w:rPr>
                <w:rFonts w:hint="eastAsia"/>
                <w:lang w:val="en-US" w:eastAsia="zh-CN"/>
              </w:rPr>
              <w:t>0.325</w:t>
            </w:r>
          </w:p>
        </w:tc>
        <w:tc>
          <w:tcPr>
            <w:tcW w:w="1527" w:type="dxa"/>
            <w:vAlign w:val="center"/>
          </w:tcPr>
          <w:p w14:paraId="45E1D675">
            <w:pPr>
              <w:pStyle w:val="43"/>
              <w:bidi w:val="0"/>
              <w:rPr>
                <w:rFonts w:hint="default"/>
                <w:lang w:val="en-US" w:eastAsia="zh-CN"/>
              </w:rPr>
            </w:pPr>
            <w:r>
              <w:rPr>
                <w:rFonts w:hint="eastAsia"/>
                <w:lang w:val="en-US" w:eastAsia="zh-CN"/>
              </w:rPr>
              <w:t>1.0</w:t>
            </w:r>
          </w:p>
        </w:tc>
        <w:tc>
          <w:tcPr>
            <w:tcW w:w="1069" w:type="dxa"/>
            <w:vAlign w:val="center"/>
          </w:tcPr>
          <w:p w14:paraId="11600E07">
            <w:pPr>
              <w:pStyle w:val="43"/>
              <w:bidi w:val="0"/>
              <w:rPr>
                <w:rFonts w:hint="default"/>
                <w:lang w:val="en-US" w:eastAsia="zh-CN"/>
              </w:rPr>
            </w:pPr>
            <w:r>
              <w:rPr>
                <w:rFonts w:hint="eastAsia"/>
                <w:lang w:val="en-US" w:eastAsia="zh-CN"/>
              </w:rPr>
              <w:t>达标</w:t>
            </w:r>
          </w:p>
        </w:tc>
      </w:tr>
      <w:tr w14:paraId="60FC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0CF217BF">
            <w:pPr>
              <w:pStyle w:val="43"/>
              <w:bidi w:val="0"/>
              <w:rPr>
                <w:rFonts w:hint="default"/>
                <w:lang w:val="en-US" w:eastAsia="zh-CN"/>
              </w:rPr>
            </w:pPr>
            <w:r>
              <w:rPr>
                <w:rFonts w:hint="eastAsia"/>
                <w:lang w:val="en-US" w:eastAsia="zh-CN"/>
              </w:rPr>
              <w:t>7</w:t>
            </w:r>
          </w:p>
        </w:tc>
        <w:tc>
          <w:tcPr>
            <w:tcW w:w="3369" w:type="dxa"/>
            <w:vAlign w:val="center"/>
          </w:tcPr>
          <w:p w14:paraId="31262340">
            <w:pPr>
              <w:pStyle w:val="43"/>
              <w:bidi w:val="0"/>
              <w:rPr>
                <w:rFonts w:hint="default"/>
                <w:lang w:val="en-US" w:eastAsia="zh-CN"/>
              </w:rPr>
            </w:pPr>
            <w:r>
              <w:rPr>
                <w:rFonts w:hint="eastAsia"/>
                <w:lang w:val="en-US" w:eastAsia="zh-CN"/>
              </w:rPr>
              <w:t>总磷≤</w:t>
            </w:r>
          </w:p>
        </w:tc>
        <w:tc>
          <w:tcPr>
            <w:tcW w:w="1745" w:type="dxa"/>
            <w:vAlign w:val="center"/>
          </w:tcPr>
          <w:p w14:paraId="3095048A">
            <w:pPr>
              <w:pStyle w:val="43"/>
              <w:bidi w:val="0"/>
              <w:rPr>
                <w:rFonts w:hint="default"/>
                <w:lang w:val="en-US" w:eastAsia="zh-CN"/>
              </w:rPr>
            </w:pPr>
            <w:r>
              <w:rPr>
                <w:rFonts w:hint="eastAsia"/>
                <w:lang w:val="en-US" w:eastAsia="zh-CN"/>
              </w:rPr>
              <w:t>0.05</w:t>
            </w:r>
          </w:p>
        </w:tc>
        <w:tc>
          <w:tcPr>
            <w:tcW w:w="1527" w:type="dxa"/>
            <w:vAlign w:val="center"/>
          </w:tcPr>
          <w:p w14:paraId="6941786B">
            <w:pPr>
              <w:pStyle w:val="43"/>
              <w:bidi w:val="0"/>
              <w:rPr>
                <w:rFonts w:hint="default"/>
                <w:lang w:val="en-US" w:eastAsia="zh-CN"/>
              </w:rPr>
            </w:pPr>
            <w:r>
              <w:rPr>
                <w:rFonts w:hint="eastAsia"/>
                <w:lang w:val="en-US" w:eastAsia="zh-CN"/>
              </w:rPr>
              <w:t>0.05（湖库）</w:t>
            </w:r>
          </w:p>
        </w:tc>
        <w:tc>
          <w:tcPr>
            <w:tcW w:w="1069" w:type="dxa"/>
            <w:vAlign w:val="center"/>
          </w:tcPr>
          <w:p w14:paraId="743A6120">
            <w:pPr>
              <w:pStyle w:val="43"/>
              <w:bidi w:val="0"/>
              <w:rPr>
                <w:rFonts w:hint="default"/>
                <w:lang w:val="en-US" w:eastAsia="zh-CN"/>
              </w:rPr>
            </w:pPr>
            <w:r>
              <w:rPr>
                <w:rFonts w:hint="eastAsia"/>
                <w:lang w:val="en-US" w:eastAsia="zh-CN"/>
              </w:rPr>
              <w:t>达标</w:t>
            </w:r>
          </w:p>
        </w:tc>
      </w:tr>
      <w:tr w14:paraId="4407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1F1DBBA8">
            <w:pPr>
              <w:pStyle w:val="43"/>
              <w:bidi w:val="0"/>
              <w:rPr>
                <w:rFonts w:hint="default"/>
                <w:lang w:val="en-US" w:eastAsia="zh-CN"/>
              </w:rPr>
            </w:pPr>
            <w:r>
              <w:rPr>
                <w:rFonts w:hint="eastAsia"/>
                <w:lang w:val="en-US" w:eastAsia="zh-CN"/>
              </w:rPr>
              <w:t>8</w:t>
            </w:r>
          </w:p>
        </w:tc>
        <w:tc>
          <w:tcPr>
            <w:tcW w:w="3369" w:type="dxa"/>
            <w:vAlign w:val="center"/>
          </w:tcPr>
          <w:p w14:paraId="36CE2B1E">
            <w:pPr>
              <w:pStyle w:val="43"/>
              <w:bidi w:val="0"/>
              <w:rPr>
                <w:rFonts w:hint="default"/>
                <w:lang w:val="en-US" w:eastAsia="zh-CN"/>
              </w:rPr>
            </w:pPr>
            <w:r>
              <w:rPr>
                <w:rFonts w:hint="eastAsia"/>
                <w:lang w:val="en-US" w:eastAsia="zh-CN"/>
              </w:rPr>
              <w:t>总氮≤</w:t>
            </w:r>
          </w:p>
        </w:tc>
        <w:tc>
          <w:tcPr>
            <w:tcW w:w="1745" w:type="dxa"/>
            <w:vAlign w:val="center"/>
          </w:tcPr>
          <w:p w14:paraId="3C68E43D">
            <w:pPr>
              <w:pStyle w:val="43"/>
              <w:bidi w:val="0"/>
              <w:rPr>
                <w:rFonts w:hint="default"/>
                <w:lang w:val="en-US" w:eastAsia="zh-CN"/>
              </w:rPr>
            </w:pPr>
            <w:r>
              <w:rPr>
                <w:rFonts w:hint="eastAsia"/>
                <w:lang w:val="en-US" w:eastAsia="zh-CN"/>
              </w:rPr>
              <w:t>1.27</w:t>
            </w:r>
          </w:p>
        </w:tc>
        <w:tc>
          <w:tcPr>
            <w:tcW w:w="1527" w:type="dxa"/>
            <w:vAlign w:val="center"/>
          </w:tcPr>
          <w:p w14:paraId="75E8B14A">
            <w:pPr>
              <w:pStyle w:val="43"/>
              <w:bidi w:val="0"/>
              <w:rPr>
                <w:rFonts w:hint="default"/>
                <w:lang w:val="en-US" w:eastAsia="zh-CN"/>
              </w:rPr>
            </w:pPr>
            <w:r>
              <w:rPr>
                <w:rFonts w:hint="eastAsia"/>
                <w:lang w:val="en-US" w:eastAsia="zh-CN"/>
              </w:rPr>
              <w:t>1.0</w:t>
            </w:r>
          </w:p>
        </w:tc>
        <w:tc>
          <w:tcPr>
            <w:tcW w:w="1069" w:type="dxa"/>
            <w:vAlign w:val="center"/>
          </w:tcPr>
          <w:p w14:paraId="2147DCFA">
            <w:pPr>
              <w:pStyle w:val="43"/>
              <w:bidi w:val="0"/>
              <w:rPr>
                <w:rFonts w:hint="default"/>
                <w:lang w:val="en-US" w:eastAsia="zh-CN"/>
              </w:rPr>
            </w:pPr>
            <w:r>
              <w:rPr>
                <w:rFonts w:hint="eastAsia"/>
                <w:lang w:val="en-US" w:eastAsia="zh-CN"/>
              </w:rPr>
              <w:t>/</w:t>
            </w:r>
          </w:p>
        </w:tc>
      </w:tr>
      <w:tr w14:paraId="16E4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746CB58F">
            <w:pPr>
              <w:pStyle w:val="43"/>
              <w:bidi w:val="0"/>
              <w:rPr>
                <w:rFonts w:hint="default"/>
                <w:lang w:val="en-US" w:eastAsia="zh-CN"/>
              </w:rPr>
            </w:pPr>
            <w:r>
              <w:rPr>
                <w:rFonts w:hint="eastAsia"/>
                <w:lang w:val="en-US" w:eastAsia="zh-CN"/>
              </w:rPr>
              <w:t>9</w:t>
            </w:r>
          </w:p>
        </w:tc>
        <w:tc>
          <w:tcPr>
            <w:tcW w:w="3369" w:type="dxa"/>
            <w:vAlign w:val="center"/>
          </w:tcPr>
          <w:p w14:paraId="6F19F52B">
            <w:pPr>
              <w:pStyle w:val="43"/>
              <w:bidi w:val="0"/>
              <w:rPr>
                <w:rFonts w:hint="default"/>
                <w:lang w:val="en-US" w:eastAsia="zh-CN"/>
              </w:rPr>
            </w:pPr>
            <w:r>
              <w:rPr>
                <w:rFonts w:hint="eastAsia"/>
                <w:lang w:val="en-US" w:eastAsia="zh-CN"/>
              </w:rPr>
              <w:t>铜（</w:t>
            </w:r>
            <w:r>
              <w:rPr>
                <w:rFonts w:hint="default"/>
                <w:lang w:val="en-US" w:eastAsia="zh-CN"/>
              </w:rPr>
              <w:t>µ</w:t>
            </w:r>
            <w:r>
              <w:rPr>
                <w:rFonts w:hint="eastAsia"/>
                <w:lang w:val="en-US" w:eastAsia="zh-CN"/>
              </w:rPr>
              <w:t>g/L）≤</w:t>
            </w:r>
          </w:p>
        </w:tc>
        <w:tc>
          <w:tcPr>
            <w:tcW w:w="1745" w:type="dxa"/>
            <w:vAlign w:val="center"/>
          </w:tcPr>
          <w:p w14:paraId="523E3551">
            <w:pPr>
              <w:pStyle w:val="43"/>
              <w:bidi w:val="0"/>
              <w:rPr>
                <w:rFonts w:hint="default"/>
                <w:lang w:val="en-US" w:eastAsia="zh-CN"/>
              </w:rPr>
            </w:pPr>
            <w:r>
              <w:rPr>
                <w:rFonts w:hint="eastAsia"/>
                <w:lang w:val="en-US" w:eastAsia="zh-CN"/>
              </w:rPr>
              <w:t>0.08L</w:t>
            </w:r>
          </w:p>
        </w:tc>
        <w:tc>
          <w:tcPr>
            <w:tcW w:w="1527" w:type="dxa"/>
            <w:vAlign w:val="center"/>
          </w:tcPr>
          <w:p w14:paraId="6676F2C8">
            <w:pPr>
              <w:pStyle w:val="43"/>
              <w:bidi w:val="0"/>
              <w:rPr>
                <w:rFonts w:hint="default"/>
                <w:lang w:val="en-US" w:eastAsia="zh-CN"/>
              </w:rPr>
            </w:pPr>
            <w:r>
              <w:rPr>
                <w:rFonts w:hint="eastAsia"/>
                <w:lang w:val="en-US" w:eastAsia="zh-CN"/>
              </w:rPr>
              <w:t>1.0</w:t>
            </w:r>
          </w:p>
        </w:tc>
        <w:tc>
          <w:tcPr>
            <w:tcW w:w="1069" w:type="dxa"/>
            <w:vAlign w:val="center"/>
          </w:tcPr>
          <w:p w14:paraId="36C61861">
            <w:pPr>
              <w:pStyle w:val="43"/>
              <w:bidi w:val="0"/>
              <w:rPr>
                <w:rFonts w:hint="default"/>
                <w:lang w:val="en-US" w:eastAsia="zh-CN"/>
              </w:rPr>
            </w:pPr>
            <w:r>
              <w:rPr>
                <w:rFonts w:hint="eastAsia"/>
                <w:lang w:val="en-US" w:eastAsia="zh-CN"/>
              </w:rPr>
              <w:t>达标</w:t>
            </w:r>
          </w:p>
        </w:tc>
      </w:tr>
      <w:tr w14:paraId="3353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F2CDD54">
            <w:pPr>
              <w:pStyle w:val="43"/>
              <w:bidi w:val="0"/>
              <w:rPr>
                <w:rFonts w:hint="default"/>
                <w:lang w:val="en-US" w:eastAsia="zh-CN"/>
              </w:rPr>
            </w:pPr>
            <w:r>
              <w:rPr>
                <w:rFonts w:hint="eastAsia"/>
                <w:lang w:val="en-US" w:eastAsia="zh-CN"/>
              </w:rPr>
              <w:t>10</w:t>
            </w:r>
          </w:p>
        </w:tc>
        <w:tc>
          <w:tcPr>
            <w:tcW w:w="3369" w:type="dxa"/>
            <w:vAlign w:val="center"/>
          </w:tcPr>
          <w:p w14:paraId="5099AC15">
            <w:pPr>
              <w:pStyle w:val="43"/>
              <w:bidi w:val="0"/>
              <w:rPr>
                <w:rFonts w:hint="default"/>
                <w:lang w:val="en-US" w:eastAsia="zh-CN"/>
              </w:rPr>
            </w:pPr>
            <w:r>
              <w:rPr>
                <w:rFonts w:hint="eastAsia"/>
                <w:lang w:val="en-US" w:eastAsia="zh-CN"/>
              </w:rPr>
              <w:t>锌（</w:t>
            </w:r>
            <w:r>
              <w:rPr>
                <w:rFonts w:hint="default"/>
                <w:lang w:val="en-US" w:eastAsia="zh-CN"/>
              </w:rPr>
              <w:t>µ</w:t>
            </w:r>
            <w:r>
              <w:rPr>
                <w:rFonts w:hint="eastAsia"/>
                <w:lang w:val="en-US" w:eastAsia="zh-CN"/>
              </w:rPr>
              <w:t>g/L）≤</w:t>
            </w:r>
          </w:p>
        </w:tc>
        <w:tc>
          <w:tcPr>
            <w:tcW w:w="1745" w:type="dxa"/>
            <w:vAlign w:val="center"/>
          </w:tcPr>
          <w:p w14:paraId="5953DD66">
            <w:pPr>
              <w:pStyle w:val="43"/>
              <w:bidi w:val="0"/>
              <w:rPr>
                <w:rFonts w:hint="default"/>
                <w:lang w:val="en-US" w:eastAsia="zh-CN"/>
              </w:rPr>
            </w:pPr>
            <w:r>
              <w:rPr>
                <w:rFonts w:hint="eastAsia"/>
                <w:lang w:val="en-US" w:eastAsia="zh-CN"/>
              </w:rPr>
              <w:t>4.72</w:t>
            </w:r>
          </w:p>
        </w:tc>
        <w:tc>
          <w:tcPr>
            <w:tcW w:w="1527" w:type="dxa"/>
            <w:vAlign w:val="center"/>
          </w:tcPr>
          <w:p w14:paraId="6C791731">
            <w:pPr>
              <w:pStyle w:val="43"/>
              <w:bidi w:val="0"/>
              <w:rPr>
                <w:rFonts w:hint="default"/>
                <w:lang w:val="en-US" w:eastAsia="zh-CN"/>
              </w:rPr>
            </w:pPr>
            <w:r>
              <w:rPr>
                <w:rFonts w:hint="eastAsia"/>
                <w:lang w:val="en-US" w:eastAsia="zh-CN"/>
              </w:rPr>
              <w:t>1.0</w:t>
            </w:r>
          </w:p>
        </w:tc>
        <w:tc>
          <w:tcPr>
            <w:tcW w:w="1069" w:type="dxa"/>
            <w:vAlign w:val="center"/>
          </w:tcPr>
          <w:p w14:paraId="2805BA9D">
            <w:pPr>
              <w:pStyle w:val="43"/>
              <w:bidi w:val="0"/>
              <w:rPr>
                <w:rFonts w:hint="default"/>
                <w:lang w:val="en-US" w:eastAsia="zh-CN"/>
              </w:rPr>
            </w:pPr>
            <w:r>
              <w:rPr>
                <w:rFonts w:hint="eastAsia"/>
                <w:lang w:val="en-US" w:eastAsia="zh-CN"/>
              </w:rPr>
              <w:t>达标</w:t>
            </w:r>
          </w:p>
        </w:tc>
      </w:tr>
      <w:tr w14:paraId="44B0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B739CAE">
            <w:pPr>
              <w:pStyle w:val="43"/>
              <w:bidi w:val="0"/>
              <w:rPr>
                <w:rFonts w:hint="default"/>
                <w:lang w:val="en-US" w:eastAsia="zh-CN"/>
              </w:rPr>
            </w:pPr>
            <w:r>
              <w:rPr>
                <w:rFonts w:hint="eastAsia"/>
                <w:lang w:val="en-US" w:eastAsia="zh-CN"/>
              </w:rPr>
              <w:t>11</w:t>
            </w:r>
          </w:p>
        </w:tc>
        <w:tc>
          <w:tcPr>
            <w:tcW w:w="3369" w:type="dxa"/>
            <w:vAlign w:val="center"/>
          </w:tcPr>
          <w:p w14:paraId="005BB293">
            <w:pPr>
              <w:pStyle w:val="43"/>
              <w:bidi w:val="0"/>
              <w:rPr>
                <w:rFonts w:hint="default"/>
                <w:lang w:val="en-US" w:eastAsia="zh-CN"/>
              </w:rPr>
            </w:pPr>
            <w:r>
              <w:rPr>
                <w:rFonts w:hint="eastAsia"/>
                <w:lang w:val="en-US" w:eastAsia="zh-CN"/>
              </w:rPr>
              <w:t>氟化物≤</w:t>
            </w:r>
          </w:p>
        </w:tc>
        <w:tc>
          <w:tcPr>
            <w:tcW w:w="1745" w:type="dxa"/>
            <w:vAlign w:val="center"/>
          </w:tcPr>
          <w:p w14:paraId="5E185996">
            <w:pPr>
              <w:pStyle w:val="43"/>
              <w:bidi w:val="0"/>
              <w:rPr>
                <w:rFonts w:hint="default"/>
                <w:lang w:val="en-US" w:eastAsia="zh-CN"/>
              </w:rPr>
            </w:pPr>
            <w:r>
              <w:rPr>
                <w:rFonts w:hint="eastAsia"/>
                <w:lang w:val="en-US" w:eastAsia="zh-CN"/>
              </w:rPr>
              <w:t>0.292</w:t>
            </w:r>
          </w:p>
        </w:tc>
        <w:tc>
          <w:tcPr>
            <w:tcW w:w="1527" w:type="dxa"/>
            <w:vAlign w:val="center"/>
          </w:tcPr>
          <w:p w14:paraId="24A5F8A7">
            <w:pPr>
              <w:pStyle w:val="43"/>
              <w:bidi w:val="0"/>
              <w:rPr>
                <w:rFonts w:hint="default"/>
                <w:lang w:val="en-US" w:eastAsia="zh-CN"/>
              </w:rPr>
            </w:pPr>
            <w:r>
              <w:rPr>
                <w:rFonts w:hint="eastAsia"/>
                <w:lang w:val="en-US" w:eastAsia="zh-CN"/>
              </w:rPr>
              <w:t>1.0</w:t>
            </w:r>
          </w:p>
        </w:tc>
        <w:tc>
          <w:tcPr>
            <w:tcW w:w="1069" w:type="dxa"/>
            <w:vAlign w:val="center"/>
          </w:tcPr>
          <w:p w14:paraId="20B05334">
            <w:pPr>
              <w:pStyle w:val="43"/>
              <w:bidi w:val="0"/>
              <w:rPr>
                <w:rFonts w:hint="default"/>
                <w:lang w:val="en-US" w:eastAsia="zh-CN"/>
              </w:rPr>
            </w:pPr>
            <w:r>
              <w:rPr>
                <w:rFonts w:hint="eastAsia"/>
                <w:lang w:val="en-US" w:eastAsia="zh-CN"/>
              </w:rPr>
              <w:t>达标</w:t>
            </w:r>
          </w:p>
        </w:tc>
      </w:tr>
      <w:tr w14:paraId="1F0B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2E003A87">
            <w:pPr>
              <w:pStyle w:val="43"/>
              <w:bidi w:val="0"/>
              <w:rPr>
                <w:rFonts w:hint="default"/>
                <w:lang w:val="en-US" w:eastAsia="zh-CN"/>
              </w:rPr>
            </w:pPr>
            <w:r>
              <w:rPr>
                <w:rFonts w:hint="eastAsia"/>
                <w:lang w:val="en-US" w:eastAsia="zh-CN"/>
              </w:rPr>
              <w:t>12</w:t>
            </w:r>
          </w:p>
        </w:tc>
        <w:tc>
          <w:tcPr>
            <w:tcW w:w="3369" w:type="dxa"/>
            <w:vAlign w:val="center"/>
          </w:tcPr>
          <w:p w14:paraId="04320F1B">
            <w:pPr>
              <w:pStyle w:val="43"/>
              <w:bidi w:val="0"/>
              <w:rPr>
                <w:rFonts w:hint="default"/>
                <w:lang w:val="en-US" w:eastAsia="zh-CN"/>
              </w:rPr>
            </w:pPr>
            <w:r>
              <w:rPr>
                <w:rFonts w:hint="eastAsia"/>
                <w:lang w:val="en-US" w:eastAsia="zh-CN"/>
              </w:rPr>
              <w:t>硒（</w:t>
            </w:r>
            <w:r>
              <w:rPr>
                <w:rFonts w:hint="default"/>
                <w:lang w:val="en-US" w:eastAsia="zh-CN"/>
              </w:rPr>
              <w:t>µ</w:t>
            </w:r>
            <w:r>
              <w:rPr>
                <w:rFonts w:hint="eastAsia"/>
                <w:lang w:val="en-US" w:eastAsia="zh-CN"/>
              </w:rPr>
              <w:t>g/L）≤</w:t>
            </w:r>
          </w:p>
        </w:tc>
        <w:tc>
          <w:tcPr>
            <w:tcW w:w="1745" w:type="dxa"/>
            <w:vAlign w:val="center"/>
          </w:tcPr>
          <w:p w14:paraId="1D988A06">
            <w:pPr>
              <w:pStyle w:val="43"/>
              <w:bidi w:val="0"/>
              <w:rPr>
                <w:rFonts w:hint="default"/>
                <w:lang w:val="en-US" w:eastAsia="zh-CN"/>
              </w:rPr>
            </w:pPr>
            <w:r>
              <w:rPr>
                <w:rFonts w:hint="eastAsia"/>
                <w:lang w:val="en-US" w:eastAsia="zh-CN"/>
              </w:rPr>
              <w:t>0.4L</w:t>
            </w:r>
          </w:p>
        </w:tc>
        <w:tc>
          <w:tcPr>
            <w:tcW w:w="1527" w:type="dxa"/>
            <w:vAlign w:val="center"/>
          </w:tcPr>
          <w:p w14:paraId="6E5B099D">
            <w:pPr>
              <w:pStyle w:val="43"/>
              <w:bidi w:val="0"/>
              <w:rPr>
                <w:rFonts w:hint="default"/>
                <w:lang w:val="en-US" w:eastAsia="zh-CN"/>
              </w:rPr>
            </w:pPr>
            <w:r>
              <w:rPr>
                <w:rFonts w:hint="eastAsia"/>
                <w:lang w:val="en-US" w:eastAsia="zh-CN"/>
              </w:rPr>
              <w:t>0.01</w:t>
            </w:r>
          </w:p>
        </w:tc>
        <w:tc>
          <w:tcPr>
            <w:tcW w:w="1069" w:type="dxa"/>
            <w:vAlign w:val="center"/>
          </w:tcPr>
          <w:p w14:paraId="73659CAB">
            <w:pPr>
              <w:pStyle w:val="43"/>
              <w:bidi w:val="0"/>
              <w:rPr>
                <w:rFonts w:hint="default"/>
                <w:lang w:val="en-US" w:eastAsia="zh-CN"/>
              </w:rPr>
            </w:pPr>
            <w:r>
              <w:rPr>
                <w:rFonts w:hint="eastAsia"/>
                <w:lang w:val="en-US" w:eastAsia="zh-CN"/>
              </w:rPr>
              <w:t>达标</w:t>
            </w:r>
          </w:p>
        </w:tc>
      </w:tr>
      <w:tr w14:paraId="5E28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FAB384A">
            <w:pPr>
              <w:pStyle w:val="43"/>
              <w:bidi w:val="0"/>
              <w:rPr>
                <w:rFonts w:hint="default"/>
                <w:lang w:val="en-US" w:eastAsia="zh-CN"/>
              </w:rPr>
            </w:pPr>
            <w:r>
              <w:rPr>
                <w:rFonts w:hint="eastAsia"/>
                <w:lang w:val="en-US" w:eastAsia="zh-CN"/>
              </w:rPr>
              <w:t>13</w:t>
            </w:r>
          </w:p>
        </w:tc>
        <w:tc>
          <w:tcPr>
            <w:tcW w:w="3369" w:type="dxa"/>
            <w:vAlign w:val="center"/>
          </w:tcPr>
          <w:p w14:paraId="7C408129">
            <w:pPr>
              <w:pStyle w:val="43"/>
              <w:bidi w:val="0"/>
              <w:rPr>
                <w:rFonts w:hint="default"/>
                <w:lang w:val="en-US" w:eastAsia="zh-CN"/>
              </w:rPr>
            </w:pPr>
            <w:r>
              <w:rPr>
                <w:rFonts w:hint="eastAsia"/>
                <w:lang w:val="en-US" w:eastAsia="zh-CN"/>
              </w:rPr>
              <w:t>砷（</w:t>
            </w:r>
            <w:r>
              <w:rPr>
                <w:rFonts w:hint="default"/>
                <w:lang w:val="en-US" w:eastAsia="zh-CN"/>
              </w:rPr>
              <w:t>µ</w:t>
            </w:r>
            <w:r>
              <w:rPr>
                <w:rFonts w:hint="eastAsia"/>
                <w:lang w:val="en-US" w:eastAsia="zh-CN"/>
              </w:rPr>
              <w:t>g/L）≤</w:t>
            </w:r>
          </w:p>
        </w:tc>
        <w:tc>
          <w:tcPr>
            <w:tcW w:w="1745" w:type="dxa"/>
            <w:vAlign w:val="center"/>
          </w:tcPr>
          <w:p w14:paraId="53FE7085">
            <w:pPr>
              <w:pStyle w:val="43"/>
              <w:bidi w:val="0"/>
              <w:rPr>
                <w:rFonts w:hint="default"/>
                <w:lang w:val="en-US" w:eastAsia="zh-CN"/>
              </w:rPr>
            </w:pPr>
            <w:r>
              <w:rPr>
                <w:rFonts w:hint="eastAsia"/>
                <w:lang w:val="en-US" w:eastAsia="zh-CN"/>
              </w:rPr>
              <w:t>1.00</w:t>
            </w:r>
          </w:p>
        </w:tc>
        <w:tc>
          <w:tcPr>
            <w:tcW w:w="1527" w:type="dxa"/>
            <w:vAlign w:val="center"/>
          </w:tcPr>
          <w:p w14:paraId="6703D073">
            <w:pPr>
              <w:pStyle w:val="43"/>
              <w:bidi w:val="0"/>
              <w:rPr>
                <w:rFonts w:hint="default"/>
                <w:lang w:val="en-US" w:eastAsia="zh-CN"/>
              </w:rPr>
            </w:pPr>
            <w:r>
              <w:rPr>
                <w:rFonts w:hint="eastAsia"/>
                <w:lang w:val="en-US" w:eastAsia="zh-CN"/>
              </w:rPr>
              <w:t>0.05</w:t>
            </w:r>
          </w:p>
        </w:tc>
        <w:tc>
          <w:tcPr>
            <w:tcW w:w="1069" w:type="dxa"/>
            <w:vAlign w:val="center"/>
          </w:tcPr>
          <w:p w14:paraId="7CB007A7">
            <w:pPr>
              <w:pStyle w:val="43"/>
              <w:bidi w:val="0"/>
              <w:rPr>
                <w:rFonts w:hint="default"/>
                <w:lang w:val="en-US" w:eastAsia="zh-CN"/>
              </w:rPr>
            </w:pPr>
            <w:r>
              <w:rPr>
                <w:rFonts w:hint="eastAsia"/>
                <w:lang w:val="en-US" w:eastAsia="zh-CN"/>
              </w:rPr>
              <w:t>达标</w:t>
            </w:r>
          </w:p>
        </w:tc>
      </w:tr>
      <w:tr w14:paraId="1703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556DDFC6">
            <w:pPr>
              <w:pStyle w:val="43"/>
              <w:bidi w:val="0"/>
              <w:rPr>
                <w:rFonts w:hint="default"/>
                <w:lang w:val="en-US" w:eastAsia="zh-CN"/>
              </w:rPr>
            </w:pPr>
            <w:r>
              <w:rPr>
                <w:rFonts w:hint="eastAsia"/>
                <w:lang w:val="en-US" w:eastAsia="zh-CN"/>
              </w:rPr>
              <w:t>14</w:t>
            </w:r>
          </w:p>
        </w:tc>
        <w:tc>
          <w:tcPr>
            <w:tcW w:w="3369" w:type="dxa"/>
            <w:vAlign w:val="center"/>
          </w:tcPr>
          <w:p w14:paraId="042D95BC">
            <w:pPr>
              <w:pStyle w:val="43"/>
              <w:bidi w:val="0"/>
              <w:rPr>
                <w:rFonts w:hint="default"/>
                <w:lang w:val="en-US" w:eastAsia="zh-CN"/>
              </w:rPr>
            </w:pPr>
            <w:r>
              <w:rPr>
                <w:rFonts w:hint="eastAsia"/>
                <w:lang w:val="en-US" w:eastAsia="zh-CN"/>
              </w:rPr>
              <w:t>汞（</w:t>
            </w:r>
            <w:r>
              <w:rPr>
                <w:rFonts w:hint="default"/>
                <w:lang w:val="en-US" w:eastAsia="zh-CN"/>
              </w:rPr>
              <w:t>µ</w:t>
            </w:r>
            <w:r>
              <w:rPr>
                <w:rFonts w:hint="eastAsia"/>
                <w:lang w:val="en-US" w:eastAsia="zh-CN"/>
              </w:rPr>
              <w:t>g/L）≤</w:t>
            </w:r>
          </w:p>
        </w:tc>
        <w:tc>
          <w:tcPr>
            <w:tcW w:w="1745" w:type="dxa"/>
            <w:vAlign w:val="center"/>
          </w:tcPr>
          <w:p w14:paraId="4D35C7F0">
            <w:pPr>
              <w:pStyle w:val="43"/>
              <w:bidi w:val="0"/>
              <w:rPr>
                <w:rFonts w:hint="default"/>
                <w:lang w:val="en-US" w:eastAsia="zh-CN"/>
              </w:rPr>
            </w:pPr>
            <w:r>
              <w:rPr>
                <w:rFonts w:hint="eastAsia"/>
                <w:lang w:val="en-US" w:eastAsia="zh-CN"/>
              </w:rPr>
              <w:t>0.04</w:t>
            </w:r>
          </w:p>
        </w:tc>
        <w:tc>
          <w:tcPr>
            <w:tcW w:w="1527" w:type="dxa"/>
            <w:vAlign w:val="center"/>
          </w:tcPr>
          <w:p w14:paraId="18231EC4">
            <w:pPr>
              <w:pStyle w:val="43"/>
              <w:bidi w:val="0"/>
              <w:rPr>
                <w:rFonts w:hint="default"/>
                <w:lang w:val="en-US" w:eastAsia="zh-CN"/>
              </w:rPr>
            </w:pPr>
            <w:r>
              <w:rPr>
                <w:rFonts w:hint="eastAsia"/>
                <w:lang w:val="en-US" w:eastAsia="zh-CN"/>
              </w:rPr>
              <w:t>0.0001</w:t>
            </w:r>
          </w:p>
        </w:tc>
        <w:tc>
          <w:tcPr>
            <w:tcW w:w="1069" w:type="dxa"/>
            <w:vAlign w:val="center"/>
          </w:tcPr>
          <w:p w14:paraId="4BA8FAE9">
            <w:pPr>
              <w:pStyle w:val="43"/>
              <w:bidi w:val="0"/>
              <w:rPr>
                <w:rFonts w:hint="default"/>
                <w:lang w:val="en-US" w:eastAsia="zh-CN"/>
              </w:rPr>
            </w:pPr>
            <w:r>
              <w:rPr>
                <w:rFonts w:hint="eastAsia"/>
                <w:lang w:val="en-US" w:eastAsia="zh-CN"/>
              </w:rPr>
              <w:t>达标</w:t>
            </w:r>
          </w:p>
        </w:tc>
      </w:tr>
      <w:tr w14:paraId="5270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545F4B6B">
            <w:pPr>
              <w:pStyle w:val="43"/>
              <w:bidi w:val="0"/>
              <w:rPr>
                <w:rFonts w:hint="default"/>
                <w:lang w:val="en-US" w:eastAsia="zh-CN"/>
              </w:rPr>
            </w:pPr>
            <w:r>
              <w:rPr>
                <w:rFonts w:hint="eastAsia"/>
                <w:lang w:val="en-US" w:eastAsia="zh-CN"/>
              </w:rPr>
              <w:t>15</w:t>
            </w:r>
          </w:p>
        </w:tc>
        <w:tc>
          <w:tcPr>
            <w:tcW w:w="3369" w:type="dxa"/>
            <w:vAlign w:val="center"/>
          </w:tcPr>
          <w:p w14:paraId="6073F086">
            <w:pPr>
              <w:pStyle w:val="43"/>
              <w:bidi w:val="0"/>
              <w:rPr>
                <w:rFonts w:hint="default"/>
                <w:lang w:val="en-US" w:eastAsia="zh-CN"/>
              </w:rPr>
            </w:pPr>
            <w:r>
              <w:rPr>
                <w:rFonts w:hint="eastAsia"/>
                <w:lang w:val="en-US" w:eastAsia="zh-CN"/>
              </w:rPr>
              <w:t>镉（</w:t>
            </w:r>
            <w:r>
              <w:rPr>
                <w:rFonts w:hint="default"/>
                <w:lang w:val="en-US" w:eastAsia="zh-CN"/>
              </w:rPr>
              <w:t>µ</w:t>
            </w:r>
            <w:r>
              <w:rPr>
                <w:rFonts w:hint="eastAsia"/>
                <w:lang w:val="en-US" w:eastAsia="zh-CN"/>
              </w:rPr>
              <w:t>g/L）≤</w:t>
            </w:r>
          </w:p>
        </w:tc>
        <w:tc>
          <w:tcPr>
            <w:tcW w:w="1745" w:type="dxa"/>
            <w:vAlign w:val="center"/>
          </w:tcPr>
          <w:p w14:paraId="30B81F6A">
            <w:pPr>
              <w:pStyle w:val="43"/>
              <w:bidi w:val="0"/>
              <w:rPr>
                <w:rFonts w:hint="default"/>
                <w:lang w:val="en-US" w:eastAsia="zh-CN"/>
              </w:rPr>
            </w:pPr>
            <w:r>
              <w:rPr>
                <w:rFonts w:hint="eastAsia"/>
                <w:lang w:val="en-US" w:eastAsia="zh-CN"/>
              </w:rPr>
              <w:t>0.05L</w:t>
            </w:r>
          </w:p>
        </w:tc>
        <w:tc>
          <w:tcPr>
            <w:tcW w:w="1527" w:type="dxa"/>
            <w:vAlign w:val="center"/>
          </w:tcPr>
          <w:p w14:paraId="4C61BA28">
            <w:pPr>
              <w:pStyle w:val="43"/>
              <w:bidi w:val="0"/>
              <w:rPr>
                <w:rFonts w:hint="default"/>
                <w:lang w:val="en-US" w:eastAsia="zh-CN"/>
              </w:rPr>
            </w:pPr>
            <w:r>
              <w:rPr>
                <w:rFonts w:hint="eastAsia"/>
                <w:lang w:val="en-US" w:eastAsia="zh-CN"/>
              </w:rPr>
              <w:t>0.005</w:t>
            </w:r>
          </w:p>
        </w:tc>
        <w:tc>
          <w:tcPr>
            <w:tcW w:w="1069" w:type="dxa"/>
            <w:vAlign w:val="center"/>
          </w:tcPr>
          <w:p w14:paraId="62352E84">
            <w:pPr>
              <w:pStyle w:val="43"/>
              <w:bidi w:val="0"/>
              <w:rPr>
                <w:rFonts w:hint="default"/>
                <w:lang w:val="en-US" w:eastAsia="zh-CN"/>
              </w:rPr>
            </w:pPr>
            <w:r>
              <w:rPr>
                <w:rFonts w:hint="eastAsia"/>
                <w:lang w:val="en-US" w:eastAsia="zh-CN"/>
              </w:rPr>
              <w:t>达标</w:t>
            </w:r>
          </w:p>
        </w:tc>
      </w:tr>
      <w:tr w14:paraId="73FD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80E377A">
            <w:pPr>
              <w:pStyle w:val="43"/>
              <w:bidi w:val="0"/>
              <w:rPr>
                <w:rFonts w:hint="default"/>
                <w:lang w:val="en-US" w:eastAsia="zh-CN"/>
              </w:rPr>
            </w:pPr>
            <w:r>
              <w:rPr>
                <w:rFonts w:hint="eastAsia"/>
                <w:lang w:val="en-US" w:eastAsia="zh-CN"/>
              </w:rPr>
              <w:t>16</w:t>
            </w:r>
          </w:p>
        </w:tc>
        <w:tc>
          <w:tcPr>
            <w:tcW w:w="3369" w:type="dxa"/>
            <w:vAlign w:val="center"/>
          </w:tcPr>
          <w:p w14:paraId="58AE148F">
            <w:pPr>
              <w:pStyle w:val="43"/>
              <w:bidi w:val="0"/>
              <w:rPr>
                <w:rFonts w:hint="eastAsia"/>
                <w:lang w:val="en-US" w:eastAsia="zh-CN"/>
              </w:rPr>
            </w:pPr>
            <w:r>
              <w:rPr>
                <w:rFonts w:hint="eastAsia"/>
                <w:lang w:val="en-US" w:eastAsia="zh-CN"/>
              </w:rPr>
              <w:t>六价铬≤</w:t>
            </w:r>
          </w:p>
        </w:tc>
        <w:tc>
          <w:tcPr>
            <w:tcW w:w="1745" w:type="dxa"/>
            <w:vAlign w:val="center"/>
          </w:tcPr>
          <w:p w14:paraId="45423CE1">
            <w:pPr>
              <w:pStyle w:val="43"/>
              <w:bidi w:val="0"/>
              <w:rPr>
                <w:rFonts w:hint="default"/>
                <w:lang w:val="en-US" w:eastAsia="zh-CN"/>
              </w:rPr>
            </w:pPr>
            <w:r>
              <w:rPr>
                <w:rFonts w:hint="eastAsia"/>
                <w:lang w:val="en-US" w:eastAsia="zh-CN"/>
              </w:rPr>
              <w:t>0.004L</w:t>
            </w:r>
          </w:p>
        </w:tc>
        <w:tc>
          <w:tcPr>
            <w:tcW w:w="1527" w:type="dxa"/>
            <w:vAlign w:val="center"/>
          </w:tcPr>
          <w:p w14:paraId="77CB681B">
            <w:pPr>
              <w:pStyle w:val="43"/>
              <w:bidi w:val="0"/>
              <w:rPr>
                <w:rFonts w:hint="default"/>
                <w:lang w:val="en-US" w:eastAsia="zh-CN"/>
              </w:rPr>
            </w:pPr>
            <w:r>
              <w:rPr>
                <w:rFonts w:hint="eastAsia"/>
                <w:lang w:val="en-US" w:eastAsia="zh-CN"/>
              </w:rPr>
              <w:t>0.05</w:t>
            </w:r>
          </w:p>
        </w:tc>
        <w:tc>
          <w:tcPr>
            <w:tcW w:w="1069" w:type="dxa"/>
            <w:vAlign w:val="center"/>
          </w:tcPr>
          <w:p w14:paraId="6B68A83E">
            <w:pPr>
              <w:pStyle w:val="43"/>
              <w:bidi w:val="0"/>
              <w:rPr>
                <w:rFonts w:hint="default"/>
                <w:lang w:val="en-US" w:eastAsia="zh-CN"/>
              </w:rPr>
            </w:pPr>
            <w:r>
              <w:rPr>
                <w:rFonts w:hint="eastAsia"/>
                <w:lang w:val="en-US" w:eastAsia="zh-CN"/>
              </w:rPr>
              <w:t>达标</w:t>
            </w:r>
          </w:p>
        </w:tc>
      </w:tr>
      <w:tr w14:paraId="03FE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21" w:type="dxa"/>
            <w:vAlign w:val="center"/>
          </w:tcPr>
          <w:p w14:paraId="3343DD30">
            <w:pPr>
              <w:pStyle w:val="43"/>
              <w:bidi w:val="0"/>
              <w:rPr>
                <w:rFonts w:hint="default"/>
                <w:lang w:val="en-US" w:eastAsia="zh-CN"/>
              </w:rPr>
            </w:pPr>
            <w:r>
              <w:rPr>
                <w:rFonts w:hint="eastAsia"/>
                <w:lang w:val="en-US" w:eastAsia="zh-CN"/>
              </w:rPr>
              <w:t>17</w:t>
            </w:r>
          </w:p>
        </w:tc>
        <w:tc>
          <w:tcPr>
            <w:tcW w:w="3369" w:type="dxa"/>
            <w:vAlign w:val="center"/>
          </w:tcPr>
          <w:p w14:paraId="4E11E408">
            <w:pPr>
              <w:pStyle w:val="43"/>
              <w:bidi w:val="0"/>
              <w:rPr>
                <w:rFonts w:hint="eastAsia"/>
                <w:lang w:val="en-US" w:eastAsia="zh-CN"/>
              </w:rPr>
            </w:pPr>
            <w:r>
              <w:rPr>
                <w:rFonts w:hint="eastAsia"/>
                <w:lang w:val="en-US" w:eastAsia="zh-CN"/>
              </w:rPr>
              <w:t>铅（</w:t>
            </w:r>
            <w:r>
              <w:rPr>
                <w:rFonts w:hint="default"/>
                <w:lang w:val="en-US" w:eastAsia="zh-CN"/>
              </w:rPr>
              <w:t>µ</w:t>
            </w:r>
            <w:r>
              <w:rPr>
                <w:rFonts w:hint="eastAsia"/>
                <w:lang w:val="en-US" w:eastAsia="zh-CN"/>
              </w:rPr>
              <w:t>g/L）≤</w:t>
            </w:r>
          </w:p>
        </w:tc>
        <w:tc>
          <w:tcPr>
            <w:tcW w:w="1745" w:type="dxa"/>
            <w:vAlign w:val="center"/>
          </w:tcPr>
          <w:p w14:paraId="33197CED">
            <w:pPr>
              <w:pStyle w:val="43"/>
              <w:bidi w:val="0"/>
              <w:rPr>
                <w:rFonts w:hint="default"/>
                <w:lang w:val="en-US" w:eastAsia="zh-CN"/>
              </w:rPr>
            </w:pPr>
            <w:r>
              <w:rPr>
                <w:rFonts w:hint="eastAsia"/>
                <w:lang w:val="en-US" w:eastAsia="zh-CN"/>
              </w:rPr>
              <w:t>0.69</w:t>
            </w:r>
          </w:p>
        </w:tc>
        <w:tc>
          <w:tcPr>
            <w:tcW w:w="1527" w:type="dxa"/>
            <w:vAlign w:val="center"/>
          </w:tcPr>
          <w:p w14:paraId="27C75F67">
            <w:pPr>
              <w:pStyle w:val="43"/>
              <w:bidi w:val="0"/>
              <w:rPr>
                <w:rFonts w:hint="default"/>
                <w:lang w:val="en-US" w:eastAsia="zh-CN"/>
              </w:rPr>
            </w:pPr>
            <w:r>
              <w:rPr>
                <w:rFonts w:hint="eastAsia"/>
                <w:lang w:val="en-US" w:eastAsia="zh-CN"/>
              </w:rPr>
              <w:t>0.05</w:t>
            </w:r>
          </w:p>
        </w:tc>
        <w:tc>
          <w:tcPr>
            <w:tcW w:w="1069" w:type="dxa"/>
            <w:vAlign w:val="center"/>
          </w:tcPr>
          <w:p w14:paraId="7B8CCC26">
            <w:pPr>
              <w:pStyle w:val="43"/>
              <w:bidi w:val="0"/>
              <w:rPr>
                <w:rFonts w:hint="default"/>
                <w:lang w:val="en-US" w:eastAsia="zh-CN"/>
              </w:rPr>
            </w:pPr>
            <w:r>
              <w:rPr>
                <w:rFonts w:hint="eastAsia"/>
                <w:lang w:val="en-US" w:eastAsia="zh-CN"/>
              </w:rPr>
              <w:t>达标</w:t>
            </w:r>
          </w:p>
        </w:tc>
      </w:tr>
      <w:tr w14:paraId="4567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7AB494B">
            <w:pPr>
              <w:pStyle w:val="43"/>
              <w:bidi w:val="0"/>
              <w:rPr>
                <w:rFonts w:hint="default"/>
                <w:lang w:val="en-US" w:eastAsia="zh-CN"/>
              </w:rPr>
            </w:pPr>
            <w:r>
              <w:rPr>
                <w:rFonts w:hint="eastAsia"/>
                <w:lang w:val="en-US" w:eastAsia="zh-CN"/>
              </w:rPr>
              <w:t>18</w:t>
            </w:r>
          </w:p>
        </w:tc>
        <w:tc>
          <w:tcPr>
            <w:tcW w:w="3369" w:type="dxa"/>
            <w:vAlign w:val="center"/>
          </w:tcPr>
          <w:p w14:paraId="4BEDFA94">
            <w:pPr>
              <w:pStyle w:val="43"/>
              <w:bidi w:val="0"/>
              <w:rPr>
                <w:rFonts w:hint="eastAsia"/>
                <w:lang w:val="en-US" w:eastAsia="zh-CN"/>
              </w:rPr>
            </w:pPr>
            <w:r>
              <w:rPr>
                <w:rFonts w:hint="eastAsia"/>
                <w:lang w:val="en-US" w:eastAsia="zh-CN"/>
              </w:rPr>
              <w:t>氰化物≤</w:t>
            </w:r>
          </w:p>
        </w:tc>
        <w:tc>
          <w:tcPr>
            <w:tcW w:w="1745" w:type="dxa"/>
            <w:vAlign w:val="center"/>
          </w:tcPr>
          <w:p w14:paraId="13314058">
            <w:pPr>
              <w:pStyle w:val="43"/>
              <w:bidi w:val="0"/>
              <w:rPr>
                <w:rFonts w:hint="default"/>
                <w:lang w:val="en-US" w:eastAsia="zh-CN"/>
              </w:rPr>
            </w:pPr>
            <w:r>
              <w:rPr>
                <w:rFonts w:hint="eastAsia"/>
                <w:lang w:val="en-US" w:eastAsia="zh-CN"/>
              </w:rPr>
              <w:t>0.002L</w:t>
            </w:r>
          </w:p>
        </w:tc>
        <w:tc>
          <w:tcPr>
            <w:tcW w:w="1527" w:type="dxa"/>
            <w:vAlign w:val="center"/>
          </w:tcPr>
          <w:p w14:paraId="27178452">
            <w:pPr>
              <w:pStyle w:val="43"/>
              <w:bidi w:val="0"/>
              <w:rPr>
                <w:rFonts w:hint="default"/>
                <w:lang w:val="en-US" w:eastAsia="zh-CN"/>
              </w:rPr>
            </w:pPr>
            <w:r>
              <w:rPr>
                <w:rFonts w:hint="eastAsia"/>
                <w:lang w:val="en-US" w:eastAsia="zh-CN"/>
              </w:rPr>
              <w:t>0.2</w:t>
            </w:r>
          </w:p>
        </w:tc>
        <w:tc>
          <w:tcPr>
            <w:tcW w:w="1069" w:type="dxa"/>
            <w:vAlign w:val="center"/>
          </w:tcPr>
          <w:p w14:paraId="15090388">
            <w:pPr>
              <w:pStyle w:val="43"/>
              <w:bidi w:val="0"/>
              <w:rPr>
                <w:rFonts w:hint="default"/>
                <w:lang w:val="en-US" w:eastAsia="zh-CN"/>
              </w:rPr>
            </w:pPr>
            <w:r>
              <w:rPr>
                <w:rFonts w:hint="eastAsia"/>
                <w:lang w:val="en-US" w:eastAsia="zh-CN"/>
              </w:rPr>
              <w:t>达标</w:t>
            </w:r>
          </w:p>
        </w:tc>
      </w:tr>
      <w:tr w14:paraId="4C03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01A4B52">
            <w:pPr>
              <w:pStyle w:val="43"/>
              <w:bidi w:val="0"/>
              <w:rPr>
                <w:rFonts w:hint="default"/>
                <w:lang w:val="en-US" w:eastAsia="zh-CN"/>
              </w:rPr>
            </w:pPr>
            <w:r>
              <w:rPr>
                <w:rFonts w:hint="eastAsia"/>
                <w:lang w:val="en-US" w:eastAsia="zh-CN"/>
              </w:rPr>
              <w:t>19</w:t>
            </w:r>
          </w:p>
        </w:tc>
        <w:tc>
          <w:tcPr>
            <w:tcW w:w="3369" w:type="dxa"/>
            <w:vAlign w:val="center"/>
          </w:tcPr>
          <w:p w14:paraId="2C265069">
            <w:pPr>
              <w:pStyle w:val="43"/>
              <w:bidi w:val="0"/>
              <w:rPr>
                <w:rFonts w:hint="eastAsia"/>
                <w:lang w:val="en-US" w:eastAsia="zh-CN"/>
              </w:rPr>
            </w:pPr>
            <w:r>
              <w:rPr>
                <w:rFonts w:hint="eastAsia"/>
                <w:lang w:val="en-US" w:eastAsia="zh-CN"/>
              </w:rPr>
              <w:t>挥发酚≤</w:t>
            </w:r>
          </w:p>
        </w:tc>
        <w:tc>
          <w:tcPr>
            <w:tcW w:w="1745" w:type="dxa"/>
            <w:vAlign w:val="center"/>
          </w:tcPr>
          <w:p w14:paraId="79A08E87">
            <w:pPr>
              <w:pStyle w:val="43"/>
              <w:bidi w:val="0"/>
              <w:rPr>
                <w:rFonts w:hint="default"/>
                <w:lang w:val="en-US" w:eastAsia="zh-CN"/>
              </w:rPr>
            </w:pPr>
            <w:r>
              <w:rPr>
                <w:rFonts w:hint="eastAsia"/>
                <w:lang w:val="en-US" w:eastAsia="zh-CN"/>
              </w:rPr>
              <w:t>0.001L</w:t>
            </w:r>
          </w:p>
        </w:tc>
        <w:tc>
          <w:tcPr>
            <w:tcW w:w="1527" w:type="dxa"/>
            <w:vAlign w:val="center"/>
          </w:tcPr>
          <w:p w14:paraId="52BFDAB0">
            <w:pPr>
              <w:pStyle w:val="43"/>
              <w:bidi w:val="0"/>
              <w:rPr>
                <w:rFonts w:hint="default"/>
                <w:lang w:val="en-US" w:eastAsia="zh-CN"/>
              </w:rPr>
            </w:pPr>
            <w:r>
              <w:rPr>
                <w:rFonts w:hint="eastAsia"/>
                <w:lang w:val="en-US" w:eastAsia="zh-CN"/>
              </w:rPr>
              <w:t>0.005</w:t>
            </w:r>
          </w:p>
        </w:tc>
        <w:tc>
          <w:tcPr>
            <w:tcW w:w="1069" w:type="dxa"/>
            <w:vAlign w:val="center"/>
          </w:tcPr>
          <w:p w14:paraId="30352672">
            <w:pPr>
              <w:pStyle w:val="43"/>
              <w:bidi w:val="0"/>
              <w:rPr>
                <w:rFonts w:hint="default"/>
                <w:lang w:val="en-US" w:eastAsia="zh-CN"/>
              </w:rPr>
            </w:pPr>
            <w:r>
              <w:rPr>
                <w:rFonts w:hint="eastAsia"/>
                <w:lang w:val="en-US" w:eastAsia="zh-CN"/>
              </w:rPr>
              <w:t>达标</w:t>
            </w:r>
          </w:p>
        </w:tc>
      </w:tr>
      <w:tr w14:paraId="588F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6B1AAF1">
            <w:pPr>
              <w:pStyle w:val="43"/>
              <w:bidi w:val="0"/>
              <w:rPr>
                <w:rFonts w:hint="default"/>
                <w:lang w:val="en-US" w:eastAsia="zh-CN"/>
              </w:rPr>
            </w:pPr>
            <w:r>
              <w:rPr>
                <w:rFonts w:hint="eastAsia"/>
                <w:lang w:val="en-US" w:eastAsia="zh-CN"/>
              </w:rPr>
              <w:t>20</w:t>
            </w:r>
          </w:p>
        </w:tc>
        <w:tc>
          <w:tcPr>
            <w:tcW w:w="3369" w:type="dxa"/>
            <w:vAlign w:val="center"/>
          </w:tcPr>
          <w:p w14:paraId="6FF3FB27">
            <w:pPr>
              <w:pStyle w:val="43"/>
              <w:bidi w:val="0"/>
              <w:rPr>
                <w:rFonts w:hint="eastAsia"/>
                <w:lang w:val="en-US" w:eastAsia="zh-CN"/>
              </w:rPr>
            </w:pPr>
            <w:r>
              <w:rPr>
                <w:rFonts w:hint="eastAsia"/>
                <w:lang w:val="en-US" w:eastAsia="zh-CN"/>
              </w:rPr>
              <w:t>石油类≤</w:t>
            </w:r>
          </w:p>
        </w:tc>
        <w:tc>
          <w:tcPr>
            <w:tcW w:w="1745" w:type="dxa"/>
            <w:vAlign w:val="center"/>
          </w:tcPr>
          <w:p w14:paraId="554AD2D2">
            <w:pPr>
              <w:pStyle w:val="43"/>
              <w:bidi w:val="0"/>
              <w:rPr>
                <w:rFonts w:hint="default"/>
                <w:lang w:val="en-US" w:eastAsia="zh-CN"/>
              </w:rPr>
            </w:pPr>
            <w:r>
              <w:rPr>
                <w:rFonts w:hint="eastAsia"/>
                <w:lang w:val="en-US" w:eastAsia="zh-CN"/>
              </w:rPr>
              <w:t>0.02</w:t>
            </w:r>
          </w:p>
        </w:tc>
        <w:tc>
          <w:tcPr>
            <w:tcW w:w="1527" w:type="dxa"/>
            <w:vAlign w:val="center"/>
          </w:tcPr>
          <w:p w14:paraId="5C3C169C">
            <w:pPr>
              <w:pStyle w:val="43"/>
              <w:bidi w:val="0"/>
              <w:rPr>
                <w:rFonts w:hint="default"/>
                <w:lang w:val="en-US" w:eastAsia="zh-CN"/>
              </w:rPr>
            </w:pPr>
            <w:r>
              <w:rPr>
                <w:rFonts w:hint="eastAsia"/>
                <w:lang w:val="en-US" w:eastAsia="zh-CN"/>
              </w:rPr>
              <w:t>0.05</w:t>
            </w:r>
          </w:p>
        </w:tc>
        <w:tc>
          <w:tcPr>
            <w:tcW w:w="1069" w:type="dxa"/>
            <w:vAlign w:val="center"/>
          </w:tcPr>
          <w:p w14:paraId="685DFBDA">
            <w:pPr>
              <w:pStyle w:val="43"/>
              <w:bidi w:val="0"/>
              <w:rPr>
                <w:rFonts w:hint="default"/>
                <w:lang w:val="en-US" w:eastAsia="zh-CN"/>
              </w:rPr>
            </w:pPr>
            <w:r>
              <w:rPr>
                <w:rFonts w:hint="eastAsia"/>
                <w:lang w:val="en-US" w:eastAsia="zh-CN"/>
              </w:rPr>
              <w:t>达标</w:t>
            </w:r>
          </w:p>
        </w:tc>
      </w:tr>
      <w:tr w14:paraId="5863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287BE590">
            <w:pPr>
              <w:pStyle w:val="43"/>
              <w:bidi w:val="0"/>
              <w:rPr>
                <w:rFonts w:hint="default"/>
                <w:lang w:val="en-US" w:eastAsia="zh-CN"/>
              </w:rPr>
            </w:pPr>
            <w:r>
              <w:rPr>
                <w:rFonts w:hint="eastAsia"/>
                <w:lang w:val="en-US" w:eastAsia="zh-CN"/>
              </w:rPr>
              <w:t>21</w:t>
            </w:r>
          </w:p>
        </w:tc>
        <w:tc>
          <w:tcPr>
            <w:tcW w:w="3369" w:type="dxa"/>
            <w:vAlign w:val="center"/>
          </w:tcPr>
          <w:p w14:paraId="0C8CB040">
            <w:pPr>
              <w:pStyle w:val="43"/>
              <w:bidi w:val="0"/>
              <w:rPr>
                <w:rFonts w:hint="eastAsia"/>
                <w:lang w:val="en-US" w:eastAsia="zh-CN"/>
              </w:rPr>
            </w:pPr>
            <w:r>
              <w:rPr>
                <w:rFonts w:hint="eastAsia"/>
                <w:lang w:val="en-US" w:eastAsia="zh-CN"/>
              </w:rPr>
              <w:t>阴离子表面活性剂≤</w:t>
            </w:r>
          </w:p>
        </w:tc>
        <w:tc>
          <w:tcPr>
            <w:tcW w:w="1745" w:type="dxa"/>
            <w:vAlign w:val="center"/>
          </w:tcPr>
          <w:p w14:paraId="40720334">
            <w:pPr>
              <w:pStyle w:val="43"/>
              <w:bidi w:val="0"/>
              <w:rPr>
                <w:rFonts w:hint="default"/>
                <w:lang w:val="en-US" w:eastAsia="zh-CN"/>
              </w:rPr>
            </w:pPr>
            <w:r>
              <w:rPr>
                <w:rFonts w:hint="eastAsia"/>
                <w:lang w:val="en-US" w:eastAsia="zh-CN"/>
              </w:rPr>
              <w:t>0.05L</w:t>
            </w:r>
          </w:p>
        </w:tc>
        <w:tc>
          <w:tcPr>
            <w:tcW w:w="1527" w:type="dxa"/>
            <w:vAlign w:val="center"/>
          </w:tcPr>
          <w:p w14:paraId="508F49C3">
            <w:pPr>
              <w:pStyle w:val="43"/>
              <w:bidi w:val="0"/>
              <w:rPr>
                <w:rFonts w:hint="default"/>
                <w:lang w:val="en-US" w:eastAsia="zh-CN"/>
              </w:rPr>
            </w:pPr>
            <w:r>
              <w:rPr>
                <w:rFonts w:hint="eastAsia"/>
                <w:lang w:val="en-US" w:eastAsia="zh-CN"/>
              </w:rPr>
              <w:t>0.2</w:t>
            </w:r>
          </w:p>
        </w:tc>
        <w:tc>
          <w:tcPr>
            <w:tcW w:w="1069" w:type="dxa"/>
            <w:vAlign w:val="center"/>
          </w:tcPr>
          <w:p w14:paraId="0EC86BE4">
            <w:pPr>
              <w:pStyle w:val="43"/>
              <w:bidi w:val="0"/>
              <w:rPr>
                <w:rFonts w:hint="default"/>
                <w:lang w:val="en-US" w:eastAsia="zh-CN"/>
              </w:rPr>
            </w:pPr>
            <w:r>
              <w:rPr>
                <w:rFonts w:hint="eastAsia"/>
                <w:lang w:val="en-US" w:eastAsia="zh-CN"/>
              </w:rPr>
              <w:t>达标</w:t>
            </w:r>
          </w:p>
        </w:tc>
      </w:tr>
      <w:tr w14:paraId="76DE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105E72EC">
            <w:pPr>
              <w:pStyle w:val="43"/>
              <w:bidi w:val="0"/>
              <w:rPr>
                <w:rFonts w:hint="default"/>
                <w:lang w:val="en-US" w:eastAsia="zh-CN"/>
              </w:rPr>
            </w:pPr>
            <w:r>
              <w:rPr>
                <w:rFonts w:hint="eastAsia"/>
                <w:lang w:val="en-US" w:eastAsia="zh-CN"/>
              </w:rPr>
              <w:t>22</w:t>
            </w:r>
          </w:p>
        </w:tc>
        <w:tc>
          <w:tcPr>
            <w:tcW w:w="3369" w:type="dxa"/>
            <w:vAlign w:val="center"/>
          </w:tcPr>
          <w:p w14:paraId="4B430981">
            <w:pPr>
              <w:pStyle w:val="43"/>
              <w:bidi w:val="0"/>
              <w:rPr>
                <w:rFonts w:hint="eastAsia"/>
                <w:lang w:val="en-US" w:eastAsia="zh-CN"/>
              </w:rPr>
            </w:pPr>
            <w:r>
              <w:rPr>
                <w:rFonts w:hint="eastAsia"/>
                <w:lang w:val="en-US" w:eastAsia="zh-CN"/>
              </w:rPr>
              <w:t>硫化物≤</w:t>
            </w:r>
          </w:p>
        </w:tc>
        <w:tc>
          <w:tcPr>
            <w:tcW w:w="1745" w:type="dxa"/>
            <w:vAlign w:val="center"/>
          </w:tcPr>
          <w:p w14:paraId="3BD46D96">
            <w:pPr>
              <w:pStyle w:val="43"/>
              <w:bidi w:val="0"/>
              <w:rPr>
                <w:rFonts w:hint="default"/>
                <w:lang w:val="en-US" w:eastAsia="zh-CN"/>
              </w:rPr>
            </w:pPr>
            <w:r>
              <w:rPr>
                <w:rFonts w:hint="eastAsia"/>
                <w:lang w:val="en-US" w:eastAsia="zh-CN"/>
              </w:rPr>
              <w:t>0.01L</w:t>
            </w:r>
          </w:p>
        </w:tc>
        <w:tc>
          <w:tcPr>
            <w:tcW w:w="1527" w:type="dxa"/>
            <w:vAlign w:val="center"/>
          </w:tcPr>
          <w:p w14:paraId="019CCA44">
            <w:pPr>
              <w:pStyle w:val="43"/>
              <w:bidi w:val="0"/>
              <w:rPr>
                <w:rFonts w:hint="default"/>
                <w:lang w:val="en-US" w:eastAsia="zh-CN"/>
              </w:rPr>
            </w:pPr>
            <w:r>
              <w:rPr>
                <w:rFonts w:hint="eastAsia"/>
                <w:lang w:val="en-US" w:eastAsia="zh-CN"/>
              </w:rPr>
              <w:t>0.2</w:t>
            </w:r>
          </w:p>
        </w:tc>
        <w:tc>
          <w:tcPr>
            <w:tcW w:w="1069" w:type="dxa"/>
            <w:vAlign w:val="center"/>
          </w:tcPr>
          <w:p w14:paraId="4909E115">
            <w:pPr>
              <w:pStyle w:val="43"/>
              <w:bidi w:val="0"/>
              <w:rPr>
                <w:rFonts w:hint="default"/>
                <w:lang w:val="en-US" w:eastAsia="zh-CN"/>
              </w:rPr>
            </w:pPr>
            <w:r>
              <w:rPr>
                <w:rFonts w:hint="eastAsia"/>
                <w:lang w:val="en-US" w:eastAsia="zh-CN"/>
              </w:rPr>
              <w:t>达标</w:t>
            </w:r>
          </w:p>
        </w:tc>
      </w:tr>
      <w:tr w14:paraId="049E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26FA40FE">
            <w:pPr>
              <w:pStyle w:val="43"/>
              <w:bidi w:val="0"/>
              <w:rPr>
                <w:rFonts w:hint="default"/>
                <w:lang w:val="en-US" w:eastAsia="zh-CN"/>
              </w:rPr>
            </w:pPr>
            <w:r>
              <w:rPr>
                <w:rFonts w:hint="eastAsia"/>
                <w:lang w:val="en-US" w:eastAsia="zh-CN"/>
              </w:rPr>
              <w:t>23</w:t>
            </w:r>
          </w:p>
        </w:tc>
        <w:tc>
          <w:tcPr>
            <w:tcW w:w="3369" w:type="dxa"/>
            <w:vAlign w:val="center"/>
          </w:tcPr>
          <w:p w14:paraId="22A5AB9A">
            <w:pPr>
              <w:pStyle w:val="43"/>
              <w:bidi w:val="0"/>
              <w:rPr>
                <w:rFonts w:hint="eastAsia"/>
                <w:lang w:val="en-US" w:eastAsia="zh-CN"/>
              </w:rPr>
            </w:pPr>
            <w:r>
              <w:rPr>
                <w:rFonts w:hint="eastAsia"/>
                <w:lang w:val="en-US" w:eastAsia="zh-CN"/>
              </w:rPr>
              <w:t>粪大肠菌群（MPN/L）≤</w:t>
            </w:r>
          </w:p>
        </w:tc>
        <w:tc>
          <w:tcPr>
            <w:tcW w:w="1745" w:type="dxa"/>
            <w:vAlign w:val="center"/>
          </w:tcPr>
          <w:p w14:paraId="314E0C68">
            <w:pPr>
              <w:pStyle w:val="43"/>
              <w:bidi w:val="0"/>
              <w:rPr>
                <w:rFonts w:hint="default"/>
                <w:lang w:val="en-US" w:eastAsia="zh-CN"/>
              </w:rPr>
            </w:pPr>
            <w:r>
              <w:rPr>
                <w:rFonts w:hint="eastAsia"/>
                <w:lang w:val="en-US" w:eastAsia="zh-CN"/>
              </w:rPr>
              <w:t>4.4×103</w:t>
            </w:r>
          </w:p>
        </w:tc>
        <w:tc>
          <w:tcPr>
            <w:tcW w:w="1527" w:type="dxa"/>
            <w:vAlign w:val="center"/>
          </w:tcPr>
          <w:p w14:paraId="6E598E30">
            <w:pPr>
              <w:pStyle w:val="43"/>
              <w:bidi w:val="0"/>
              <w:rPr>
                <w:rFonts w:hint="default"/>
                <w:lang w:val="en-US" w:eastAsia="zh-CN"/>
              </w:rPr>
            </w:pPr>
            <w:r>
              <w:rPr>
                <w:rFonts w:hint="eastAsia"/>
                <w:lang w:val="en-US" w:eastAsia="zh-CN"/>
              </w:rPr>
              <w:t>10000</w:t>
            </w:r>
          </w:p>
        </w:tc>
        <w:tc>
          <w:tcPr>
            <w:tcW w:w="1069" w:type="dxa"/>
            <w:vAlign w:val="center"/>
          </w:tcPr>
          <w:p w14:paraId="79789C42">
            <w:pPr>
              <w:pStyle w:val="43"/>
              <w:bidi w:val="0"/>
              <w:rPr>
                <w:rFonts w:hint="default"/>
                <w:lang w:val="en-US" w:eastAsia="zh-CN"/>
              </w:rPr>
            </w:pPr>
            <w:r>
              <w:rPr>
                <w:rFonts w:hint="eastAsia"/>
                <w:lang w:val="en-US" w:eastAsia="zh-CN"/>
              </w:rPr>
              <w:t>达标</w:t>
            </w:r>
          </w:p>
        </w:tc>
      </w:tr>
      <w:tr w14:paraId="1F95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71B37E76">
            <w:pPr>
              <w:pStyle w:val="43"/>
              <w:bidi w:val="0"/>
              <w:rPr>
                <w:rFonts w:hint="default"/>
                <w:lang w:val="en-US" w:eastAsia="zh-CN"/>
              </w:rPr>
            </w:pPr>
            <w:r>
              <w:rPr>
                <w:rFonts w:hint="eastAsia"/>
                <w:lang w:val="en-US" w:eastAsia="zh-CN"/>
              </w:rPr>
              <w:t>24</w:t>
            </w:r>
          </w:p>
        </w:tc>
        <w:tc>
          <w:tcPr>
            <w:tcW w:w="3369" w:type="dxa"/>
            <w:vAlign w:val="center"/>
          </w:tcPr>
          <w:p w14:paraId="64982D46">
            <w:pPr>
              <w:pStyle w:val="43"/>
              <w:bidi w:val="0"/>
              <w:rPr>
                <w:rFonts w:hint="eastAsia"/>
                <w:lang w:val="en-US" w:eastAsia="zh-CN"/>
              </w:rPr>
            </w:pPr>
            <w:r>
              <w:rPr>
                <w:rFonts w:hint="eastAsia"/>
                <w:lang w:val="en-US" w:eastAsia="zh-CN"/>
              </w:rPr>
              <w:t>硫酸盐≤</w:t>
            </w:r>
          </w:p>
        </w:tc>
        <w:tc>
          <w:tcPr>
            <w:tcW w:w="1745" w:type="dxa"/>
            <w:vAlign w:val="center"/>
          </w:tcPr>
          <w:p w14:paraId="47E1B55B">
            <w:pPr>
              <w:pStyle w:val="43"/>
              <w:bidi w:val="0"/>
              <w:rPr>
                <w:rFonts w:hint="default"/>
                <w:lang w:val="en-US" w:eastAsia="zh-CN"/>
              </w:rPr>
            </w:pPr>
            <w:r>
              <w:rPr>
                <w:rFonts w:hint="eastAsia"/>
                <w:lang w:val="en-US" w:eastAsia="zh-CN"/>
              </w:rPr>
              <w:t>14.7</w:t>
            </w:r>
          </w:p>
        </w:tc>
        <w:tc>
          <w:tcPr>
            <w:tcW w:w="1527" w:type="dxa"/>
            <w:vAlign w:val="center"/>
          </w:tcPr>
          <w:p w14:paraId="524DF722">
            <w:pPr>
              <w:pStyle w:val="43"/>
              <w:bidi w:val="0"/>
              <w:rPr>
                <w:rFonts w:hint="default"/>
                <w:lang w:val="en-US" w:eastAsia="zh-CN"/>
              </w:rPr>
            </w:pPr>
            <w:r>
              <w:rPr>
                <w:rFonts w:hint="eastAsia"/>
                <w:lang w:val="en-US" w:eastAsia="zh-CN"/>
              </w:rPr>
              <w:t>250</w:t>
            </w:r>
          </w:p>
        </w:tc>
        <w:tc>
          <w:tcPr>
            <w:tcW w:w="1069" w:type="dxa"/>
            <w:vAlign w:val="center"/>
          </w:tcPr>
          <w:p w14:paraId="5423E82D">
            <w:pPr>
              <w:pStyle w:val="43"/>
              <w:bidi w:val="0"/>
              <w:rPr>
                <w:rFonts w:hint="default"/>
                <w:lang w:val="en-US" w:eastAsia="zh-CN"/>
              </w:rPr>
            </w:pPr>
            <w:r>
              <w:rPr>
                <w:rFonts w:hint="eastAsia"/>
                <w:lang w:val="en-US" w:eastAsia="zh-CN"/>
              </w:rPr>
              <w:t>达标</w:t>
            </w:r>
          </w:p>
        </w:tc>
      </w:tr>
      <w:tr w14:paraId="6AF0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357FCDDB">
            <w:pPr>
              <w:pStyle w:val="43"/>
              <w:bidi w:val="0"/>
              <w:rPr>
                <w:rFonts w:hint="default"/>
                <w:lang w:val="en-US" w:eastAsia="zh-CN"/>
              </w:rPr>
            </w:pPr>
            <w:r>
              <w:rPr>
                <w:rFonts w:hint="eastAsia"/>
                <w:lang w:val="en-US" w:eastAsia="zh-CN"/>
              </w:rPr>
              <w:t>25</w:t>
            </w:r>
          </w:p>
        </w:tc>
        <w:tc>
          <w:tcPr>
            <w:tcW w:w="3369" w:type="dxa"/>
            <w:vAlign w:val="center"/>
          </w:tcPr>
          <w:p w14:paraId="69BC4258">
            <w:pPr>
              <w:pStyle w:val="43"/>
              <w:bidi w:val="0"/>
              <w:rPr>
                <w:rFonts w:hint="eastAsia"/>
                <w:lang w:val="en-US" w:eastAsia="zh-CN"/>
              </w:rPr>
            </w:pPr>
            <w:r>
              <w:rPr>
                <w:rFonts w:hint="eastAsia"/>
                <w:lang w:val="en-US" w:eastAsia="zh-CN"/>
              </w:rPr>
              <w:t>氯化物≤</w:t>
            </w:r>
          </w:p>
        </w:tc>
        <w:tc>
          <w:tcPr>
            <w:tcW w:w="1745" w:type="dxa"/>
            <w:vAlign w:val="center"/>
          </w:tcPr>
          <w:p w14:paraId="7619FD55">
            <w:pPr>
              <w:pStyle w:val="43"/>
              <w:bidi w:val="0"/>
              <w:rPr>
                <w:rFonts w:hint="default"/>
                <w:lang w:val="en-US" w:eastAsia="zh-CN"/>
              </w:rPr>
            </w:pPr>
            <w:r>
              <w:rPr>
                <w:rFonts w:hint="eastAsia"/>
                <w:lang w:val="en-US" w:eastAsia="zh-CN"/>
              </w:rPr>
              <w:t>6.62</w:t>
            </w:r>
          </w:p>
        </w:tc>
        <w:tc>
          <w:tcPr>
            <w:tcW w:w="1527" w:type="dxa"/>
            <w:vAlign w:val="center"/>
          </w:tcPr>
          <w:p w14:paraId="27C66FF4">
            <w:pPr>
              <w:pStyle w:val="43"/>
              <w:bidi w:val="0"/>
              <w:rPr>
                <w:rFonts w:hint="default"/>
                <w:lang w:val="en-US" w:eastAsia="zh-CN"/>
              </w:rPr>
            </w:pPr>
            <w:r>
              <w:rPr>
                <w:rFonts w:hint="eastAsia"/>
                <w:lang w:val="en-US" w:eastAsia="zh-CN"/>
              </w:rPr>
              <w:t>250</w:t>
            </w:r>
          </w:p>
        </w:tc>
        <w:tc>
          <w:tcPr>
            <w:tcW w:w="1069" w:type="dxa"/>
            <w:vAlign w:val="center"/>
          </w:tcPr>
          <w:p w14:paraId="79D582E2">
            <w:pPr>
              <w:pStyle w:val="43"/>
              <w:bidi w:val="0"/>
              <w:rPr>
                <w:rFonts w:hint="default"/>
                <w:lang w:val="en-US" w:eastAsia="zh-CN"/>
              </w:rPr>
            </w:pPr>
            <w:r>
              <w:rPr>
                <w:rFonts w:hint="eastAsia"/>
                <w:lang w:val="en-US" w:eastAsia="zh-CN"/>
              </w:rPr>
              <w:t>达标</w:t>
            </w:r>
          </w:p>
        </w:tc>
      </w:tr>
      <w:tr w14:paraId="14B1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1E13971A">
            <w:pPr>
              <w:pStyle w:val="43"/>
              <w:bidi w:val="0"/>
              <w:rPr>
                <w:rFonts w:hint="default"/>
                <w:lang w:val="en-US" w:eastAsia="zh-CN"/>
              </w:rPr>
            </w:pPr>
            <w:r>
              <w:rPr>
                <w:rFonts w:hint="eastAsia"/>
                <w:lang w:val="en-US" w:eastAsia="zh-CN"/>
              </w:rPr>
              <w:t>26</w:t>
            </w:r>
          </w:p>
        </w:tc>
        <w:tc>
          <w:tcPr>
            <w:tcW w:w="3369" w:type="dxa"/>
            <w:vAlign w:val="center"/>
          </w:tcPr>
          <w:p w14:paraId="7F82CB23">
            <w:pPr>
              <w:pStyle w:val="43"/>
              <w:bidi w:val="0"/>
              <w:rPr>
                <w:rFonts w:hint="eastAsia"/>
                <w:lang w:val="en-US" w:eastAsia="zh-CN"/>
              </w:rPr>
            </w:pPr>
            <w:r>
              <w:rPr>
                <w:rFonts w:hint="eastAsia"/>
                <w:lang w:val="en-US" w:eastAsia="zh-CN"/>
              </w:rPr>
              <w:t>硝酸盐氮≤</w:t>
            </w:r>
          </w:p>
        </w:tc>
        <w:tc>
          <w:tcPr>
            <w:tcW w:w="1745" w:type="dxa"/>
            <w:vAlign w:val="center"/>
          </w:tcPr>
          <w:p w14:paraId="660377A7">
            <w:pPr>
              <w:pStyle w:val="43"/>
              <w:bidi w:val="0"/>
              <w:rPr>
                <w:rFonts w:hint="default"/>
                <w:lang w:val="en-US" w:eastAsia="zh-CN"/>
              </w:rPr>
            </w:pPr>
            <w:r>
              <w:rPr>
                <w:rFonts w:hint="eastAsia"/>
                <w:lang w:val="en-US" w:eastAsia="zh-CN"/>
              </w:rPr>
              <w:t>0.286</w:t>
            </w:r>
          </w:p>
        </w:tc>
        <w:tc>
          <w:tcPr>
            <w:tcW w:w="1527" w:type="dxa"/>
            <w:vAlign w:val="center"/>
          </w:tcPr>
          <w:p w14:paraId="55ED7769">
            <w:pPr>
              <w:pStyle w:val="43"/>
              <w:bidi w:val="0"/>
              <w:rPr>
                <w:rFonts w:hint="default"/>
                <w:lang w:val="en-US" w:eastAsia="zh-CN"/>
              </w:rPr>
            </w:pPr>
            <w:r>
              <w:rPr>
                <w:rFonts w:hint="eastAsia"/>
                <w:lang w:val="en-US" w:eastAsia="zh-CN"/>
              </w:rPr>
              <w:t>10</w:t>
            </w:r>
          </w:p>
        </w:tc>
        <w:tc>
          <w:tcPr>
            <w:tcW w:w="1069" w:type="dxa"/>
            <w:vAlign w:val="center"/>
          </w:tcPr>
          <w:p w14:paraId="5A688EF2">
            <w:pPr>
              <w:pStyle w:val="43"/>
              <w:bidi w:val="0"/>
              <w:rPr>
                <w:rFonts w:hint="default"/>
                <w:lang w:val="en-US" w:eastAsia="zh-CN"/>
              </w:rPr>
            </w:pPr>
            <w:r>
              <w:rPr>
                <w:rFonts w:hint="eastAsia"/>
                <w:lang w:val="en-US" w:eastAsia="zh-CN"/>
              </w:rPr>
              <w:t>达标</w:t>
            </w:r>
          </w:p>
        </w:tc>
      </w:tr>
      <w:tr w14:paraId="43D3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670DE1A2">
            <w:pPr>
              <w:pStyle w:val="43"/>
              <w:bidi w:val="0"/>
              <w:rPr>
                <w:rFonts w:hint="default"/>
                <w:lang w:val="en-US" w:eastAsia="zh-CN"/>
              </w:rPr>
            </w:pPr>
            <w:r>
              <w:rPr>
                <w:rFonts w:hint="eastAsia"/>
                <w:lang w:val="en-US" w:eastAsia="zh-CN"/>
              </w:rPr>
              <w:t>27</w:t>
            </w:r>
          </w:p>
        </w:tc>
        <w:tc>
          <w:tcPr>
            <w:tcW w:w="3369" w:type="dxa"/>
            <w:vAlign w:val="center"/>
          </w:tcPr>
          <w:p w14:paraId="485DDB1F">
            <w:pPr>
              <w:pStyle w:val="43"/>
              <w:bidi w:val="0"/>
              <w:rPr>
                <w:rFonts w:hint="eastAsia"/>
                <w:lang w:val="en-US" w:eastAsia="zh-CN"/>
              </w:rPr>
            </w:pPr>
            <w:r>
              <w:rPr>
                <w:rFonts w:hint="eastAsia"/>
                <w:lang w:val="en-US" w:eastAsia="zh-CN"/>
              </w:rPr>
              <w:t>铁（</w:t>
            </w:r>
            <w:r>
              <w:rPr>
                <w:rFonts w:hint="default"/>
                <w:lang w:val="en-US" w:eastAsia="zh-CN"/>
              </w:rPr>
              <w:t>µ</w:t>
            </w:r>
            <w:r>
              <w:rPr>
                <w:rFonts w:hint="eastAsia"/>
                <w:lang w:val="en-US" w:eastAsia="zh-CN"/>
              </w:rPr>
              <w:t>g/L）≤</w:t>
            </w:r>
          </w:p>
        </w:tc>
        <w:tc>
          <w:tcPr>
            <w:tcW w:w="1745" w:type="dxa"/>
            <w:vAlign w:val="center"/>
          </w:tcPr>
          <w:p w14:paraId="0C9FC773">
            <w:pPr>
              <w:pStyle w:val="43"/>
              <w:bidi w:val="0"/>
              <w:rPr>
                <w:rFonts w:hint="default"/>
                <w:lang w:val="en-US" w:eastAsia="zh-CN"/>
              </w:rPr>
            </w:pPr>
            <w:r>
              <w:rPr>
                <w:rFonts w:hint="eastAsia"/>
                <w:lang w:val="en-US" w:eastAsia="zh-CN"/>
              </w:rPr>
              <w:t>285</w:t>
            </w:r>
          </w:p>
        </w:tc>
        <w:tc>
          <w:tcPr>
            <w:tcW w:w="1527" w:type="dxa"/>
            <w:vAlign w:val="center"/>
          </w:tcPr>
          <w:p w14:paraId="5E82F4A2">
            <w:pPr>
              <w:pStyle w:val="43"/>
              <w:bidi w:val="0"/>
              <w:rPr>
                <w:rFonts w:hint="default"/>
                <w:lang w:val="en-US" w:eastAsia="zh-CN"/>
              </w:rPr>
            </w:pPr>
            <w:r>
              <w:rPr>
                <w:rFonts w:hint="eastAsia"/>
                <w:lang w:val="en-US" w:eastAsia="zh-CN"/>
              </w:rPr>
              <w:t>0.3</w:t>
            </w:r>
          </w:p>
        </w:tc>
        <w:tc>
          <w:tcPr>
            <w:tcW w:w="1069" w:type="dxa"/>
            <w:vAlign w:val="center"/>
          </w:tcPr>
          <w:p w14:paraId="76ACB9A6">
            <w:pPr>
              <w:pStyle w:val="43"/>
              <w:bidi w:val="0"/>
              <w:rPr>
                <w:rFonts w:hint="default"/>
                <w:lang w:val="en-US" w:eastAsia="zh-CN"/>
              </w:rPr>
            </w:pPr>
            <w:r>
              <w:rPr>
                <w:rFonts w:hint="eastAsia"/>
                <w:lang w:val="en-US" w:eastAsia="zh-CN"/>
              </w:rPr>
              <w:t>达标</w:t>
            </w:r>
          </w:p>
        </w:tc>
      </w:tr>
      <w:tr w14:paraId="2E4F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2AEC50FE">
            <w:pPr>
              <w:pStyle w:val="43"/>
              <w:bidi w:val="0"/>
              <w:rPr>
                <w:rFonts w:hint="default"/>
                <w:lang w:val="en-US" w:eastAsia="zh-CN"/>
              </w:rPr>
            </w:pPr>
            <w:r>
              <w:rPr>
                <w:rFonts w:hint="eastAsia"/>
                <w:lang w:val="en-US" w:eastAsia="zh-CN"/>
              </w:rPr>
              <w:t>28</w:t>
            </w:r>
          </w:p>
        </w:tc>
        <w:tc>
          <w:tcPr>
            <w:tcW w:w="3369" w:type="dxa"/>
            <w:vAlign w:val="center"/>
          </w:tcPr>
          <w:p w14:paraId="1D093890">
            <w:pPr>
              <w:pStyle w:val="43"/>
              <w:bidi w:val="0"/>
              <w:rPr>
                <w:rFonts w:hint="eastAsia"/>
                <w:lang w:val="en-US" w:eastAsia="zh-CN"/>
              </w:rPr>
            </w:pPr>
            <w:r>
              <w:rPr>
                <w:rFonts w:hint="eastAsia"/>
                <w:lang w:val="en-US" w:eastAsia="zh-CN"/>
              </w:rPr>
              <w:t>锰（</w:t>
            </w:r>
            <w:r>
              <w:rPr>
                <w:rFonts w:hint="default"/>
                <w:lang w:val="en-US" w:eastAsia="zh-CN"/>
              </w:rPr>
              <w:t>µ</w:t>
            </w:r>
            <w:r>
              <w:rPr>
                <w:rFonts w:hint="eastAsia"/>
                <w:lang w:val="en-US" w:eastAsia="zh-CN"/>
              </w:rPr>
              <w:t>g/L）≤</w:t>
            </w:r>
          </w:p>
        </w:tc>
        <w:tc>
          <w:tcPr>
            <w:tcW w:w="1745" w:type="dxa"/>
            <w:vAlign w:val="center"/>
          </w:tcPr>
          <w:p w14:paraId="685A260B">
            <w:pPr>
              <w:pStyle w:val="43"/>
              <w:bidi w:val="0"/>
              <w:rPr>
                <w:rFonts w:hint="default"/>
                <w:lang w:val="en-US" w:eastAsia="zh-CN"/>
              </w:rPr>
            </w:pPr>
            <w:r>
              <w:rPr>
                <w:rFonts w:hint="eastAsia"/>
                <w:lang w:val="en-US" w:eastAsia="zh-CN"/>
              </w:rPr>
              <w:t>0.12L</w:t>
            </w:r>
          </w:p>
        </w:tc>
        <w:tc>
          <w:tcPr>
            <w:tcW w:w="1527" w:type="dxa"/>
            <w:vAlign w:val="center"/>
          </w:tcPr>
          <w:p w14:paraId="534836FE">
            <w:pPr>
              <w:pStyle w:val="43"/>
              <w:bidi w:val="0"/>
              <w:rPr>
                <w:rFonts w:hint="default"/>
                <w:lang w:val="en-US" w:eastAsia="zh-CN"/>
              </w:rPr>
            </w:pPr>
            <w:r>
              <w:rPr>
                <w:rFonts w:hint="eastAsia"/>
                <w:lang w:val="en-US" w:eastAsia="zh-CN"/>
              </w:rPr>
              <w:t>0.1</w:t>
            </w:r>
          </w:p>
        </w:tc>
        <w:tc>
          <w:tcPr>
            <w:tcW w:w="1069" w:type="dxa"/>
            <w:vAlign w:val="center"/>
          </w:tcPr>
          <w:p w14:paraId="1D81F59D">
            <w:pPr>
              <w:pStyle w:val="43"/>
              <w:bidi w:val="0"/>
              <w:rPr>
                <w:rFonts w:hint="default"/>
                <w:lang w:val="en-US" w:eastAsia="zh-CN"/>
              </w:rPr>
            </w:pPr>
            <w:r>
              <w:rPr>
                <w:rFonts w:hint="eastAsia"/>
                <w:lang w:val="en-US" w:eastAsia="zh-CN"/>
              </w:rPr>
              <w:t>达标</w:t>
            </w:r>
          </w:p>
        </w:tc>
      </w:tr>
      <w:tr w14:paraId="7B12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76CD8B59">
            <w:pPr>
              <w:pStyle w:val="43"/>
              <w:bidi w:val="0"/>
              <w:rPr>
                <w:rFonts w:hint="default"/>
                <w:lang w:val="en-US" w:eastAsia="zh-CN"/>
              </w:rPr>
            </w:pPr>
            <w:r>
              <w:rPr>
                <w:rFonts w:hint="eastAsia"/>
                <w:lang w:val="en-US" w:eastAsia="zh-CN"/>
              </w:rPr>
              <w:t>29</w:t>
            </w:r>
          </w:p>
        </w:tc>
        <w:tc>
          <w:tcPr>
            <w:tcW w:w="3369" w:type="dxa"/>
            <w:vAlign w:val="center"/>
          </w:tcPr>
          <w:p w14:paraId="25B49285">
            <w:pPr>
              <w:pStyle w:val="43"/>
              <w:bidi w:val="0"/>
              <w:rPr>
                <w:rFonts w:hint="eastAsia"/>
                <w:lang w:val="en-US" w:eastAsia="zh-CN"/>
              </w:rPr>
            </w:pPr>
            <w:r>
              <w:rPr>
                <w:rFonts w:hint="eastAsia"/>
                <w:lang w:val="en-US" w:eastAsia="zh-CN"/>
              </w:rPr>
              <w:t>叶绿素-a（</w:t>
            </w:r>
            <w:r>
              <w:rPr>
                <w:rFonts w:hint="default"/>
                <w:lang w:val="en-US" w:eastAsia="zh-CN"/>
              </w:rPr>
              <w:t>µ</w:t>
            </w:r>
            <w:r>
              <w:rPr>
                <w:rFonts w:hint="eastAsia"/>
                <w:lang w:val="en-US" w:eastAsia="zh-CN"/>
              </w:rPr>
              <w:t>g/L）</w:t>
            </w:r>
          </w:p>
        </w:tc>
        <w:tc>
          <w:tcPr>
            <w:tcW w:w="1745" w:type="dxa"/>
            <w:vAlign w:val="center"/>
          </w:tcPr>
          <w:p w14:paraId="64A91B29">
            <w:pPr>
              <w:pStyle w:val="43"/>
              <w:bidi w:val="0"/>
              <w:rPr>
                <w:rFonts w:hint="default"/>
                <w:lang w:val="en-US" w:eastAsia="zh-CN"/>
              </w:rPr>
            </w:pPr>
            <w:r>
              <w:rPr>
                <w:rFonts w:hint="eastAsia"/>
                <w:lang w:val="en-US" w:eastAsia="zh-CN"/>
              </w:rPr>
              <w:t>39</w:t>
            </w:r>
          </w:p>
        </w:tc>
        <w:tc>
          <w:tcPr>
            <w:tcW w:w="1527" w:type="dxa"/>
            <w:vAlign w:val="center"/>
          </w:tcPr>
          <w:p w14:paraId="1CA63F36">
            <w:pPr>
              <w:pStyle w:val="43"/>
              <w:bidi w:val="0"/>
              <w:rPr>
                <w:rFonts w:hint="default"/>
                <w:lang w:val="en-US" w:eastAsia="zh-CN"/>
              </w:rPr>
            </w:pPr>
            <w:r>
              <w:rPr>
                <w:rFonts w:hint="eastAsia"/>
                <w:lang w:val="en-US" w:eastAsia="zh-CN"/>
              </w:rPr>
              <w:t>/</w:t>
            </w:r>
          </w:p>
        </w:tc>
        <w:tc>
          <w:tcPr>
            <w:tcW w:w="1069" w:type="dxa"/>
            <w:vAlign w:val="center"/>
          </w:tcPr>
          <w:p w14:paraId="7157EDFA">
            <w:pPr>
              <w:pStyle w:val="43"/>
              <w:bidi w:val="0"/>
              <w:rPr>
                <w:rFonts w:hint="default"/>
                <w:lang w:val="en-US" w:eastAsia="zh-CN"/>
              </w:rPr>
            </w:pPr>
            <w:r>
              <w:rPr>
                <w:rFonts w:hint="eastAsia"/>
                <w:lang w:val="en-US" w:eastAsia="zh-CN"/>
              </w:rPr>
              <w:t>/</w:t>
            </w:r>
          </w:p>
        </w:tc>
      </w:tr>
      <w:tr w14:paraId="571E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66093AF1">
            <w:pPr>
              <w:pStyle w:val="43"/>
              <w:bidi w:val="0"/>
              <w:rPr>
                <w:rFonts w:hint="default"/>
                <w:lang w:val="en-US" w:eastAsia="zh-CN"/>
              </w:rPr>
            </w:pPr>
            <w:r>
              <w:rPr>
                <w:rFonts w:hint="eastAsia"/>
                <w:lang w:val="en-US" w:eastAsia="zh-CN"/>
              </w:rPr>
              <w:t>30</w:t>
            </w:r>
          </w:p>
        </w:tc>
        <w:tc>
          <w:tcPr>
            <w:tcW w:w="3369" w:type="dxa"/>
            <w:vAlign w:val="center"/>
          </w:tcPr>
          <w:p w14:paraId="29B847E9">
            <w:pPr>
              <w:pStyle w:val="43"/>
              <w:bidi w:val="0"/>
              <w:rPr>
                <w:rFonts w:hint="eastAsia"/>
                <w:lang w:val="en-US" w:eastAsia="zh-CN"/>
              </w:rPr>
            </w:pPr>
            <w:r>
              <w:rPr>
                <w:rFonts w:hint="eastAsia"/>
                <w:lang w:val="en-US" w:eastAsia="zh-CN"/>
              </w:rPr>
              <w:t>电导率（</w:t>
            </w:r>
            <w:r>
              <w:rPr>
                <w:rFonts w:hint="eastAsia"/>
              </w:rPr>
              <w:t>µS/cm</w:t>
            </w:r>
            <w:r>
              <w:rPr>
                <w:rFonts w:hint="eastAsia"/>
                <w:lang w:val="en-US" w:eastAsia="zh-CN"/>
              </w:rPr>
              <w:t>）</w:t>
            </w:r>
          </w:p>
        </w:tc>
        <w:tc>
          <w:tcPr>
            <w:tcW w:w="1745" w:type="dxa"/>
            <w:vAlign w:val="center"/>
          </w:tcPr>
          <w:p w14:paraId="1FEE2CF5">
            <w:pPr>
              <w:pStyle w:val="43"/>
              <w:bidi w:val="0"/>
              <w:rPr>
                <w:rFonts w:hint="default"/>
                <w:lang w:val="en-US" w:eastAsia="zh-CN"/>
              </w:rPr>
            </w:pPr>
            <w:r>
              <w:rPr>
                <w:rFonts w:hint="eastAsia"/>
                <w:lang w:val="en-US" w:eastAsia="zh-CN"/>
              </w:rPr>
              <w:t>266</w:t>
            </w:r>
          </w:p>
        </w:tc>
        <w:tc>
          <w:tcPr>
            <w:tcW w:w="1527" w:type="dxa"/>
            <w:shd w:val="clear" w:color="auto" w:fill="auto"/>
            <w:vAlign w:val="center"/>
          </w:tcPr>
          <w:p w14:paraId="4CE1466A">
            <w:pPr>
              <w:pStyle w:val="43"/>
              <w:bidi w:val="0"/>
              <w:rPr>
                <w:rFonts w:hint="eastAsia"/>
                <w:lang w:val="en-US" w:eastAsia="zh-CN"/>
              </w:rPr>
            </w:pPr>
            <w:r>
              <w:rPr>
                <w:rFonts w:hint="eastAsia"/>
                <w:lang w:val="en-US" w:eastAsia="zh-CN"/>
              </w:rPr>
              <w:t>/</w:t>
            </w:r>
          </w:p>
        </w:tc>
        <w:tc>
          <w:tcPr>
            <w:tcW w:w="1069" w:type="dxa"/>
            <w:shd w:val="clear" w:color="auto" w:fill="auto"/>
            <w:vAlign w:val="center"/>
          </w:tcPr>
          <w:p w14:paraId="2BE0A9B6">
            <w:pPr>
              <w:pStyle w:val="43"/>
              <w:bidi w:val="0"/>
              <w:rPr>
                <w:rFonts w:hint="eastAsia"/>
                <w:lang w:val="en-US" w:eastAsia="zh-CN"/>
              </w:rPr>
            </w:pPr>
            <w:r>
              <w:rPr>
                <w:rFonts w:hint="eastAsia"/>
                <w:lang w:val="en-US" w:eastAsia="zh-CN"/>
              </w:rPr>
              <w:t>/</w:t>
            </w:r>
          </w:p>
        </w:tc>
      </w:tr>
      <w:tr w14:paraId="404C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24644BC3">
            <w:pPr>
              <w:pStyle w:val="43"/>
              <w:bidi w:val="0"/>
              <w:rPr>
                <w:rFonts w:hint="default"/>
                <w:lang w:val="en-US" w:eastAsia="zh-CN"/>
              </w:rPr>
            </w:pPr>
            <w:r>
              <w:rPr>
                <w:rFonts w:hint="eastAsia"/>
                <w:lang w:val="en-US" w:eastAsia="zh-CN"/>
              </w:rPr>
              <w:t>31</w:t>
            </w:r>
          </w:p>
        </w:tc>
        <w:tc>
          <w:tcPr>
            <w:tcW w:w="3369" w:type="dxa"/>
            <w:vAlign w:val="center"/>
          </w:tcPr>
          <w:p w14:paraId="29B0FCA8">
            <w:pPr>
              <w:pStyle w:val="43"/>
              <w:bidi w:val="0"/>
              <w:rPr>
                <w:rFonts w:hint="eastAsia"/>
                <w:lang w:val="en-US" w:eastAsia="zh-CN"/>
              </w:rPr>
            </w:pPr>
            <w:r>
              <w:rPr>
                <w:rFonts w:hint="eastAsia"/>
                <w:lang w:val="en-US" w:eastAsia="zh-CN"/>
              </w:rPr>
              <w:t>透明度（cm）</w:t>
            </w:r>
          </w:p>
        </w:tc>
        <w:tc>
          <w:tcPr>
            <w:tcW w:w="1745" w:type="dxa"/>
            <w:vAlign w:val="center"/>
          </w:tcPr>
          <w:p w14:paraId="2625469F">
            <w:pPr>
              <w:pStyle w:val="43"/>
              <w:bidi w:val="0"/>
              <w:rPr>
                <w:rFonts w:hint="default"/>
                <w:lang w:val="en-US" w:eastAsia="zh-CN"/>
              </w:rPr>
            </w:pPr>
            <w:r>
              <w:rPr>
                <w:rFonts w:hint="eastAsia"/>
                <w:lang w:val="en-US" w:eastAsia="zh-CN"/>
              </w:rPr>
              <w:t>170</w:t>
            </w:r>
          </w:p>
        </w:tc>
        <w:tc>
          <w:tcPr>
            <w:tcW w:w="1527" w:type="dxa"/>
            <w:shd w:val="clear" w:color="auto" w:fill="auto"/>
            <w:vAlign w:val="center"/>
          </w:tcPr>
          <w:p w14:paraId="3FC2E57A">
            <w:pPr>
              <w:pStyle w:val="43"/>
              <w:bidi w:val="0"/>
              <w:rPr>
                <w:rFonts w:hint="eastAsia"/>
                <w:lang w:val="en-US" w:eastAsia="zh-CN"/>
              </w:rPr>
            </w:pPr>
            <w:r>
              <w:rPr>
                <w:rFonts w:hint="eastAsia"/>
                <w:lang w:val="en-US" w:eastAsia="zh-CN"/>
              </w:rPr>
              <w:t>/</w:t>
            </w:r>
          </w:p>
        </w:tc>
        <w:tc>
          <w:tcPr>
            <w:tcW w:w="1069" w:type="dxa"/>
            <w:shd w:val="clear" w:color="auto" w:fill="auto"/>
            <w:vAlign w:val="center"/>
          </w:tcPr>
          <w:p w14:paraId="63BF253E">
            <w:pPr>
              <w:pStyle w:val="43"/>
              <w:bidi w:val="0"/>
              <w:rPr>
                <w:rFonts w:hint="eastAsia"/>
                <w:lang w:val="en-US" w:eastAsia="zh-CN"/>
              </w:rPr>
            </w:pPr>
            <w:r>
              <w:rPr>
                <w:rFonts w:hint="eastAsia"/>
                <w:lang w:val="en-US" w:eastAsia="zh-CN"/>
              </w:rPr>
              <w:t>/</w:t>
            </w:r>
          </w:p>
        </w:tc>
      </w:tr>
      <w:tr w14:paraId="7623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1" w:type="dxa"/>
            <w:vAlign w:val="center"/>
          </w:tcPr>
          <w:p w14:paraId="490C46AD">
            <w:pPr>
              <w:pStyle w:val="43"/>
              <w:bidi w:val="0"/>
              <w:rPr>
                <w:rFonts w:hint="default"/>
                <w:lang w:val="en-US" w:eastAsia="zh-CN"/>
              </w:rPr>
            </w:pPr>
            <w:r>
              <w:rPr>
                <w:rFonts w:hint="eastAsia"/>
                <w:lang w:val="en-US" w:eastAsia="zh-CN"/>
              </w:rPr>
              <w:t>32</w:t>
            </w:r>
          </w:p>
        </w:tc>
        <w:tc>
          <w:tcPr>
            <w:tcW w:w="3369" w:type="dxa"/>
            <w:vAlign w:val="center"/>
          </w:tcPr>
          <w:p w14:paraId="464EAB9D">
            <w:pPr>
              <w:pStyle w:val="43"/>
              <w:bidi w:val="0"/>
              <w:rPr>
                <w:rFonts w:hint="default"/>
                <w:lang w:val="en-US" w:eastAsia="zh-CN"/>
              </w:rPr>
            </w:pPr>
            <w:r>
              <w:rPr>
                <w:rFonts w:hint="eastAsia"/>
                <w:lang w:val="en-US" w:eastAsia="zh-CN"/>
              </w:rPr>
              <w:t>浊度（NTU）</w:t>
            </w:r>
          </w:p>
        </w:tc>
        <w:tc>
          <w:tcPr>
            <w:tcW w:w="1745" w:type="dxa"/>
            <w:vAlign w:val="center"/>
          </w:tcPr>
          <w:p w14:paraId="054A9216">
            <w:pPr>
              <w:pStyle w:val="43"/>
              <w:bidi w:val="0"/>
              <w:rPr>
                <w:rFonts w:hint="default"/>
                <w:lang w:val="en-US" w:eastAsia="zh-CN"/>
              </w:rPr>
            </w:pPr>
            <w:r>
              <w:rPr>
                <w:rFonts w:hint="eastAsia"/>
                <w:lang w:val="en-US" w:eastAsia="zh-CN"/>
              </w:rPr>
              <w:t>9.1</w:t>
            </w:r>
          </w:p>
        </w:tc>
        <w:tc>
          <w:tcPr>
            <w:tcW w:w="1527" w:type="dxa"/>
            <w:shd w:val="clear" w:color="auto" w:fill="auto"/>
            <w:vAlign w:val="center"/>
          </w:tcPr>
          <w:p w14:paraId="4C326DFD">
            <w:pPr>
              <w:pStyle w:val="43"/>
              <w:bidi w:val="0"/>
              <w:rPr>
                <w:rFonts w:hint="eastAsia"/>
                <w:lang w:val="en-US" w:eastAsia="zh-CN"/>
              </w:rPr>
            </w:pPr>
            <w:r>
              <w:rPr>
                <w:rFonts w:hint="eastAsia"/>
                <w:lang w:val="en-US" w:eastAsia="zh-CN"/>
              </w:rPr>
              <w:t>/</w:t>
            </w:r>
          </w:p>
        </w:tc>
        <w:tc>
          <w:tcPr>
            <w:tcW w:w="1069" w:type="dxa"/>
            <w:shd w:val="clear" w:color="auto" w:fill="auto"/>
            <w:vAlign w:val="center"/>
          </w:tcPr>
          <w:p w14:paraId="22D942B8">
            <w:pPr>
              <w:pStyle w:val="43"/>
              <w:bidi w:val="0"/>
              <w:rPr>
                <w:rFonts w:hint="eastAsia"/>
                <w:lang w:val="en-US" w:eastAsia="zh-CN"/>
              </w:rPr>
            </w:pPr>
            <w:r>
              <w:rPr>
                <w:rFonts w:hint="eastAsia"/>
                <w:lang w:val="en-US" w:eastAsia="zh-CN"/>
              </w:rPr>
              <w:t>/</w:t>
            </w:r>
          </w:p>
        </w:tc>
      </w:tr>
      <w:tr w14:paraId="7554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31" w:type="dxa"/>
            <w:gridSpan w:val="5"/>
            <w:vAlign w:val="center"/>
          </w:tcPr>
          <w:p w14:paraId="5BDB42F2">
            <w:pPr>
              <w:pStyle w:val="43"/>
              <w:bidi w:val="0"/>
              <w:rPr>
                <w:rFonts w:hint="default"/>
                <w:lang w:val="en-US" w:eastAsia="zh-CN"/>
              </w:rPr>
            </w:pPr>
            <w:r>
              <w:rPr>
                <w:rFonts w:hint="eastAsia"/>
                <w:lang w:val="en-US" w:eastAsia="zh-CN"/>
              </w:rPr>
              <w:t>注：</w:t>
            </w:r>
            <w:r>
              <w:rPr>
                <w:rFonts w:hint="eastAsia"/>
              </w:rPr>
              <w:t>“检出限L”表示监测结果低于方法检出限</w:t>
            </w:r>
            <w:r>
              <w:rPr>
                <w:rFonts w:hint="eastAsia"/>
                <w:lang w:eastAsia="zh-CN"/>
              </w:rPr>
              <w:t>；</w:t>
            </w:r>
            <w:r>
              <w:rPr>
                <w:rFonts w:hint="eastAsia"/>
                <w:lang w:val="en-US" w:eastAsia="zh-CN"/>
              </w:rPr>
              <w:t>执行《地表水环境质量标准》（GB3838-2002）Ⅲ类标准限值。</w:t>
            </w:r>
          </w:p>
        </w:tc>
      </w:tr>
    </w:tbl>
    <w:p w14:paraId="062787C3">
      <w:pPr>
        <w:pStyle w:val="41"/>
        <w:bidi w:val="0"/>
        <w:rPr>
          <w:lang w:val="zh-CN"/>
        </w:rPr>
      </w:pPr>
      <w:r>
        <w:rPr>
          <w:rFonts w:hint="eastAsia"/>
          <w:lang w:val="en-US" w:eastAsia="zh-CN"/>
        </w:rPr>
        <w:t>根据上表分析，红舍克水库水质满足</w:t>
      </w:r>
      <w:r>
        <w:rPr>
          <w:rFonts w:hint="default"/>
        </w:rPr>
        <w:t>《地表水环境质量标准》（GB3838-2002）中Ⅲ类标准。</w:t>
      </w:r>
    </w:p>
    <w:p w14:paraId="7F15341D">
      <w:pPr>
        <w:pStyle w:val="3"/>
        <w:bidi w:val="0"/>
        <w:rPr>
          <w:rFonts w:hint="default" w:ascii="Times New Roman" w:hAnsi="Times New Roman" w:cs="Times New Roman"/>
          <w:color w:val="000000" w:themeColor="text1"/>
          <w:highlight w:val="none"/>
          <w14:textFill>
            <w14:solidFill>
              <w14:schemeClr w14:val="tx1"/>
            </w14:solidFill>
          </w14:textFill>
        </w:rPr>
      </w:pPr>
      <w:bookmarkStart w:id="355" w:name="_Toc27442"/>
      <w:r>
        <w:rPr>
          <w:rFonts w:hint="default" w:ascii="Times New Roman" w:hAnsi="Times New Roman" w:cs="Times New Roman"/>
          <w:color w:val="000000" w:themeColor="text1"/>
          <w:highlight w:val="none"/>
          <w14:textFill>
            <w14:solidFill>
              <w14:schemeClr w14:val="tx1"/>
            </w14:solidFill>
          </w14:textFill>
        </w:rPr>
        <w:t>地下水现状质量评价</w:t>
      </w:r>
      <w:bookmarkEnd w:id="355"/>
    </w:p>
    <w:p w14:paraId="51AEFBE4">
      <w:pPr>
        <w:pStyle w:val="41"/>
        <w:bidi w:val="0"/>
        <w:rPr>
          <w:rFonts w:hint="default"/>
          <w:lang w:val="en-US" w:eastAsia="zh-CN"/>
        </w:rPr>
      </w:pPr>
      <w:r>
        <w:rPr>
          <w:rFonts w:hint="default"/>
        </w:rPr>
        <w:t>本项目</w:t>
      </w:r>
      <w:r>
        <w:rPr>
          <w:rFonts w:hint="default"/>
          <w:lang w:val="en-US" w:eastAsia="zh-CN"/>
        </w:rPr>
        <w:t>为灰岩矿开采，行业类别属于J非金属矿采选及制品制造--54、土砂石开采</w:t>
      </w:r>
      <w:r>
        <w:rPr>
          <w:rFonts w:hint="default"/>
        </w:rPr>
        <w:t>，对照</w:t>
      </w:r>
      <w:r>
        <w:rPr>
          <w:rFonts w:hint="eastAsia"/>
          <w:lang w:eastAsia="zh-CN"/>
        </w:rPr>
        <w:t>《</w:t>
      </w:r>
      <w:r>
        <w:rPr>
          <w:rFonts w:hint="default"/>
        </w:rPr>
        <w:t>环境影响评价技术导则 地下水环境》（HJ610-2016）附录A判定，项目类别为Ⅳ类，不开展地下水环境影响评价</w:t>
      </w:r>
      <w:r>
        <w:rPr>
          <w:rFonts w:hint="eastAsia"/>
          <w:lang w:eastAsia="zh-CN"/>
        </w:rPr>
        <w:t>，</w:t>
      </w:r>
      <w:r>
        <w:rPr>
          <w:rFonts w:hint="eastAsia"/>
          <w:lang w:val="en-US" w:eastAsia="zh-CN"/>
        </w:rPr>
        <w:t>不再进行地下水环境质量现状监测调查与评价。</w:t>
      </w:r>
    </w:p>
    <w:p w14:paraId="2EFF2691">
      <w:pPr>
        <w:pStyle w:val="3"/>
        <w:keepNext/>
        <w:pageBreakBefore w:val="0"/>
        <w:kinsoku/>
        <w:overflowPunct/>
        <w:topLinePunct w:val="0"/>
        <w:autoSpaceDE/>
        <w:autoSpaceDN/>
        <w:bidi w:val="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356" w:name="_Toc8845"/>
      <w:r>
        <w:rPr>
          <w:rFonts w:hint="default" w:ascii="Times New Roman" w:hAnsi="Times New Roman" w:cs="Times New Roman"/>
          <w:color w:val="000000" w:themeColor="text1"/>
          <w:highlight w:val="none"/>
          <w14:textFill>
            <w14:solidFill>
              <w14:schemeClr w14:val="tx1"/>
            </w14:solidFill>
          </w14:textFill>
        </w:rPr>
        <w:t>声环境质量现状</w:t>
      </w:r>
      <w:r>
        <w:rPr>
          <w:rFonts w:hint="default" w:ascii="Times New Roman" w:hAnsi="Times New Roman" w:cs="Times New Roman"/>
          <w:color w:val="000000" w:themeColor="text1"/>
          <w:highlight w:val="none"/>
          <w:lang w:val="en-US" w:eastAsia="zh-CN"/>
          <w14:textFill>
            <w14:solidFill>
              <w14:schemeClr w14:val="tx1"/>
            </w14:solidFill>
          </w14:textFill>
        </w:rPr>
        <w:t>评价</w:t>
      </w:r>
      <w:bookmarkEnd w:id="356"/>
    </w:p>
    <w:p w14:paraId="68939401">
      <w:pPr>
        <w:pStyle w:val="41"/>
        <w:bidi w:val="0"/>
        <w:rPr>
          <w:rFonts w:hint="default"/>
        </w:rPr>
      </w:pPr>
      <w:r>
        <w:rPr>
          <w:rFonts w:hint="default"/>
        </w:rPr>
        <w:t>为了解项目区的声环境质量现状，本次评价委托</w:t>
      </w:r>
      <w:r>
        <w:rPr>
          <w:rFonts w:hint="eastAsia"/>
          <w:lang w:eastAsia="zh-CN"/>
        </w:rPr>
        <w:t>中博源检测（云南）</w:t>
      </w:r>
      <w:r>
        <w:rPr>
          <w:rFonts w:hint="default"/>
        </w:rPr>
        <w:t>有限公司</w:t>
      </w:r>
      <w:r>
        <w:rPr>
          <w:rFonts w:hint="default"/>
          <w:lang w:val="en-US" w:eastAsia="zh-CN"/>
        </w:rPr>
        <w:t>于2025年</w:t>
      </w:r>
      <w:r>
        <w:rPr>
          <w:rFonts w:hint="eastAsia"/>
          <w:lang w:val="en-US" w:eastAsia="zh-CN"/>
        </w:rPr>
        <w:t>10</w:t>
      </w:r>
      <w:r>
        <w:rPr>
          <w:rFonts w:hint="default"/>
          <w:lang w:val="en-US" w:eastAsia="zh-CN"/>
        </w:rPr>
        <w:t>月</w:t>
      </w:r>
      <w:r>
        <w:rPr>
          <w:rFonts w:hint="eastAsia"/>
          <w:lang w:val="en-US" w:eastAsia="zh-CN"/>
        </w:rPr>
        <w:t>28</w:t>
      </w:r>
      <w:r>
        <w:rPr>
          <w:rFonts w:hint="default"/>
          <w:lang w:val="en-US" w:eastAsia="zh-CN"/>
        </w:rPr>
        <w:t>日-</w:t>
      </w:r>
      <w:r>
        <w:rPr>
          <w:rFonts w:hint="eastAsia"/>
          <w:lang w:val="en-US" w:eastAsia="zh-CN"/>
        </w:rPr>
        <w:t>10</w:t>
      </w:r>
      <w:r>
        <w:rPr>
          <w:rFonts w:hint="default"/>
          <w:lang w:val="en-US" w:eastAsia="zh-CN"/>
        </w:rPr>
        <w:t>月</w:t>
      </w:r>
      <w:r>
        <w:rPr>
          <w:rFonts w:hint="eastAsia"/>
          <w:lang w:val="en-US" w:eastAsia="zh-CN"/>
        </w:rPr>
        <w:t>29</w:t>
      </w:r>
      <w:r>
        <w:rPr>
          <w:rFonts w:hint="default"/>
          <w:lang w:val="en-US" w:eastAsia="zh-CN"/>
        </w:rPr>
        <w:t>日对矿界四周进行了环境噪声监测</w:t>
      </w:r>
      <w:r>
        <w:rPr>
          <w:rFonts w:hint="default"/>
        </w:rPr>
        <w:t>。项目</w:t>
      </w:r>
      <w:r>
        <w:rPr>
          <w:rFonts w:hint="default"/>
          <w:lang w:val="en-US" w:eastAsia="zh-CN"/>
        </w:rPr>
        <w:t>区</w:t>
      </w:r>
      <w:r>
        <w:rPr>
          <w:rFonts w:hint="default"/>
        </w:rPr>
        <w:t>声环境现状监测结果见下表。</w:t>
      </w:r>
    </w:p>
    <w:p w14:paraId="6610F28B">
      <w:pPr>
        <w:pStyle w:val="45"/>
        <w:bidi w:val="0"/>
        <w:rPr>
          <w:rFonts w:hint="default"/>
          <w:lang w:eastAsia="zh-CN"/>
        </w:rPr>
      </w:pPr>
      <w:r>
        <w:rPr>
          <w:rFonts w:hint="default"/>
        </w:rPr>
        <w:t>表</w:t>
      </w:r>
      <w:r>
        <w:rPr>
          <w:rFonts w:hint="eastAsia"/>
          <w:lang w:val="en-US" w:eastAsia="zh-CN"/>
        </w:rPr>
        <w:t>5</w:t>
      </w:r>
      <w:r>
        <w:rPr>
          <w:rFonts w:hint="default"/>
          <w:lang w:val="en-US" w:eastAsia="zh-CN"/>
        </w:rPr>
        <w:t xml:space="preserve">.6-1 </w:t>
      </w:r>
      <w:r>
        <w:rPr>
          <w:rFonts w:hint="default"/>
        </w:rPr>
        <w:t xml:space="preserve"> </w:t>
      </w:r>
      <w:r>
        <w:rPr>
          <w:rFonts w:hint="eastAsia"/>
          <w:lang w:val="en-US" w:eastAsia="zh-CN"/>
        </w:rPr>
        <w:t>区域</w:t>
      </w:r>
      <w:r>
        <w:rPr>
          <w:rFonts w:hint="default"/>
        </w:rPr>
        <w:t>声环境现状监测结果  单位：dB</w:t>
      </w:r>
      <w:r>
        <w:rPr>
          <w:rFonts w:hint="default"/>
          <w:lang w:eastAsia="zh-CN"/>
        </w:rPr>
        <w:t>（</w:t>
      </w:r>
      <w:r>
        <w:rPr>
          <w:rFonts w:hint="default"/>
        </w:rPr>
        <w:t>A</w:t>
      </w:r>
      <w:r>
        <w:rPr>
          <w:rFonts w:hint="default"/>
          <w:lang w:eastAsia="zh-CN"/>
        </w:rPr>
        <w:t>）</w:t>
      </w:r>
    </w:p>
    <w:tbl>
      <w:tblPr>
        <w:tblStyle w:val="3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8"/>
        <w:gridCol w:w="1412"/>
        <w:gridCol w:w="1490"/>
        <w:gridCol w:w="1482"/>
        <w:gridCol w:w="988"/>
        <w:gridCol w:w="864"/>
        <w:gridCol w:w="1060"/>
      </w:tblGrid>
      <w:tr w14:paraId="2794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7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D53B">
            <w:pPr>
              <w:pStyle w:val="43"/>
              <w:bidi w:val="0"/>
              <w:rPr>
                <w:rFonts w:hint="eastAsia"/>
                <w:b/>
                <w:bCs/>
              </w:rPr>
            </w:pPr>
            <w:r>
              <w:rPr>
                <w:rFonts w:hint="eastAsia"/>
                <w:b/>
                <w:bCs/>
                <w:lang w:val="en-US" w:eastAsia="zh-CN"/>
              </w:rPr>
              <w:t>检测点位</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1800">
            <w:pPr>
              <w:pStyle w:val="43"/>
              <w:bidi w:val="0"/>
              <w:rPr>
                <w:rFonts w:hint="eastAsia"/>
                <w:b/>
                <w:bCs/>
              </w:rPr>
            </w:pPr>
            <w:r>
              <w:rPr>
                <w:rFonts w:hint="eastAsia"/>
                <w:b/>
                <w:bCs/>
                <w:lang w:val="en-US" w:eastAsia="zh-CN"/>
              </w:rPr>
              <w:t>检测日期</w:t>
            </w:r>
          </w:p>
        </w:tc>
        <w:tc>
          <w:tcPr>
            <w:tcW w:w="17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28551">
            <w:pPr>
              <w:pStyle w:val="43"/>
              <w:bidi w:val="0"/>
              <w:rPr>
                <w:rFonts w:hint="eastAsia"/>
                <w:b/>
                <w:bCs/>
              </w:rPr>
            </w:pPr>
            <w:r>
              <w:rPr>
                <w:rFonts w:hint="eastAsia"/>
                <w:b/>
                <w:bCs/>
                <w:lang w:val="en-US" w:eastAsia="zh-CN"/>
              </w:rPr>
              <w:t>采样时段</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F01D">
            <w:pPr>
              <w:pStyle w:val="43"/>
              <w:bidi w:val="0"/>
              <w:rPr>
                <w:rFonts w:hint="eastAsia"/>
                <w:b/>
                <w:bCs/>
              </w:rPr>
            </w:pPr>
            <w:r>
              <w:rPr>
                <w:rFonts w:hint="eastAsia"/>
                <w:b/>
                <w:bCs/>
                <w:lang w:val="en-US" w:eastAsia="zh-CN"/>
              </w:rPr>
              <w:t>噪声值（</w:t>
            </w:r>
            <w:r>
              <w:rPr>
                <w:rFonts w:hint="default"/>
                <w:b/>
                <w:bCs/>
                <w:lang w:val="en-US" w:eastAsia="zh-CN"/>
              </w:rPr>
              <w:t>Leq</w:t>
            </w:r>
            <w:r>
              <w:rPr>
                <w:rFonts w:hint="eastAsia"/>
                <w:b/>
                <w:bCs/>
                <w:lang w:val="en-US" w:eastAsia="zh-CN"/>
              </w:rPr>
              <w:t>）</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C1A5">
            <w:pPr>
              <w:pStyle w:val="43"/>
              <w:bidi w:val="0"/>
              <w:rPr>
                <w:rFonts w:hint="eastAsia"/>
                <w:b/>
                <w:bCs/>
              </w:rPr>
            </w:pPr>
            <w:r>
              <w:rPr>
                <w:rFonts w:hint="eastAsia"/>
                <w:b/>
                <w:bCs/>
                <w:lang w:val="en-US" w:eastAsia="zh-CN"/>
              </w:rPr>
              <w:t>标准值</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EBA5">
            <w:pPr>
              <w:pStyle w:val="43"/>
              <w:bidi w:val="0"/>
              <w:rPr>
                <w:rFonts w:hint="eastAsia"/>
                <w:b/>
                <w:bCs/>
              </w:rPr>
            </w:pPr>
            <w:r>
              <w:rPr>
                <w:rFonts w:hint="eastAsia"/>
                <w:b/>
                <w:bCs/>
                <w:lang w:val="en-US" w:eastAsia="zh-CN"/>
              </w:rPr>
              <w:t>达标情况</w:t>
            </w:r>
          </w:p>
        </w:tc>
      </w:tr>
      <w:tr w14:paraId="6CF3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47211">
            <w:pPr>
              <w:pStyle w:val="43"/>
              <w:bidi w:val="0"/>
              <w:rPr>
                <w:rFonts w:hint="eastAsia"/>
              </w:rPr>
            </w:pPr>
            <w:r>
              <w:rPr>
                <w:rFonts w:hint="eastAsia"/>
                <w:lang w:val="en-US" w:eastAsia="zh-CN"/>
              </w:rPr>
              <w:t>厂界东侧外</w:t>
            </w:r>
            <w:r>
              <w:rPr>
                <w:rFonts w:hint="default"/>
                <w:lang w:val="en-US" w:eastAsia="zh-CN"/>
              </w:rPr>
              <w:t>1m</w:t>
            </w:r>
            <w:r>
              <w:rPr>
                <w:rFonts w:hint="eastAsia"/>
                <w:lang w:val="en-US" w:eastAsia="zh-CN"/>
              </w:rPr>
              <w:t>处</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AF0A8">
            <w:pPr>
              <w:pStyle w:val="43"/>
              <w:bidi w:val="0"/>
              <w:rPr>
                <w:rFonts w:hint="default"/>
              </w:rPr>
            </w:pPr>
            <w:r>
              <w:rPr>
                <w:rFonts w:hint="default"/>
                <w:lang w:val="en-US" w:eastAsia="zh-CN"/>
              </w:rPr>
              <w:t>2025.10.28</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0381">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F6FF8">
            <w:pPr>
              <w:pStyle w:val="43"/>
              <w:bidi w:val="0"/>
              <w:rPr>
                <w:rFonts w:hint="default"/>
              </w:rPr>
            </w:pPr>
            <w:r>
              <w:rPr>
                <w:rFonts w:hint="default"/>
                <w:lang w:val="en-US" w:eastAsia="zh-CN"/>
              </w:rPr>
              <w:t>11:28-11:38</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2F8CA">
            <w:pPr>
              <w:pStyle w:val="43"/>
              <w:bidi w:val="0"/>
              <w:rPr>
                <w:rFonts w:hint="default"/>
              </w:rPr>
            </w:pPr>
            <w:r>
              <w:rPr>
                <w:rFonts w:hint="default"/>
                <w:lang w:val="en-US" w:eastAsia="zh-CN"/>
              </w:rPr>
              <w:t>45</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7D9BB">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6D3D">
            <w:pPr>
              <w:pStyle w:val="43"/>
              <w:bidi w:val="0"/>
              <w:rPr>
                <w:rFonts w:hint="eastAsia"/>
              </w:rPr>
            </w:pPr>
            <w:r>
              <w:rPr>
                <w:rFonts w:hint="eastAsia"/>
                <w:lang w:val="en-US" w:eastAsia="zh-CN"/>
              </w:rPr>
              <w:t>达标</w:t>
            </w:r>
          </w:p>
        </w:tc>
      </w:tr>
      <w:tr w14:paraId="3A24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CD7CF">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7EF00">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766E">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362C">
            <w:pPr>
              <w:pStyle w:val="43"/>
              <w:bidi w:val="0"/>
              <w:rPr>
                <w:rFonts w:hint="default"/>
              </w:rPr>
            </w:pPr>
            <w:r>
              <w:rPr>
                <w:rFonts w:hint="default"/>
                <w:lang w:val="en-US" w:eastAsia="zh-CN"/>
              </w:rPr>
              <w:t>23:15-23:25</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D5EA9">
            <w:pPr>
              <w:pStyle w:val="43"/>
              <w:bidi w:val="0"/>
              <w:rPr>
                <w:rFonts w:hint="default"/>
              </w:rPr>
            </w:pPr>
            <w:r>
              <w:rPr>
                <w:rFonts w:hint="default"/>
                <w:lang w:val="en-US" w:eastAsia="zh-CN"/>
              </w:rPr>
              <w:t>43</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2412">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CD73">
            <w:pPr>
              <w:pStyle w:val="43"/>
              <w:bidi w:val="0"/>
              <w:rPr>
                <w:rFonts w:hint="eastAsia"/>
              </w:rPr>
            </w:pPr>
            <w:r>
              <w:rPr>
                <w:rFonts w:hint="eastAsia"/>
                <w:lang w:val="en-US" w:eastAsia="zh-CN"/>
              </w:rPr>
              <w:t>达标</w:t>
            </w:r>
          </w:p>
        </w:tc>
      </w:tr>
      <w:tr w14:paraId="7DF91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6CE10">
            <w:pPr>
              <w:pStyle w:val="43"/>
              <w:bidi w:val="0"/>
              <w:rPr>
                <w:rFonts w:hint="eastAsia"/>
              </w:rPr>
            </w:pPr>
            <w:r>
              <w:rPr>
                <w:rFonts w:hint="eastAsia"/>
                <w:lang w:val="en-US" w:eastAsia="zh-CN"/>
              </w:rPr>
              <w:t>厂界南侧外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D4847">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EEAFA">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7FCD">
            <w:pPr>
              <w:pStyle w:val="43"/>
              <w:bidi w:val="0"/>
              <w:rPr>
                <w:rFonts w:hint="default"/>
              </w:rPr>
            </w:pPr>
            <w:r>
              <w:rPr>
                <w:rFonts w:hint="default"/>
                <w:lang w:val="en-US" w:eastAsia="zh-CN"/>
              </w:rPr>
              <w:t>10:17-10:27</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4B03">
            <w:pPr>
              <w:pStyle w:val="43"/>
              <w:bidi w:val="0"/>
              <w:rPr>
                <w:rFonts w:hint="default"/>
              </w:rPr>
            </w:pPr>
            <w:r>
              <w:rPr>
                <w:rFonts w:hint="default"/>
                <w:lang w:val="en-US" w:eastAsia="zh-CN"/>
              </w:rPr>
              <w:t>58</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F699">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0150">
            <w:pPr>
              <w:pStyle w:val="43"/>
              <w:bidi w:val="0"/>
              <w:rPr>
                <w:rFonts w:hint="eastAsia"/>
              </w:rPr>
            </w:pPr>
            <w:r>
              <w:rPr>
                <w:rFonts w:hint="eastAsia"/>
                <w:lang w:val="en-US" w:eastAsia="zh-CN"/>
              </w:rPr>
              <w:t>达标</w:t>
            </w:r>
          </w:p>
        </w:tc>
      </w:tr>
      <w:tr w14:paraId="216F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B0932">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CDFD">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7A2ED">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B9F8">
            <w:pPr>
              <w:pStyle w:val="43"/>
              <w:bidi w:val="0"/>
              <w:rPr>
                <w:rFonts w:hint="default"/>
              </w:rPr>
            </w:pPr>
            <w:r>
              <w:rPr>
                <w:rFonts w:hint="default"/>
                <w:lang w:val="en-US" w:eastAsia="zh-CN"/>
              </w:rPr>
              <w:t>22:01-22:11</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6006">
            <w:pPr>
              <w:pStyle w:val="43"/>
              <w:bidi w:val="0"/>
              <w:rPr>
                <w:rFonts w:hint="default"/>
              </w:rPr>
            </w:pPr>
            <w:r>
              <w:rPr>
                <w:rFonts w:hint="default"/>
                <w:lang w:val="en-US" w:eastAsia="zh-CN"/>
              </w:rPr>
              <w:t>42</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9672">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6C0D">
            <w:pPr>
              <w:pStyle w:val="43"/>
              <w:bidi w:val="0"/>
              <w:rPr>
                <w:rFonts w:hint="eastAsia"/>
              </w:rPr>
            </w:pPr>
            <w:r>
              <w:rPr>
                <w:rFonts w:hint="eastAsia"/>
                <w:lang w:val="en-US" w:eastAsia="zh-CN"/>
              </w:rPr>
              <w:t>达标</w:t>
            </w:r>
          </w:p>
        </w:tc>
      </w:tr>
      <w:tr w14:paraId="3E48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2C230">
            <w:pPr>
              <w:pStyle w:val="43"/>
              <w:bidi w:val="0"/>
              <w:rPr>
                <w:rFonts w:hint="eastAsia"/>
              </w:rPr>
            </w:pPr>
            <w:r>
              <w:rPr>
                <w:rFonts w:hint="eastAsia"/>
                <w:lang w:val="en-US" w:eastAsia="zh-CN"/>
              </w:rPr>
              <w:t>厂界西侧外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FA446">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96E5">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EFBE">
            <w:pPr>
              <w:pStyle w:val="43"/>
              <w:bidi w:val="0"/>
              <w:rPr>
                <w:rFonts w:hint="default"/>
              </w:rPr>
            </w:pPr>
            <w:r>
              <w:rPr>
                <w:rFonts w:hint="default"/>
                <w:lang w:val="en-US" w:eastAsia="zh-CN"/>
              </w:rPr>
              <w:t>10:41-10:51</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989B1">
            <w:pPr>
              <w:pStyle w:val="43"/>
              <w:bidi w:val="0"/>
              <w:rPr>
                <w:rFonts w:hint="default"/>
              </w:rPr>
            </w:pPr>
            <w:r>
              <w:rPr>
                <w:rFonts w:hint="default"/>
                <w:lang w:val="en-US" w:eastAsia="zh-CN"/>
              </w:rPr>
              <w:t>51</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7111">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05BE">
            <w:pPr>
              <w:pStyle w:val="43"/>
              <w:bidi w:val="0"/>
              <w:rPr>
                <w:rFonts w:hint="eastAsia"/>
              </w:rPr>
            </w:pPr>
            <w:r>
              <w:rPr>
                <w:rFonts w:hint="eastAsia"/>
                <w:lang w:val="en-US" w:eastAsia="zh-CN"/>
              </w:rPr>
              <w:t>达标</w:t>
            </w:r>
          </w:p>
        </w:tc>
      </w:tr>
      <w:tr w14:paraId="39C6C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4EE3B">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A6A62">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AEE3">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1912">
            <w:pPr>
              <w:pStyle w:val="43"/>
              <w:bidi w:val="0"/>
              <w:rPr>
                <w:rFonts w:hint="default"/>
              </w:rPr>
            </w:pPr>
            <w:r>
              <w:rPr>
                <w:rFonts w:hint="default"/>
                <w:lang w:val="en-US" w:eastAsia="zh-CN"/>
              </w:rPr>
              <w:t>22:25-22:35</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B7E05">
            <w:pPr>
              <w:pStyle w:val="43"/>
              <w:bidi w:val="0"/>
              <w:rPr>
                <w:rFonts w:hint="default"/>
              </w:rPr>
            </w:pPr>
            <w:r>
              <w:rPr>
                <w:rFonts w:hint="default"/>
                <w:lang w:val="en-US" w:eastAsia="zh-CN"/>
              </w:rPr>
              <w:t>44</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0A3BC">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FA01">
            <w:pPr>
              <w:pStyle w:val="43"/>
              <w:bidi w:val="0"/>
              <w:rPr>
                <w:rFonts w:hint="eastAsia"/>
              </w:rPr>
            </w:pPr>
            <w:r>
              <w:rPr>
                <w:rFonts w:hint="eastAsia"/>
                <w:lang w:val="en-US" w:eastAsia="zh-CN"/>
              </w:rPr>
              <w:t>达标</w:t>
            </w:r>
          </w:p>
        </w:tc>
      </w:tr>
      <w:tr w14:paraId="309A2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938FC">
            <w:pPr>
              <w:pStyle w:val="43"/>
              <w:bidi w:val="0"/>
              <w:rPr>
                <w:rFonts w:hint="eastAsia"/>
              </w:rPr>
            </w:pPr>
            <w:r>
              <w:rPr>
                <w:rFonts w:hint="eastAsia"/>
                <w:lang w:val="en-US" w:eastAsia="zh-CN"/>
              </w:rPr>
              <w:t>厂界北侧外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4CFE">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F9598">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37216">
            <w:pPr>
              <w:pStyle w:val="43"/>
              <w:bidi w:val="0"/>
              <w:rPr>
                <w:rFonts w:hint="default"/>
              </w:rPr>
            </w:pPr>
            <w:r>
              <w:rPr>
                <w:rFonts w:hint="default"/>
                <w:lang w:val="en-US" w:eastAsia="zh-CN"/>
              </w:rPr>
              <w:t>11:06-11:16</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8815">
            <w:pPr>
              <w:pStyle w:val="43"/>
              <w:bidi w:val="0"/>
              <w:rPr>
                <w:rFonts w:hint="default"/>
              </w:rPr>
            </w:pPr>
            <w:r>
              <w:rPr>
                <w:rFonts w:hint="default"/>
                <w:lang w:val="en-US" w:eastAsia="zh-CN"/>
              </w:rPr>
              <w:t>43</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622B">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1802">
            <w:pPr>
              <w:pStyle w:val="43"/>
              <w:bidi w:val="0"/>
              <w:rPr>
                <w:rFonts w:hint="eastAsia"/>
              </w:rPr>
            </w:pPr>
            <w:r>
              <w:rPr>
                <w:rFonts w:hint="eastAsia"/>
                <w:lang w:val="en-US" w:eastAsia="zh-CN"/>
              </w:rPr>
              <w:t>达标</w:t>
            </w:r>
          </w:p>
        </w:tc>
      </w:tr>
      <w:tr w14:paraId="3E53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F23EB">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9AC0A">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90B95">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83103">
            <w:pPr>
              <w:pStyle w:val="43"/>
              <w:bidi w:val="0"/>
              <w:rPr>
                <w:rFonts w:hint="default"/>
              </w:rPr>
            </w:pPr>
            <w:r>
              <w:rPr>
                <w:rFonts w:hint="default"/>
                <w:lang w:val="en-US" w:eastAsia="zh-CN"/>
              </w:rPr>
              <w:t>23:15-23:25</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C1C97">
            <w:pPr>
              <w:pStyle w:val="43"/>
              <w:bidi w:val="0"/>
              <w:rPr>
                <w:rFonts w:hint="default"/>
              </w:rPr>
            </w:pPr>
            <w:r>
              <w:rPr>
                <w:rFonts w:hint="default"/>
                <w:lang w:val="en-US" w:eastAsia="zh-CN"/>
              </w:rPr>
              <w:t>41</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EBF85">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FB27">
            <w:pPr>
              <w:pStyle w:val="43"/>
              <w:bidi w:val="0"/>
              <w:rPr>
                <w:rFonts w:hint="eastAsia"/>
              </w:rPr>
            </w:pPr>
            <w:r>
              <w:rPr>
                <w:rFonts w:hint="eastAsia"/>
                <w:lang w:val="en-US" w:eastAsia="zh-CN"/>
              </w:rPr>
              <w:t>达标</w:t>
            </w:r>
          </w:p>
        </w:tc>
      </w:tr>
      <w:tr w14:paraId="00B3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421C9">
            <w:pPr>
              <w:pStyle w:val="43"/>
              <w:bidi w:val="0"/>
              <w:rPr>
                <w:rFonts w:hint="eastAsia"/>
              </w:rPr>
            </w:pPr>
            <w:r>
              <w:rPr>
                <w:rFonts w:hint="eastAsia"/>
                <w:lang w:val="en-US" w:eastAsia="zh-CN"/>
              </w:rPr>
              <w:t>厂界东侧外</w:t>
            </w:r>
            <w:r>
              <w:rPr>
                <w:rFonts w:hint="default"/>
                <w:lang w:val="en-US" w:eastAsia="zh-CN"/>
              </w:rPr>
              <w:t>1m</w:t>
            </w:r>
            <w:r>
              <w:rPr>
                <w:rFonts w:hint="eastAsia"/>
                <w:lang w:val="en-US" w:eastAsia="zh-CN"/>
              </w:rPr>
              <w:t>处</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B66F9">
            <w:pPr>
              <w:pStyle w:val="43"/>
              <w:bidi w:val="0"/>
              <w:rPr>
                <w:rFonts w:hint="default"/>
              </w:rPr>
            </w:pPr>
            <w:r>
              <w:rPr>
                <w:rFonts w:hint="default"/>
                <w:lang w:val="en-US" w:eastAsia="zh-CN"/>
              </w:rPr>
              <w:t>2025.10.29</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B816B">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0F0B">
            <w:pPr>
              <w:pStyle w:val="43"/>
              <w:bidi w:val="0"/>
              <w:rPr>
                <w:rFonts w:hint="default"/>
              </w:rPr>
            </w:pPr>
            <w:r>
              <w:rPr>
                <w:rFonts w:hint="default"/>
                <w:lang w:val="en-US" w:eastAsia="zh-CN"/>
              </w:rPr>
              <w:t>11:36-11:46</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9BA8">
            <w:pPr>
              <w:pStyle w:val="43"/>
              <w:bidi w:val="0"/>
              <w:rPr>
                <w:rFonts w:hint="default"/>
              </w:rPr>
            </w:pPr>
            <w:r>
              <w:rPr>
                <w:rFonts w:hint="default"/>
                <w:lang w:val="en-US" w:eastAsia="zh-CN"/>
              </w:rPr>
              <w:t>45</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8035C">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A627">
            <w:pPr>
              <w:pStyle w:val="43"/>
              <w:bidi w:val="0"/>
              <w:rPr>
                <w:rFonts w:hint="eastAsia"/>
              </w:rPr>
            </w:pPr>
            <w:r>
              <w:rPr>
                <w:rFonts w:hint="eastAsia"/>
                <w:lang w:val="en-US" w:eastAsia="zh-CN"/>
              </w:rPr>
              <w:t>达标</w:t>
            </w:r>
          </w:p>
        </w:tc>
      </w:tr>
      <w:tr w14:paraId="119B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D6BA5">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E496A">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2ABF">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5C54">
            <w:pPr>
              <w:pStyle w:val="43"/>
              <w:bidi w:val="0"/>
              <w:rPr>
                <w:rFonts w:hint="default"/>
              </w:rPr>
            </w:pPr>
            <w:r>
              <w:rPr>
                <w:rFonts w:hint="default"/>
                <w:lang w:val="en-US" w:eastAsia="zh-CN"/>
              </w:rPr>
              <w:t>23:18-23:28</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2A004">
            <w:pPr>
              <w:pStyle w:val="43"/>
              <w:bidi w:val="0"/>
              <w:rPr>
                <w:rFonts w:hint="default"/>
              </w:rPr>
            </w:pPr>
            <w:r>
              <w:rPr>
                <w:rFonts w:hint="default"/>
                <w:lang w:val="en-US" w:eastAsia="zh-CN"/>
              </w:rPr>
              <w:t>42</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7D5FE">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4D54">
            <w:pPr>
              <w:pStyle w:val="43"/>
              <w:bidi w:val="0"/>
              <w:rPr>
                <w:rFonts w:hint="eastAsia"/>
              </w:rPr>
            </w:pPr>
            <w:r>
              <w:rPr>
                <w:rFonts w:hint="eastAsia"/>
                <w:lang w:val="en-US" w:eastAsia="zh-CN"/>
              </w:rPr>
              <w:t>达标</w:t>
            </w:r>
          </w:p>
        </w:tc>
      </w:tr>
      <w:tr w14:paraId="58FC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24D99">
            <w:pPr>
              <w:pStyle w:val="43"/>
              <w:bidi w:val="0"/>
              <w:rPr>
                <w:rFonts w:hint="eastAsia"/>
              </w:rPr>
            </w:pPr>
            <w:r>
              <w:rPr>
                <w:rFonts w:hint="eastAsia"/>
                <w:lang w:val="en-US" w:eastAsia="zh-CN"/>
              </w:rPr>
              <w:t>厂界南侧外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64BE5">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FDD08">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611AA">
            <w:pPr>
              <w:pStyle w:val="43"/>
              <w:bidi w:val="0"/>
              <w:rPr>
                <w:rFonts w:hint="default"/>
              </w:rPr>
            </w:pPr>
            <w:r>
              <w:rPr>
                <w:rFonts w:hint="default"/>
                <w:lang w:val="en-US" w:eastAsia="zh-CN"/>
              </w:rPr>
              <w:t>10:31-10:41</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9BA92">
            <w:pPr>
              <w:pStyle w:val="43"/>
              <w:bidi w:val="0"/>
              <w:rPr>
                <w:rFonts w:hint="default"/>
              </w:rPr>
            </w:pPr>
            <w:r>
              <w:rPr>
                <w:rFonts w:hint="default"/>
                <w:lang w:val="en-US" w:eastAsia="zh-CN"/>
              </w:rPr>
              <w:t>59</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7144">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43D6">
            <w:pPr>
              <w:pStyle w:val="43"/>
              <w:bidi w:val="0"/>
              <w:rPr>
                <w:rFonts w:hint="eastAsia"/>
              </w:rPr>
            </w:pPr>
            <w:r>
              <w:rPr>
                <w:rFonts w:hint="eastAsia"/>
                <w:lang w:val="en-US" w:eastAsia="zh-CN"/>
              </w:rPr>
              <w:t>达标</w:t>
            </w:r>
          </w:p>
        </w:tc>
      </w:tr>
      <w:tr w14:paraId="0D231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92D4E">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64C8D">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70B0">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0D67D">
            <w:pPr>
              <w:pStyle w:val="43"/>
              <w:bidi w:val="0"/>
              <w:rPr>
                <w:rFonts w:hint="default"/>
              </w:rPr>
            </w:pPr>
            <w:r>
              <w:rPr>
                <w:rFonts w:hint="default"/>
                <w:lang w:val="en-US" w:eastAsia="zh-CN"/>
              </w:rPr>
              <w:t>22:05-22:15</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AC14">
            <w:pPr>
              <w:pStyle w:val="43"/>
              <w:bidi w:val="0"/>
              <w:rPr>
                <w:rFonts w:hint="default"/>
              </w:rPr>
            </w:pPr>
            <w:r>
              <w:rPr>
                <w:rFonts w:hint="default"/>
                <w:lang w:val="en-US" w:eastAsia="zh-CN"/>
              </w:rPr>
              <w:t>43</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ADED3">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E213">
            <w:pPr>
              <w:pStyle w:val="43"/>
              <w:bidi w:val="0"/>
              <w:rPr>
                <w:rFonts w:hint="eastAsia"/>
              </w:rPr>
            </w:pPr>
            <w:r>
              <w:rPr>
                <w:rFonts w:hint="eastAsia"/>
                <w:lang w:val="en-US" w:eastAsia="zh-CN"/>
              </w:rPr>
              <w:t>达标</w:t>
            </w:r>
          </w:p>
        </w:tc>
      </w:tr>
      <w:tr w14:paraId="47F05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5249C">
            <w:pPr>
              <w:pStyle w:val="43"/>
              <w:bidi w:val="0"/>
              <w:rPr>
                <w:rFonts w:hint="eastAsia"/>
              </w:rPr>
            </w:pPr>
            <w:r>
              <w:rPr>
                <w:rFonts w:hint="eastAsia"/>
                <w:lang w:val="en-US" w:eastAsia="zh-CN"/>
              </w:rPr>
              <w:t>厂界西侧外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F93AA">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FCCB0">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3191">
            <w:pPr>
              <w:pStyle w:val="43"/>
              <w:bidi w:val="0"/>
              <w:rPr>
                <w:rFonts w:hint="default"/>
              </w:rPr>
            </w:pPr>
            <w:r>
              <w:rPr>
                <w:rFonts w:hint="default"/>
                <w:lang w:val="en-US" w:eastAsia="zh-CN"/>
              </w:rPr>
              <w:t>10:54-11:04</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6B88">
            <w:pPr>
              <w:pStyle w:val="43"/>
              <w:bidi w:val="0"/>
              <w:rPr>
                <w:rFonts w:hint="default"/>
              </w:rPr>
            </w:pPr>
            <w:r>
              <w:rPr>
                <w:rFonts w:hint="default"/>
                <w:lang w:val="en-US" w:eastAsia="zh-CN"/>
              </w:rPr>
              <w:t>51</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C0100">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5FCF">
            <w:pPr>
              <w:pStyle w:val="43"/>
              <w:bidi w:val="0"/>
              <w:rPr>
                <w:rFonts w:hint="eastAsia"/>
              </w:rPr>
            </w:pPr>
            <w:r>
              <w:rPr>
                <w:rFonts w:hint="eastAsia"/>
                <w:lang w:val="en-US" w:eastAsia="zh-CN"/>
              </w:rPr>
              <w:t>达标</w:t>
            </w:r>
          </w:p>
        </w:tc>
      </w:tr>
      <w:tr w14:paraId="057E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ABE95">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2CA8">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74CF0">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45BF">
            <w:pPr>
              <w:pStyle w:val="43"/>
              <w:bidi w:val="0"/>
              <w:rPr>
                <w:rFonts w:hint="default"/>
              </w:rPr>
            </w:pPr>
            <w:r>
              <w:rPr>
                <w:rFonts w:hint="default"/>
                <w:lang w:val="en-US" w:eastAsia="zh-CN"/>
              </w:rPr>
              <w:t>22:28-11:38</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8597">
            <w:pPr>
              <w:pStyle w:val="43"/>
              <w:bidi w:val="0"/>
              <w:rPr>
                <w:rFonts w:hint="default"/>
              </w:rPr>
            </w:pPr>
            <w:r>
              <w:rPr>
                <w:rFonts w:hint="default"/>
                <w:lang w:val="en-US" w:eastAsia="zh-CN"/>
              </w:rPr>
              <w:t>47</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AF3F">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6EB1">
            <w:pPr>
              <w:pStyle w:val="43"/>
              <w:bidi w:val="0"/>
              <w:rPr>
                <w:rFonts w:hint="eastAsia"/>
              </w:rPr>
            </w:pPr>
            <w:r>
              <w:rPr>
                <w:rFonts w:hint="eastAsia"/>
                <w:lang w:val="en-US" w:eastAsia="zh-CN"/>
              </w:rPr>
              <w:t>达标</w:t>
            </w:r>
          </w:p>
        </w:tc>
      </w:tr>
      <w:tr w14:paraId="47F3F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7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9AD51">
            <w:pPr>
              <w:pStyle w:val="43"/>
              <w:bidi w:val="0"/>
              <w:rPr>
                <w:rFonts w:hint="eastAsia"/>
              </w:rPr>
            </w:pPr>
            <w:r>
              <w:rPr>
                <w:rFonts w:hint="eastAsia"/>
                <w:lang w:val="en-US" w:eastAsia="zh-CN"/>
              </w:rPr>
              <w:t>厂界北侧外</w:t>
            </w:r>
            <w:r>
              <w:rPr>
                <w:rFonts w:hint="default"/>
                <w:lang w:val="en-US" w:eastAsia="zh-CN"/>
              </w:rPr>
              <w:t>1m</w:t>
            </w:r>
            <w:r>
              <w:rPr>
                <w:rFonts w:hint="eastAsia"/>
                <w:lang w:val="en-US" w:eastAsia="zh-CN"/>
              </w:rPr>
              <w:t>处</w:t>
            </w: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61751">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FCB4">
            <w:pPr>
              <w:pStyle w:val="43"/>
              <w:bidi w:val="0"/>
              <w:rPr>
                <w:rFonts w:hint="eastAsia"/>
              </w:rPr>
            </w:pPr>
            <w:r>
              <w:rPr>
                <w:rFonts w:hint="eastAsia"/>
                <w:lang w:val="en-US" w:eastAsia="zh-CN"/>
              </w:rPr>
              <w:t>昼间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9F90A">
            <w:pPr>
              <w:pStyle w:val="43"/>
              <w:bidi w:val="0"/>
              <w:rPr>
                <w:rFonts w:hint="default"/>
              </w:rPr>
            </w:pPr>
            <w:r>
              <w:rPr>
                <w:rFonts w:hint="default"/>
                <w:lang w:val="en-US" w:eastAsia="zh-CN"/>
              </w:rPr>
              <w:t>11:14-11:24</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A88D">
            <w:pPr>
              <w:pStyle w:val="43"/>
              <w:bidi w:val="0"/>
              <w:rPr>
                <w:rFonts w:hint="default"/>
              </w:rPr>
            </w:pPr>
            <w:r>
              <w:rPr>
                <w:rFonts w:hint="default"/>
                <w:lang w:val="en-US" w:eastAsia="zh-CN"/>
              </w:rPr>
              <w:t>42</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E4AC">
            <w:pPr>
              <w:pStyle w:val="43"/>
              <w:bidi w:val="0"/>
              <w:rPr>
                <w:rFonts w:hint="eastAsia"/>
              </w:rPr>
            </w:pPr>
            <w:r>
              <w:rPr>
                <w:rFonts w:hint="eastAsia"/>
                <w:lang w:val="en-US" w:eastAsia="zh-CN"/>
              </w:rPr>
              <w:t>60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5633">
            <w:pPr>
              <w:pStyle w:val="43"/>
              <w:bidi w:val="0"/>
              <w:rPr>
                <w:rFonts w:hint="eastAsia"/>
              </w:rPr>
            </w:pPr>
            <w:r>
              <w:rPr>
                <w:rFonts w:hint="eastAsia"/>
                <w:lang w:val="en-US" w:eastAsia="zh-CN"/>
              </w:rPr>
              <w:t>达标</w:t>
            </w:r>
          </w:p>
        </w:tc>
      </w:tr>
      <w:tr w14:paraId="3838D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78F3E">
            <w:pPr>
              <w:pStyle w:val="43"/>
              <w:bidi w:val="0"/>
              <w:rPr>
                <w:rFonts w:hint="eastAsia"/>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6EAE7">
            <w:pPr>
              <w:pStyle w:val="43"/>
              <w:bidi w:val="0"/>
              <w:rPr>
                <w:rFonts w:hint="default"/>
              </w:rPr>
            </w:pP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3F46F">
            <w:pPr>
              <w:pStyle w:val="43"/>
              <w:bidi w:val="0"/>
              <w:rPr>
                <w:rFonts w:hint="eastAsia"/>
              </w:rPr>
            </w:pPr>
            <w:r>
              <w:rPr>
                <w:rFonts w:hint="eastAsia"/>
                <w:lang w:val="en-US" w:eastAsia="zh-CN"/>
              </w:rPr>
              <w:t>夜间</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DC82">
            <w:pPr>
              <w:pStyle w:val="43"/>
              <w:bidi w:val="0"/>
              <w:rPr>
                <w:rFonts w:hint="default"/>
              </w:rPr>
            </w:pPr>
            <w:r>
              <w:rPr>
                <w:rFonts w:hint="default"/>
                <w:lang w:val="en-US" w:eastAsia="zh-CN"/>
              </w:rPr>
              <w:t>22:53-23:03</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92A60">
            <w:pPr>
              <w:pStyle w:val="43"/>
              <w:bidi w:val="0"/>
              <w:rPr>
                <w:rFonts w:hint="default"/>
              </w:rPr>
            </w:pPr>
            <w:r>
              <w:rPr>
                <w:rFonts w:hint="default"/>
                <w:lang w:val="en-US" w:eastAsia="zh-CN"/>
              </w:rPr>
              <w:t>42</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3DFF9">
            <w:pPr>
              <w:pStyle w:val="43"/>
              <w:bidi w:val="0"/>
              <w:rPr>
                <w:rFonts w:hint="eastAsia"/>
              </w:rPr>
            </w:pPr>
            <w:r>
              <w:rPr>
                <w:rFonts w:hint="eastAsia"/>
                <w:lang w:val="en-US" w:eastAsia="zh-CN"/>
              </w:rPr>
              <w:t>50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4037">
            <w:pPr>
              <w:pStyle w:val="43"/>
              <w:bidi w:val="0"/>
              <w:rPr>
                <w:rFonts w:hint="eastAsia"/>
              </w:rPr>
            </w:pPr>
            <w:r>
              <w:rPr>
                <w:rFonts w:hint="eastAsia"/>
                <w:lang w:val="en-US" w:eastAsia="zh-CN"/>
              </w:rPr>
              <w:t>达标</w:t>
            </w:r>
          </w:p>
        </w:tc>
      </w:tr>
    </w:tbl>
    <w:p w14:paraId="39A373A9">
      <w:pPr>
        <w:pStyle w:val="41"/>
        <w:bidi w:val="0"/>
        <w:rPr>
          <w:rFonts w:hint="default"/>
        </w:rPr>
      </w:pPr>
      <w:r>
        <w:rPr>
          <w:rFonts w:hint="default"/>
        </w:rPr>
        <w:t>从上表可以看出，项目</w:t>
      </w:r>
      <w:r>
        <w:rPr>
          <w:rFonts w:hint="eastAsia"/>
          <w:lang w:val="en-US" w:eastAsia="zh-CN"/>
        </w:rPr>
        <w:t>区域</w:t>
      </w:r>
      <w:r>
        <w:rPr>
          <w:rFonts w:hint="default"/>
        </w:rPr>
        <w:t>昼间、夜间噪声值符合</w:t>
      </w:r>
      <w:r>
        <w:rPr>
          <w:rFonts w:hint="eastAsia"/>
          <w:lang w:eastAsia="zh-CN"/>
        </w:rPr>
        <w:t>《</w:t>
      </w:r>
      <w:r>
        <w:rPr>
          <w:rFonts w:hint="default"/>
        </w:rPr>
        <w:t>声环境质量标准》（GB3096-2008）</w:t>
      </w:r>
      <w:r>
        <w:rPr>
          <w:rFonts w:hint="default"/>
          <w:lang w:val="en-US" w:eastAsia="zh-CN"/>
        </w:rPr>
        <w:t>2</w:t>
      </w:r>
      <w:r>
        <w:rPr>
          <w:rFonts w:hint="default"/>
        </w:rPr>
        <w:t>类区标准要求</w:t>
      </w:r>
      <w:r>
        <w:rPr>
          <w:rFonts w:hint="default"/>
          <w:lang w:eastAsia="zh-CN"/>
        </w:rPr>
        <w:t>。</w:t>
      </w:r>
    </w:p>
    <w:p w14:paraId="3DE915EA">
      <w:pPr>
        <w:pStyle w:val="3"/>
        <w:keepNext/>
        <w:pageBreakBefore w:val="0"/>
        <w:kinsoku/>
        <w:overflowPunct/>
        <w:topLinePunct w:val="0"/>
        <w:autoSpaceDE/>
        <w:autoSpaceDN/>
        <w:bidi w:val="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357" w:name="_Toc8146"/>
      <w:r>
        <w:rPr>
          <w:rFonts w:hint="default" w:ascii="Times New Roman" w:hAnsi="Times New Roman" w:cs="Times New Roman"/>
          <w:color w:val="000000" w:themeColor="text1"/>
          <w:highlight w:val="none"/>
          <w14:textFill>
            <w14:solidFill>
              <w14:schemeClr w14:val="tx1"/>
            </w14:solidFill>
          </w14:textFill>
        </w:rPr>
        <w:t>土壤环境质量现状</w:t>
      </w:r>
      <w:r>
        <w:rPr>
          <w:rFonts w:hint="default" w:ascii="Times New Roman" w:hAnsi="Times New Roman" w:cs="Times New Roman"/>
          <w:color w:val="000000" w:themeColor="text1"/>
          <w:highlight w:val="none"/>
          <w:lang w:val="en-US" w:eastAsia="zh-CN"/>
          <w14:textFill>
            <w14:solidFill>
              <w14:schemeClr w14:val="tx1"/>
            </w14:solidFill>
          </w14:textFill>
        </w:rPr>
        <w:t>评价</w:t>
      </w:r>
      <w:bookmarkEnd w:id="357"/>
    </w:p>
    <w:p w14:paraId="1231BB78">
      <w:pPr>
        <w:pStyle w:val="41"/>
        <w:bidi w:val="0"/>
        <w:rPr>
          <w:rFonts w:hint="default"/>
          <w:b/>
          <w:bCs/>
          <w:lang w:val="en-US" w:eastAsia="zh-CN"/>
        </w:rPr>
      </w:pPr>
      <w:r>
        <w:rPr>
          <w:rFonts w:hint="eastAsia"/>
          <w:b/>
          <w:bCs/>
          <w:lang w:eastAsia="zh-CN"/>
        </w:rPr>
        <w:t>（</w:t>
      </w:r>
      <w:r>
        <w:rPr>
          <w:rFonts w:hint="eastAsia"/>
          <w:b/>
          <w:bCs/>
          <w:lang w:val="en-US" w:eastAsia="zh-CN"/>
        </w:rPr>
        <w:t>1）土壤现状调查</w:t>
      </w:r>
    </w:p>
    <w:p w14:paraId="281956E2">
      <w:pPr>
        <w:pStyle w:val="41"/>
        <w:bidi w:val="0"/>
        <w:rPr>
          <w:rFonts w:hint="default"/>
        </w:rPr>
      </w:pPr>
      <w:r>
        <w:rPr>
          <w:rFonts w:hint="default"/>
        </w:rPr>
        <w:t>本项目位于</w:t>
      </w:r>
      <w:r>
        <w:rPr>
          <w:rFonts w:hint="eastAsia"/>
          <w:lang w:eastAsia="zh-CN"/>
        </w:rPr>
        <w:t>云南省文山州砚山县江那镇铳卡石门坎，</w:t>
      </w:r>
      <w:r>
        <w:rPr>
          <w:rFonts w:hint="default"/>
        </w:rPr>
        <w:t>根据国家土壤信息服务平台</w:t>
      </w:r>
      <w:r>
        <w:rPr>
          <w:rFonts w:hint="eastAsia"/>
          <w:lang w:eastAsia="zh-CN"/>
        </w:rPr>
        <w:t>（</w:t>
      </w:r>
      <w:r>
        <w:rPr>
          <w:rFonts w:hint="default"/>
        </w:rPr>
        <w:t>http</w:t>
      </w:r>
      <w:r>
        <w:rPr>
          <w:rFonts w:hint="eastAsia"/>
          <w:lang w:eastAsia="zh-CN"/>
        </w:rPr>
        <w:t>：</w:t>
      </w:r>
      <w:r>
        <w:rPr>
          <w:rFonts w:hint="default"/>
        </w:rPr>
        <w:t>//wwwww.soilinfo.cn/MAP/index.aspx</w:t>
      </w:r>
      <w:r>
        <w:rPr>
          <w:rFonts w:hint="eastAsia"/>
          <w:lang w:eastAsia="zh-CN"/>
        </w:rPr>
        <w:t>）</w:t>
      </w:r>
      <w:r>
        <w:rPr>
          <w:rFonts w:hint="default"/>
        </w:rPr>
        <w:t>查询，本项目调查评价范围内土壤为山</w:t>
      </w:r>
      <w:r>
        <w:rPr>
          <w:rFonts w:hint="eastAsia"/>
          <w:lang w:val="en-US" w:eastAsia="zh-CN"/>
        </w:rPr>
        <w:t>普通</w:t>
      </w:r>
      <w:r>
        <w:rPr>
          <w:rFonts w:hint="default"/>
        </w:rPr>
        <w:t>红壤。</w:t>
      </w:r>
    </w:p>
    <w:p w14:paraId="4DD26494">
      <w:pPr>
        <w:keepNext/>
        <w:pageBreakBefore w:val="0"/>
        <w:kinsoku/>
        <w:overflowPunct/>
        <w:topLinePunct w:val="0"/>
        <w:autoSpaceDE/>
        <w:autoSpaceDN/>
        <w:bidi w:val="0"/>
        <w:ind w:left="0" w:leftChars="0"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drawing>
          <wp:inline distT="0" distB="0" distL="114300" distR="114300">
            <wp:extent cx="5268595" cy="2767965"/>
            <wp:effectExtent l="0" t="0" r="4445" b="5715"/>
            <wp:docPr id="110" name="图片 110" descr="土壤类型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土壤类型截图"/>
                    <pic:cNvPicPr>
                      <a:picLocks noChangeAspect="1"/>
                    </pic:cNvPicPr>
                  </pic:nvPicPr>
                  <pic:blipFill>
                    <a:blip r:embed="rId38"/>
                    <a:stretch>
                      <a:fillRect/>
                    </a:stretch>
                  </pic:blipFill>
                  <pic:spPr>
                    <a:xfrm>
                      <a:off x="0" y="0"/>
                      <a:ext cx="5268595" cy="2767965"/>
                    </a:xfrm>
                    <a:prstGeom prst="rect">
                      <a:avLst/>
                    </a:prstGeom>
                  </pic:spPr>
                </pic:pic>
              </a:graphicData>
            </a:graphic>
          </wp:inline>
        </w:drawing>
      </w:r>
    </w:p>
    <w:p w14:paraId="509BF593">
      <w:pPr>
        <w:keepNext/>
        <w:pageBreakBefore w:val="0"/>
        <w:kinsoku/>
        <w:overflowPunct/>
        <w:topLinePunct w:val="0"/>
        <w:autoSpaceDE/>
        <w:autoSpaceDN/>
        <w:bidi w:val="0"/>
        <w:ind w:left="0" w:leftChars="0" w:firstLine="0" w:firstLineChars="0"/>
        <w:jc w:val="center"/>
        <w:textAlignment w:val="auto"/>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图4.7-1  项目区土壤类型图</w:t>
      </w:r>
    </w:p>
    <w:p w14:paraId="0520D055">
      <w:pPr>
        <w:pStyle w:val="41"/>
        <w:bidi w:val="0"/>
        <w:rPr>
          <w:rFonts w:hint="default"/>
          <w:b/>
          <w:bCs/>
          <w:lang w:val="en-US" w:eastAsia="zh-CN"/>
        </w:rPr>
      </w:pPr>
      <w:r>
        <w:rPr>
          <w:rFonts w:hint="eastAsia"/>
          <w:b/>
          <w:bCs/>
          <w:lang w:eastAsia="zh-CN"/>
        </w:rPr>
        <w:t>（</w:t>
      </w:r>
      <w:r>
        <w:rPr>
          <w:rFonts w:hint="eastAsia"/>
          <w:b/>
          <w:bCs/>
          <w:lang w:val="en-US" w:eastAsia="zh-CN"/>
        </w:rPr>
        <w:t>2）现状监测</w:t>
      </w:r>
    </w:p>
    <w:p w14:paraId="3FDCA10F">
      <w:pPr>
        <w:pStyle w:val="41"/>
        <w:bidi w:val="0"/>
        <w:rPr>
          <w:rFonts w:hint="default"/>
          <w:lang w:val="zh-CN"/>
        </w:rPr>
      </w:pPr>
      <w:r>
        <w:rPr>
          <w:rFonts w:hint="default"/>
        </w:rPr>
        <w:t>为了解项目区域土壤环境质量现状，本次环评委托</w:t>
      </w:r>
      <w:r>
        <w:rPr>
          <w:rFonts w:hint="eastAsia"/>
          <w:lang w:eastAsia="zh-CN"/>
        </w:rPr>
        <w:t>中博源检测（云南）</w:t>
      </w:r>
      <w:r>
        <w:rPr>
          <w:rFonts w:hint="default"/>
        </w:rPr>
        <w:t>有限公司对项目区域土壤环境质量现状进行了监测，监测情况</w:t>
      </w:r>
      <w:r>
        <w:rPr>
          <w:rFonts w:hint="default"/>
          <w:lang w:val="zh-CN"/>
        </w:rPr>
        <w:t>如下：</w:t>
      </w:r>
    </w:p>
    <w:p w14:paraId="2FDC7EFD">
      <w:pPr>
        <w:pStyle w:val="41"/>
        <w:bidi w:val="0"/>
        <w:rPr>
          <w:rFonts w:hint="default"/>
        </w:rPr>
      </w:pPr>
      <w:r>
        <w:rPr>
          <w:rFonts w:hint="default"/>
        </w:rPr>
        <w:t>（1）监测点位</w:t>
      </w:r>
    </w:p>
    <w:p w14:paraId="01D0C56D">
      <w:pPr>
        <w:pStyle w:val="41"/>
        <w:bidi w:val="0"/>
        <w:rPr>
          <w:rFonts w:hint="default"/>
        </w:rPr>
      </w:pPr>
      <w:r>
        <w:rPr>
          <w:rFonts w:hint="default"/>
        </w:rPr>
        <w:t>共设置</w:t>
      </w:r>
      <w:r>
        <w:rPr>
          <w:rFonts w:hint="default"/>
          <w:lang w:val="en-US" w:eastAsia="zh-CN"/>
        </w:rPr>
        <w:t>3</w:t>
      </w:r>
      <w:r>
        <w:rPr>
          <w:rFonts w:hint="default"/>
        </w:rPr>
        <w:t>个监测点位，</w:t>
      </w:r>
      <w:r>
        <w:rPr>
          <w:rFonts w:hint="eastAsia"/>
          <w:lang w:eastAsia="zh-CN"/>
        </w:rPr>
        <w:t>其中</w:t>
      </w:r>
      <w:r>
        <w:rPr>
          <w:rFonts w:hint="default"/>
          <w:lang w:val="en-US" w:eastAsia="zh-CN"/>
        </w:rPr>
        <w:t>均为</w:t>
      </w:r>
      <w:r>
        <w:rPr>
          <w:rFonts w:hint="default"/>
        </w:rPr>
        <w:t>表层样</w:t>
      </w:r>
      <w:r>
        <w:rPr>
          <w:rFonts w:hint="default"/>
          <w:lang w:val="en-US" w:eastAsia="zh-CN"/>
        </w:rPr>
        <w:t>点</w:t>
      </w:r>
      <w:r>
        <w:rPr>
          <w:rFonts w:hint="default"/>
        </w:rPr>
        <w:t>，详细监测布点详见</w:t>
      </w:r>
      <w:r>
        <w:rPr>
          <w:rFonts w:hint="default"/>
          <w:lang w:val="en-US" w:eastAsia="zh-CN"/>
        </w:rPr>
        <w:t>表4.7-1</w:t>
      </w:r>
      <w:r>
        <w:rPr>
          <w:rFonts w:hint="default"/>
        </w:rPr>
        <w:t>。</w:t>
      </w:r>
    </w:p>
    <w:p w14:paraId="1DF55477">
      <w:pPr>
        <w:keepNext/>
        <w:pageBreakBefore w:val="0"/>
        <w:kinsoku/>
        <w:overflowPunct/>
        <w:topLinePunct w:val="0"/>
        <w:autoSpaceDE/>
        <w:autoSpaceDN/>
        <w:bidi w:val="0"/>
        <w:ind w:left="0" w:leftChars="0" w:firstLine="0" w:firstLineChars="0"/>
        <w:jc w:val="center"/>
        <w:textAlignment w:val="auto"/>
        <w:rPr>
          <w:rFonts w:hint="default" w:ascii="Times New Roman" w:hAnsi="Times New Roman" w:cs="Times New Roman"/>
          <w:b/>
          <w:bCs/>
          <w:color w:val="000000" w:themeColor="text1"/>
          <w:highlight w:val="none"/>
          <w:lang w:eastAsia="zh-CN"/>
          <w14:textFill>
            <w14:solidFill>
              <w14:schemeClr w14:val="tx1"/>
            </w14:solidFill>
          </w14:textFill>
        </w:rPr>
      </w:pPr>
      <w:bookmarkStart w:id="358" w:name="_Ref67"/>
      <w:r>
        <w:rPr>
          <w:rFonts w:hint="default" w:ascii="Times New Roman" w:hAnsi="Times New Roman" w:cs="Times New Roman"/>
          <w:b/>
          <w:bCs/>
          <w:color w:val="000000" w:themeColor="text1"/>
          <w:highlight w:val="none"/>
          <w14:textFill>
            <w14:solidFill>
              <w14:schemeClr w14:val="tx1"/>
            </w14:solidFill>
          </w14:textFill>
        </w:rPr>
        <w:t>表</w:t>
      </w:r>
      <w:bookmarkEnd w:id="358"/>
      <w:r>
        <w:rPr>
          <w:rFonts w:hint="default" w:ascii="Times New Roman" w:hAnsi="Times New Roman" w:cs="Times New Roman"/>
          <w:b/>
          <w:bCs/>
          <w:color w:val="000000" w:themeColor="text1"/>
          <w:highlight w:val="none"/>
          <w:lang w:val="en-US" w:eastAsia="zh-CN"/>
          <w14:textFill>
            <w14:solidFill>
              <w14:schemeClr w14:val="tx1"/>
            </w14:solidFill>
          </w14:textFill>
        </w:rPr>
        <w:t>4.7-1</w:t>
      </w:r>
      <w:r>
        <w:rPr>
          <w:rFonts w:hint="default" w:ascii="Times New Roman" w:hAnsi="Times New Roman" w:cs="Times New Roman"/>
          <w:b/>
          <w:bCs/>
          <w:color w:val="000000" w:themeColor="text1"/>
          <w:highlight w:val="none"/>
          <w14:textFill>
            <w14:solidFill>
              <w14:schemeClr w14:val="tx1"/>
            </w14:solidFill>
          </w14:textFill>
        </w:rPr>
        <w:t xml:space="preserve">  土壤环境质量现状监测布点表  单位：dB</w:t>
      </w:r>
      <w:r>
        <w:rPr>
          <w:rFonts w:hint="default" w:ascii="Times New Roman" w:hAnsi="Times New Roman" w:cs="Times New Roman"/>
          <w:b/>
          <w:bCs/>
          <w:color w:val="000000" w:themeColor="text1"/>
          <w:highlight w:val="none"/>
          <w:lang w:eastAsia="zh-CN"/>
          <w14:textFill>
            <w14:solidFill>
              <w14:schemeClr w14:val="tx1"/>
            </w14:solidFill>
          </w14:textFill>
        </w:rPr>
        <w:t>（</w:t>
      </w:r>
      <w:r>
        <w:rPr>
          <w:rFonts w:hint="default" w:ascii="Times New Roman" w:hAnsi="Times New Roman" w:cs="Times New Roman"/>
          <w:b/>
          <w:bCs/>
          <w:color w:val="000000" w:themeColor="text1"/>
          <w:highlight w:val="none"/>
          <w14:textFill>
            <w14:solidFill>
              <w14:schemeClr w14:val="tx1"/>
            </w14:solidFill>
          </w14:textFill>
        </w:rPr>
        <w:t>A</w:t>
      </w:r>
      <w:r>
        <w:rPr>
          <w:rFonts w:hint="default" w:ascii="Times New Roman" w:hAnsi="Times New Roman" w:cs="Times New Roman"/>
          <w:b/>
          <w:bCs/>
          <w:color w:val="000000" w:themeColor="text1"/>
          <w:highlight w:val="none"/>
          <w:lang w:eastAsia="zh-CN"/>
          <w14:textFill>
            <w14:solidFill>
              <w14:schemeClr w14:val="tx1"/>
            </w14:solidFill>
          </w14:textFill>
        </w:rPr>
        <w:t>）</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3615"/>
        <w:gridCol w:w="1797"/>
        <w:gridCol w:w="1046"/>
        <w:gridCol w:w="1477"/>
      </w:tblGrid>
      <w:tr w14:paraId="5E5B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0" w:type="auto"/>
            <w:noWrap w:val="0"/>
            <w:vAlign w:val="center"/>
          </w:tcPr>
          <w:p w14:paraId="4FA04D42">
            <w:pPr>
              <w:pStyle w:val="43"/>
              <w:keepNext/>
              <w:pageBreakBefore w:val="0"/>
              <w:kinsoku/>
              <w:overflowPunct/>
              <w:topLinePunct w:val="0"/>
              <w:autoSpaceDE/>
              <w:autoSpaceDN/>
              <w:bidi w:val="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序号</w:t>
            </w:r>
          </w:p>
        </w:tc>
        <w:tc>
          <w:tcPr>
            <w:tcW w:w="3615" w:type="dxa"/>
            <w:noWrap w:val="0"/>
            <w:vAlign w:val="center"/>
          </w:tcPr>
          <w:p w14:paraId="052661DE">
            <w:pPr>
              <w:pStyle w:val="43"/>
              <w:keepNext/>
              <w:pageBreakBefore w:val="0"/>
              <w:kinsoku/>
              <w:overflowPunct/>
              <w:topLinePunct w:val="0"/>
              <w:autoSpaceDE/>
              <w:autoSpaceDN/>
              <w:bidi w:val="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监测点位</w:t>
            </w:r>
          </w:p>
        </w:tc>
        <w:tc>
          <w:tcPr>
            <w:tcW w:w="1797" w:type="dxa"/>
            <w:noWrap w:val="0"/>
            <w:vAlign w:val="center"/>
          </w:tcPr>
          <w:p w14:paraId="5993D4C4">
            <w:pPr>
              <w:pStyle w:val="43"/>
              <w:keepNext/>
              <w:pageBreakBefore w:val="0"/>
              <w:kinsoku/>
              <w:overflowPunct/>
              <w:topLinePunct w:val="0"/>
              <w:autoSpaceDE/>
              <w:autoSpaceDN/>
              <w:bidi w:val="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点位属性</w:t>
            </w:r>
          </w:p>
        </w:tc>
        <w:tc>
          <w:tcPr>
            <w:tcW w:w="1046" w:type="dxa"/>
            <w:noWrap w:val="0"/>
            <w:vAlign w:val="center"/>
          </w:tcPr>
          <w:p w14:paraId="371A7DC6">
            <w:pPr>
              <w:pStyle w:val="43"/>
              <w:keepNext/>
              <w:pageBreakBefore w:val="0"/>
              <w:kinsoku/>
              <w:overflowPunct/>
              <w:topLinePunct w:val="0"/>
              <w:autoSpaceDE/>
              <w:autoSpaceDN/>
              <w:bidi w:val="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取样深度</w:t>
            </w:r>
          </w:p>
        </w:tc>
        <w:tc>
          <w:tcPr>
            <w:tcW w:w="1477" w:type="dxa"/>
            <w:noWrap w:val="0"/>
            <w:vAlign w:val="center"/>
          </w:tcPr>
          <w:p w14:paraId="71173224">
            <w:pPr>
              <w:pStyle w:val="43"/>
              <w:keepNext/>
              <w:pageBreakBefore w:val="0"/>
              <w:kinsoku/>
              <w:overflowPunct/>
              <w:topLinePunct w:val="0"/>
              <w:autoSpaceDE/>
              <w:autoSpaceDN/>
              <w:bidi w:val="0"/>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代表性分析</w:t>
            </w:r>
          </w:p>
        </w:tc>
      </w:tr>
      <w:tr w14:paraId="6327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0" w:type="auto"/>
            <w:noWrap w:val="0"/>
            <w:vAlign w:val="center"/>
          </w:tcPr>
          <w:p w14:paraId="6A3B443C">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3615" w:type="dxa"/>
            <w:noWrap w:val="0"/>
            <w:vAlign w:val="center"/>
          </w:tcPr>
          <w:p w14:paraId="50EC020D">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1#矿区内</w:t>
            </w:r>
          </w:p>
        </w:tc>
        <w:tc>
          <w:tcPr>
            <w:tcW w:w="1797" w:type="dxa"/>
            <w:noWrap w:val="0"/>
            <w:vAlign w:val="center"/>
          </w:tcPr>
          <w:p w14:paraId="4AA0D19B">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表层样点</w:t>
            </w:r>
          </w:p>
        </w:tc>
        <w:tc>
          <w:tcPr>
            <w:tcW w:w="1046" w:type="dxa"/>
            <w:noWrap w:val="0"/>
            <w:vAlign w:val="center"/>
          </w:tcPr>
          <w:p w14:paraId="13901784">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0~0.2m</w:t>
            </w:r>
          </w:p>
        </w:tc>
        <w:tc>
          <w:tcPr>
            <w:tcW w:w="1477" w:type="dxa"/>
            <w:noWrap w:val="0"/>
            <w:vAlign w:val="center"/>
          </w:tcPr>
          <w:p w14:paraId="0D8BA6C1">
            <w:pPr>
              <w:pStyle w:val="43"/>
              <w:keepNext/>
              <w:pageBreakBefore w:val="0"/>
              <w:kinsoku/>
              <w:overflowPunct/>
              <w:topLinePunct w:val="0"/>
              <w:autoSpaceDE/>
              <w:autoSpaceDN/>
              <w:bidi w:val="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占地范围内（</w:t>
            </w:r>
            <w:r>
              <w:rPr>
                <w:rFonts w:hint="default" w:ascii="Times New Roman" w:hAnsi="Times New Roman" w:cs="Times New Roman"/>
                <w:color w:val="000000" w:themeColor="text1"/>
                <w:highlight w:val="none"/>
                <w:lang w:val="en-US" w:eastAsia="zh-CN"/>
                <w14:textFill>
                  <w14:solidFill>
                    <w14:schemeClr w14:val="tx1"/>
                  </w14:solidFill>
                </w14:textFill>
              </w:rPr>
              <w:t>矿区</w:t>
            </w:r>
            <w:r>
              <w:rPr>
                <w:rFonts w:hint="eastAsia" w:ascii="Times New Roman" w:hAnsi="Times New Roman" w:cs="Times New Roman"/>
                <w:color w:val="000000" w:themeColor="text1"/>
                <w:highlight w:val="none"/>
                <w:lang w:val="en-US" w:eastAsia="zh-CN"/>
                <w14:textFill>
                  <w14:solidFill>
                    <w14:schemeClr w14:val="tx1"/>
                  </w14:solidFill>
                </w14:textFill>
              </w:rPr>
              <w:t>）</w:t>
            </w:r>
          </w:p>
        </w:tc>
      </w:tr>
      <w:tr w14:paraId="53DE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0" w:type="auto"/>
            <w:noWrap w:val="0"/>
            <w:vAlign w:val="center"/>
          </w:tcPr>
          <w:p w14:paraId="0E05A556">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p>
        </w:tc>
        <w:tc>
          <w:tcPr>
            <w:tcW w:w="3615" w:type="dxa"/>
            <w:noWrap w:val="0"/>
            <w:vAlign w:val="center"/>
          </w:tcPr>
          <w:p w14:paraId="01A69AEA">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lang w:eastAsia="zh-CN"/>
                <w14:textFill>
                  <w14:solidFill>
                    <w14:schemeClr w14:val="tx1"/>
                  </w14:solidFill>
                </w14:textFill>
              </w:rPr>
              <w:t>#矿区内</w:t>
            </w:r>
          </w:p>
        </w:tc>
        <w:tc>
          <w:tcPr>
            <w:tcW w:w="1797" w:type="dxa"/>
            <w:noWrap w:val="0"/>
            <w:vAlign w:val="center"/>
          </w:tcPr>
          <w:p w14:paraId="3AD0427C">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表层样点</w:t>
            </w:r>
          </w:p>
        </w:tc>
        <w:tc>
          <w:tcPr>
            <w:tcW w:w="1046" w:type="dxa"/>
            <w:noWrap w:val="0"/>
            <w:vAlign w:val="center"/>
          </w:tcPr>
          <w:p w14:paraId="2CE4A419">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0~0.2m</w:t>
            </w:r>
          </w:p>
        </w:tc>
        <w:tc>
          <w:tcPr>
            <w:tcW w:w="1477" w:type="dxa"/>
            <w:noWrap w:val="0"/>
            <w:vAlign w:val="center"/>
          </w:tcPr>
          <w:p w14:paraId="3B081196">
            <w:pPr>
              <w:pStyle w:val="43"/>
              <w:keepNext/>
              <w:pageBreakBefore w:val="0"/>
              <w:kinsoku/>
              <w:overflowPunct/>
              <w:topLinePunct w:val="0"/>
              <w:autoSpaceDE/>
              <w:autoSpaceDN/>
              <w:bidi w:val="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占地范围内（</w:t>
            </w:r>
            <w:r>
              <w:rPr>
                <w:rFonts w:hint="default" w:ascii="Times New Roman" w:hAnsi="Times New Roman" w:cs="Times New Roman"/>
                <w:color w:val="000000" w:themeColor="text1"/>
                <w:highlight w:val="none"/>
                <w:lang w:val="en-US" w:eastAsia="zh-CN"/>
                <w14:textFill>
                  <w14:solidFill>
                    <w14:schemeClr w14:val="tx1"/>
                  </w14:solidFill>
                </w14:textFill>
              </w:rPr>
              <w:t>矿区</w:t>
            </w:r>
            <w:r>
              <w:rPr>
                <w:rFonts w:hint="eastAsia" w:ascii="Times New Roman" w:hAnsi="Times New Roman" w:cs="Times New Roman"/>
                <w:color w:val="000000" w:themeColor="text1"/>
                <w:highlight w:val="none"/>
                <w:lang w:val="en-US" w:eastAsia="zh-CN"/>
                <w14:textFill>
                  <w14:solidFill>
                    <w14:schemeClr w14:val="tx1"/>
                  </w14:solidFill>
                </w14:textFill>
              </w:rPr>
              <w:t>）</w:t>
            </w:r>
          </w:p>
        </w:tc>
      </w:tr>
      <w:tr w14:paraId="7CC3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0" w:type="auto"/>
            <w:noWrap w:val="0"/>
            <w:vAlign w:val="center"/>
          </w:tcPr>
          <w:p w14:paraId="4CBAC5C8">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w:t>
            </w:r>
          </w:p>
        </w:tc>
        <w:tc>
          <w:tcPr>
            <w:tcW w:w="3615" w:type="dxa"/>
            <w:noWrap w:val="0"/>
            <w:vAlign w:val="center"/>
          </w:tcPr>
          <w:p w14:paraId="408AA7B5">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加工区</w:t>
            </w:r>
            <w:r>
              <w:rPr>
                <w:rFonts w:hint="default" w:ascii="Times New Roman" w:hAnsi="Times New Roman" w:cs="Times New Roman"/>
                <w:color w:val="000000" w:themeColor="text1"/>
                <w:highlight w:val="none"/>
                <w:lang w:eastAsia="zh-CN"/>
                <w14:textFill>
                  <w14:solidFill>
                    <w14:schemeClr w14:val="tx1"/>
                  </w14:solidFill>
                </w14:textFill>
              </w:rPr>
              <w:t>内</w:t>
            </w:r>
          </w:p>
        </w:tc>
        <w:tc>
          <w:tcPr>
            <w:tcW w:w="1797" w:type="dxa"/>
            <w:noWrap w:val="0"/>
            <w:vAlign w:val="center"/>
          </w:tcPr>
          <w:p w14:paraId="44755226">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表层样点</w:t>
            </w:r>
          </w:p>
        </w:tc>
        <w:tc>
          <w:tcPr>
            <w:tcW w:w="1046" w:type="dxa"/>
            <w:noWrap w:val="0"/>
            <w:vAlign w:val="center"/>
          </w:tcPr>
          <w:p w14:paraId="1C55E548">
            <w:pPr>
              <w:pStyle w:val="43"/>
              <w:keepNext/>
              <w:pageBreakBefore w:val="0"/>
              <w:kinsoku/>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0~0.2m</w:t>
            </w:r>
          </w:p>
        </w:tc>
        <w:tc>
          <w:tcPr>
            <w:tcW w:w="1477" w:type="dxa"/>
            <w:noWrap w:val="0"/>
            <w:vAlign w:val="center"/>
          </w:tcPr>
          <w:p w14:paraId="108A80D2">
            <w:pPr>
              <w:pStyle w:val="43"/>
              <w:keepNext/>
              <w:pageBreakBefore w:val="0"/>
              <w:kinsoku/>
              <w:overflowPunct/>
              <w:topLinePunct w:val="0"/>
              <w:autoSpaceDE/>
              <w:autoSpaceDN/>
              <w:bidi w:val="0"/>
              <w:textAlignment w:val="auto"/>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占地范围内（</w:t>
            </w:r>
            <w:r>
              <w:rPr>
                <w:rFonts w:hint="eastAsia" w:cs="黑体"/>
                <w:bCs/>
                <w:color w:val="000000" w:themeColor="text1"/>
                <w:kern w:val="2"/>
                <w:sz w:val="21"/>
                <w:szCs w:val="21"/>
                <w:highlight w:val="none"/>
                <w:lang w:val="en-US" w:eastAsia="zh-CN" w:bidi="ar-SA"/>
                <w14:textFill>
                  <w14:solidFill>
                    <w14:schemeClr w14:val="tx1"/>
                  </w14:solidFill>
                </w14:textFill>
              </w:rPr>
              <w:t>加工区</w:t>
            </w:r>
            <w:r>
              <w:rPr>
                <w:rFonts w:hint="eastAsia" w:ascii="Times New Roman" w:hAnsi="Times New Roman" w:eastAsia="宋体" w:cs="黑体"/>
                <w:bCs/>
                <w:color w:val="000000" w:themeColor="text1"/>
                <w:kern w:val="2"/>
                <w:sz w:val="21"/>
                <w:szCs w:val="21"/>
                <w:highlight w:val="none"/>
                <w:lang w:val="en-US" w:eastAsia="zh-CN" w:bidi="ar-SA"/>
                <w14:textFill>
                  <w14:solidFill>
                    <w14:schemeClr w14:val="tx1"/>
                  </w14:solidFill>
                </w14:textFill>
              </w:rPr>
              <w:t>）</w:t>
            </w:r>
          </w:p>
        </w:tc>
      </w:tr>
      <w:tr w14:paraId="76DE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0" w:type="auto"/>
            <w:noWrap w:val="0"/>
            <w:vAlign w:val="center"/>
          </w:tcPr>
          <w:p w14:paraId="6C09840E">
            <w:pPr>
              <w:pStyle w:val="43"/>
              <w:keepNext/>
              <w:pageBreakBefore w:val="0"/>
              <w:kinsoku/>
              <w:overflowPunct/>
              <w:topLinePunct w:val="0"/>
              <w:autoSpaceDE/>
              <w:autoSpaceDN/>
              <w:bidi w:val="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w:t>
            </w:r>
          </w:p>
        </w:tc>
        <w:tc>
          <w:tcPr>
            <w:tcW w:w="3615" w:type="dxa"/>
            <w:noWrap w:val="0"/>
            <w:vAlign w:val="center"/>
          </w:tcPr>
          <w:p w14:paraId="320924BF">
            <w:pPr>
              <w:pStyle w:val="43"/>
              <w:keepNext/>
              <w:pageBreakBefore w:val="0"/>
              <w:kinsoku/>
              <w:overflowPunct/>
              <w:topLinePunct w:val="0"/>
              <w:autoSpaceDE/>
              <w:autoSpaceDN/>
              <w:bidi w:val="0"/>
              <w:textAlignment w:val="auto"/>
              <w:rPr>
                <w:rFonts w:hint="eastAsia" w:ascii="Times New Roman" w:hAnsi="Times New Roman" w:eastAsia="宋体" w:cs="黑体"/>
                <w:bCs/>
                <w:color w:val="000000" w:themeColor="text1"/>
                <w:kern w:val="2"/>
                <w:sz w:val="21"/>
                <w:szCs w:val="21"/>
                <w:highlight w:val="none"/>
                <w:lang w:val="en-US" w:eastAsia="zh-CN" w:bidi="ar-SA"/>
                <w14:textFill>
                  <w14:solidFill>
                    <w14:schemeClr w14:val="tx1"/>
                  </w14:solidFill>
                </w14:textFill>
              </w:rPr>
            </w:pPr>
            <w:r>
              <w:rPr>
                <w:rFonts w:hint="eastAsia" w:cs="黑体"/>
                <w:bCs/>
                <w:color w:val="000000" w:themeColor="text1"/>
                <w:kern w:val="2"/>
                <w:sz w:val="21"/>
                <w:szCs w:val="21"/>
                <w:highlight w:val="none"/>
                <w:lang w:val="en-US" w:eastAsia="zh-CN" w:bidi="ar-SA"/>
                <w14:textFill>
                  <w14:solidFill>
                    <w14:schemeClr w14:val="tx1"/>
                  </w14:solidFill>
                </w14:textFill>
              </w:rPr>
              <w:t>4#项目东北侧</w:t>
            </w:r>
            <w:r>
              <w:rPr>
                <w:rFonts w:hint="eastAsia" w:ascii="Times New Roman" w:hAnsi="Times New Roman" w:eastAsia="宋体" w:cs="黑体"/>
                <w:bCs/>
                <w:color w:val="000000" w:themeColor="text1"/>
                <w:kern w:val="2"/>
                <w:sz w:val="21"/>
                <w:szCs w:val="21"/>
                <w:highlight w:val="none"/>
                <w:lang w:val="en-US" w:eastAsia="zh-CN" w:bidi="ar-SA"/>
                <w14:textFill>
                  <w14:solidFill>
                    <w14:schemeClr w14:val="tx1"/>
                  </w14:solidFill>
                </w14:textFill>
              </w:rPr>
              <w:t>耕地</w:t>
            </w:r>
          </w:p>
        </w:tc>
        <w:tc>
          <w:tcPr>
            <w:tcW w:w="1797" w:type="dxa"/>
            <w:shd w:val="clear" w:color="auto" w:fill="auto"/>
            <w:noWrap w:val="0"/>
            <w:vAlign w:val="center"/>
          </w:tcPr>
          <w:p w14:paraId="726E8AFC">
            <w:pPr>
              <w:pStyle w:val="43"/>
              <w:keepNext/>
              <w:pageBreakBefore w:val="0"/>
              <w:kinsoku/>
              <w:overflowPunct/>
              <w:topLinePunct w:val="0"/>
              <w:autoSpaceDE/>
              <w:autoSpaceDN/>
              <w:bidi w:val="0"/>
              <w:ind w:firstLine="0" w:firstLineChars="0"/>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表层样点</w:t>
            </w:r>
          </w:p>
        </w:tc>
        <w:tc>
          <w:tcPr>
            <w:tcW w:w="1046" w:type="dxa"/>
            <w:shd w:val="clear" w:color="auto" w:fill="auto"/>
            <w:noWrap w:val="0"/>
            <w:vAlign w:val="center"/>
          </w:tcPr>
          <w:p w14:paraId="28F1CCA4">
            <w:pPr>
              <w:pStyle w:val="43"/>
              <w:keepNext/>
              <w:pageBreakBefore w:val="0"/>
              <w:kinsoku/>
              <w:overflowPunct/>
              <w:topLinePunct w:val="0"/>
              <w:autoSpaceDE/>
              <w:autoSpaceDN/>
              <w:bidi w:val="0"/>
              <w:ind w:firstLine="0" w:firstLineChars="0"/>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0~0.2m</w:t>
            </w:r>
          </w:p>
        </w:tc>
        <w:tc>
          <w:tcPr>
            <w:tcW w:w="1477" w:type="dxa"/>
            <w:noWrap w:val="0"/>
            <w:vAlign w:val="center"/>
          </w:tcPr>
          <w:p w14:paraId="6A99BD19">
            <w:pPr>
              <w:pStyle w:val="43"/>
              <w:keepNext/>
              <w:pageBreakBefore w:val="0"/>
              <w:kinsoku/>
              <w:overflowPunct/>
              <w:topLinePunct w:val="0"/>
              <w:autoSpaceDE/>
              <w:autoSpaceDN/>
              <w:bidi w:val="0"/>
              <w:textAlignment w:val="auto"/>
              <w:rPr>
                <w:rFonts w:hint="default" w:ascii="Times New Roman" w:hAnsi="Times New Roman" w:eastAsia="宋体" w:cs="黑体"/>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占地范围外</w:t>
            </w:r>
          </w:p>
        </w:tc>
      </w:tr>
    </w:tbl>
    <w:p w14:paraId="4A621553">
      <w:pPr>
        <w:pStyle w:val="41"/>
        <w:bidi w:val="0"/>
        <w:rPr>
          <w:rFonts w:hint="default"/>
          <w:b/>
          <w:bCs/>
        </w:rPr>
      </w:pPr>
      <w:r>
        <w:rPr>
          <w:rFonts w:hint="default"/>
          <w:b/>
          <w:bCs/>
        </w:rPr>
        <w:t>（2）监测因子</w:t>
      </w:r>
    </w:p>
    <w:p w14:paraId="776501EB">
      <w:pPr>
        <w:pStyle w:val="41"/>
        <w:bidi w:val="0"/>
        <w:rPr>
          <w:rFonts w:hint="default"/>
          <w:lang w:val="en-US" w:eastAsia="zh-CN"/>
        </w:rPr>
      </w:pPr>
      <w:r>
        <w:rPr>
          <w:rFonts w:hint="eastAsia"/>
          <w:lang w:val="en-US" w:eastAsia="zh-CN"/>
        </w:rPr>
        <w:t>1~3#点占地范围内监测《</w:t>
      </w:r>
      <w:r>
        <w:rPr>
          <w:rFonts w:hint="default"/>
          <w:lang w:val="en-US" w:eastAsia="zh-CN"/>
        </w:rPr>
        <w:t>土壤环境质量建设用地土壤污染风险管控标准》中45个基本项：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pH及石油烃（C10~C40）共47项。</w:t>
      </w:r>
    </w:p>
    <w:p w14:paraId="541C0F1B">
      <w:pPr>
        <w:pStyle w:val="41"/>
        <w:bidi w:val="0"/>
        <w:rPr>
          <w:rFonts w:hint="default"/>
          <w:lang w:val="en-US" w:eastAsia="zh-CN"/>
        </w:rPr>
      </w:pPr>
      <w:r>
        <w:rPr>
          <w:rFonts w:hint="eastAsia"/>
          <w:lang w:val="en-US" w:eastAsia="zh-CN"/>
        </w:rPr>
        <w:t>4#占地范围外监测《土壤环境质量 农用地土壤污染风险管控标准（试行）》（GB 15618-2018）8个基本项+pH共9项。</w:t>
      </w:r>
    </w:p>
    <w:p w14:paraId="22BDE684">
      <w:pPr>
        <w:pStyle w:val="41"/>
        <w:bidi w:val="0"/>
        <w:rPr>
          <w:rFonts w:hint="default"/>
          <w:lang w:val="en-US"/>
        </w:rPr>
      </w:pPr>
      <w:r>
        <w:rPr>
          <w:rFonts w:hint="default"/>
          <w:lang w:val="en-US" w:eastAsia="zh-CN"/>
        </w:rPr>
        <w:t>其中</w:t>
      </w:r>
      <w:r>
        <w:rPr>
          <w:rFonts w:hint="eastAsia"/>
          <w:lang w:val="en-US" w:eastAsia="zh-CN"/>
        </w:rPr>
        <w:t>1</w:t>
      </w:r>
      <w:r>
        <w:rPr>
          <w:rFonts w:hint="default"/>
          <w:lang w:val="en-US" w:eastAsia="zh-CN"/>
        </w:rPr>
        <w:t>#点还需加测土壤理化性质（阳离子交换量、氧化还原电位、饱和导水率/（cm/s）、土壤容重/（kg/</w:t>
      </w:r>
      <w:r>
        <w:rPr>
          <w:rFonts w:hint="eastAsia"/>
          <w:lang w:val="en-US" w:eastAsia="zh-CN"/>
        </w:rPr>
        <w:t>m</w:t>
      </w:r>
      <w:r>
        <w:rPr>
          <w:rFonts w:hint="eastAsia"/>
          <w:vertAlign w:val="superscript"/>
          <w:lang w:val="en-US" w:eastAsia="zh-CN"/>
        </w:rPr>
        <w:t>3</w:t>
      </w:r>
      <w:r>
        <w:rPr>
          <w:rFonts w:hint="default"/>
          <w:lang w:val="en-US" w:eastAsia="zh-CN"/>
        </w:rPr>
        <w:t>）、孔隙度、含盐量）。</w:t>
      </w:r>
    </w:p>
    <w:p w14:paraId="16403ACF">
      <w:pPr>
        <w:pStyle w:val="41"/>
        <w:bidi w:val="0"/>
        <w:rPr>
          <w:rFonts w:hint="default"/>
          <w:b/>
          <w:bCs/>
        </w:rPr>
      </w:pPr>
      <w:r>
        <w:rPr>
          <w:rFonts w:hint="default"/>
          <w:b/>
          <w:bCs/>
        </w:rPr>
        <w:t>（3）执行标准</w:t>
      </w:r>
    </w:p>
    <w:p w14:paraId="10B86D2C">
      <w:pPr>
        <w:pStyle w:val="41"/>
        <w:bidi w:val="0"/>
        <w:rPr>
          <w:rFonts w:hint="default"/>
        </w:rPr>
      </w:pPr>
      <w:r>
        <w:rPr>
          <w:rFonts w:hint="eastAsia"/>
          <w:lang w:val="en-US" w:eastAsia="zh-CN"/>
        </w:rPr>
        <w:t>项目区内监测点执行</w:t>
      </w:r>
      <w:r>
        <w:rPr>
          <w:rFonts w:hint="eastAsia"/>
          <w:lang w:eastAsia="zh-CN"/>
        </w:rPr>
        <w:t>《</w:t>
      </w:r>
      <w:r>
        <w:rPr>
          <w:rFonts w:hint="default"/>
        </w:rPr>
        <w:t>土壤环境质量</w:t>
      </w:r>
      <w:r>
        <w:rPr>
          <w:rFonts w:hint="default"/>
          <w:lang w:eastAsia="zh-CN"/>
        </w:rPr>
        <w:t>建设用地</w:t>
      </w:r>
      <w:r>
        <w:rPr>
          <w:rFonts w:hint="default"/>
        </w:rPr>
        <w:t>土壤污染风险管控标准（试行）》（GB</w:t>
      </w:r>
      <w:r>
        <w:rPr>
          <w:rFonts w:hint="default"/>
          <w:lang w:val="en-US" w:eastAsia="zh-CN"/>
        </w:rPr>
        <w:t>36600</w:t>
      </w:r>
      <w:r>
        <w:rPr>
          <w:rFonts w:hint="default"/>
        </w:rPr>
        <w:t>-2018）中</w:t>
      </w:r>
      <w:r>
        <w:rPr>
          <w:rFonts w:hint="default"/>
          <w:lang w:eastAsia="zh-CN"/>
        </w:rPr>
        <w:t>建设用地</w:t>
      </w:r>
      <w:r>
        <w:rPr>
          <w:rFonts w:hint="default"/>
        </w:rPr>
        <w:t>土壤污染风险筛选值标准</w:t>
      </w:r>
      <w:r>
        <w:rPr>
          <w:rFonts w:hint="default"/>
          <w:lang w:eastAsia="zh-CN"/>
        </w:rPr>
        <w:t>（第二类用地）</w:t>
      </w:r>
      <w:r>
        <w:rPr>
          <w:rFonts w:hint="eastAsia"/>
          <w:lang w:eastAsia="zh-CN"/>
        </w:rPr>
        <w:t>，</w:t>
      </w:r>
      <w:r>
        <w:rPr>
          <w:rFonts w:hint="eastAsia"/>
          <w:lang w:val="en-US" w:eastAsia="zh-CN"/>
        </w:rPr>
        <w:t>项目区外农用地监测点执行</w:t>
      </w:r>
      <w:r>
        <w:rPr>
          <w:rFonts w:hint="eastAsia"/>
          <w:lang w:eastAsia="zh-CN"/>
        </w:rPr>
        <w:t>《</w:t>
      </w:r>
      <w:r>
        <w:rPr>
          <w:rFonts w:hint="default"/>
        </w:rPr>
        <w:t>土壤环境质量 农用地土壤污染风险管控标准（试行）》（GB 15618-2018）风险筛选值标准。</w:t>
      </w:r>
    </w:p>
    <w:p w14:paraId="0059833A">
      <w:pPr>
        <w:pStyle w:val="41"/>
        <w:bidi w:val="0"/>
        <w:rPr>
          <w:rFonts w:hint="default"/>
          <w:b/>
          <w:bCs/>
        </w:rPr>
      </w:pPr>
      <w:r>
        <w:rPr>
          <w:rFonts w:hint="default"/>
          <w:b/>
          <w:bCs/>
        </w:rPr>
        <w:t>（4）监测结果</w:t>
      </w:r>
    </w:p>
    <w:p w14:paraId="36F1088C">
      <w:pPr>
        <w:pStyle w:val="41"/>
        <w:bidi w:val="0"/>
        <w:rPr>
          <w:rFonts w:hint="default"/>
        </w:rPr>
      </w:pPr>
      <w:r>
        <w:rPr>
          <w:rFonts w:hint="default"/>
        </w:rPr>
        <w:t>土壤监测结果见</w:t>
      </w:r>
      <w:r>
        <w:rPr>
          <w:rFonts w:hint="default"/>
          <w:lang w:val="en-US" w:eastAsia="zh-CN"/>
        </w:rPr>
        <w:t>下表</w:t>
      </w:r>
      <w:r>
        <w:rPr>
          <w:rFonts w:hint="default"/>
        </w:rPr>
        <w:t>。</w:t>
      </w:r>
    </w:p>
    <w:p w14:paraId="78D1D8EF">
      <w:pPr>
        <w:pStyle w:val="45"/>
        <w:bidi w:val="0"/>
        <w:rPr>
          <w:rFonts w:hint="default"/>
        </w:rPr>
      </w:pPr>
      <w:bookmarkStart w:id="359" w:name="_Ref32704"/>
      <w:r>
        <w:rPr>
          <w:rFonts w:hint="default"/>
        </w:rPr>
        <w:t>表</w:t>
      </w:r>
      <w:bookmarkEnd w:id="359"/>
      <w:r>
        <w:rPr>
          <w:rFonts w:hint="eastAsia"/>
          <w:lang w:val="en-US" w:eastAsia="zh-CN"/>
        </w:rPr>
        <w:t>5</w:t>
      </w:r>
      <w:r>
        <w:rPr>
          <w:rFonts w:hint="default"/>
          <w:lang w:val="en-US" w:eastAsia="zh-CN"/>
        </w:rPr>
        <w:t xml:space="preserve">.7-2 </w:t>
      </w:r>
      <w:r>
        <w:rPr>
          <w:rFonts w:hint="default"/>
        </w:rPr>
        <w:t xml:space="preserve"> 项目区域</w:t>
      </w:r>
      <w:r>
        <w:rPr>
          <w:rFonts w:hint="eastAsia"/>
          <w:lang w:val="en-US" w:eastAsia="zh-CN"/>
        </w:rPr>
        <w:t>建设用地</w:t>
      </w:r>
      <w:r>
        <w:rPr>
          <w:rFonts w:hint="default"/>
        </w:rPr>
        <w:t>土壤环境现状监测结果</w:t>
      </w:r>
    </w:p>
    <w:tbl>
      <w:tblPr>
        <w:tblStyle w:val="3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501"/>
        <w:gridCol w:w="1500"/>
        <w:gridCol w:w="2022"/>
        <w:gridCol w:w="1121"/>
        <w:gridCol w:w="727"/>
      </w:tblGrid>
      <w:tr w14:paraId="48BE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657" w:type="dxa"/>
            <w:vAlign w:val="center"/>
          </w:tcPr>
          <w:p w14:paraId="729942D5">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检测</w:t>
            </w:r>
            <w:r>
              <w:rPr>
                <w:rFonts w:hint="default"/>
                <w:b/>
                <w:bCs/>
                <w:color w:val="000000" w:themeColor="text1"/>
                <w:highlight w:val="none"/>
                <w14:textFill>
                  <w14:solidFill>
                    <w14:schemeClr w14:val="tx1"/>
                  </w14:solidFill>
                </w14:textFill>
              </w:rPr>
              <w:t>点位</w:t>
            </w:r>
          </w:p>
        </w:tc>
        <w:tc>
          <w:tcPr>
            <w:tcW w:w="1501" w:type="dxa"/>
            <w:shd w:val="clear" w:color="auto" w:fill="auto"/>
            <w:vAlign w:val="center"/>
          </w:tcPr>
          <w:p w14:paraId="2613857C">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1#矿区内</w:t>
            </w:r>
          </w:p>
        </w:tc>
        <w:tc>
          <w:tcPr>
            <w:tcW w:w="1500" w:type="dxa"/>
            <w:shd w:val="clear" w:color="auto" w:fill="auto"/>
            <w:vAlign w:val="center"/>
          </w:tcPr>
          <w:p w14:paraId="0517F7D4">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2#矿区内</w:t>
            </w:r>
          </w:p>
        </w:tc>
        <w:tc>
          <w:tcPr>
            <w:tcW w:w="2022" w:type="dxa"/>
            <w:shd w:val="clear" w:color="auto" w:fill="auto"/>
            <w:vAlign w:val="center"/>
          </w:tcPr>
          <w:p w14:paraId="23223AD7">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3#加工区</w:t>
            </w:r>
          </w:p>
        </w:tc>
        <w:tc>
          <w:tcPr>
            <w:tcW w:w="1121" w:type="dxa"/>
            <w:vMerge w:val="restart"/>
            <w:vAlign w:val="center"/>
          </w:tcPr>
          <w:p w14:paraId="3E72CC26">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标准限值</w:t>
            </w:r>
          </w:p>
        </w:tc>
        <w:tc>
          <w:tcPr>
            <w:tcW w:w="727" w:type="dxa"/>
            <w:vMerge w:val="restart"/>
            <w:vAlign w:val="center"/>
          </w:tcPr>
          <w:p w14:paraId="09ED7A5C">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达标情况</w:t>
            </w:r>
          </w:p>
        </w:tc>
      </w:tr>
      <w:tr w14:paraId="17F6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657" w:type="dxa"/>
            <w:vAlign w:val="center"/>
          </w:tcPr>
          <w:p w14:paraId="0EEF1126">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采样时间</w:t>
            </w:r>
          </w:p>
        </w:tc>
        <w:tc>
          <w:tcPr>
            <w:tcW w:w="1501" w:type="dxa"/>
            <w:shd w:val="clear" w:color="auto" w:fill="auto"/>
            <w:vAlign w:val="center"/>
          </w:tcPr>
          <w:p w14:paraId="5AFC308D">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2025.11.17</w:t>
            </w:r>
          </w:p>
        </w:tc>
        <w:tc>
          <w:tcPr>
            <w:tcW w:w="1500" w:type="dxa"/>
            <w:shd w:val="clear" w:color="auto" w:fill="auto"/>
            <w:vAlign w:val="center"/>
          </w:tcPr>
          <w:p w14:paraId="18AB957B">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2025.11.17</w:t>
            </w:r>
          </w:p>
        </w:tc>
        <w:tc>
          <w:tcPr>
            <w:tcW w:w="2022" w:type="dxa"/>
            <w:shd w:val="clear" w:color="auto" w:fill="auto"/>
            <w:vAlign w:val="center"/>
          </w:tcPr>
          <w:p w14:paraId="1C04CD21">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2025.11.17</w:t>
            </w:r>
          </w:p>
        </w:tc>
        <w:tc>
          <w:tcPr>
            <w:tcW w:w="1121" w:type="dxa"/>
            <w:vMerge w:val="continue"/>
            <w:vAlign w:val="center"/>
          </w:tcPr>
          <w:p w14:paraId="6BB17E8B">
            <w:pPr>
              <w:pStyle w:val="43"/>
              <w:widowControl w:val="0"/>
              <w:bidi w:val="0"/>
              <w:rPr>
                <w:rFonts w:hint="default"/>
                <w:color w:val="000000" w:themeColor="text1"/>
                <w:highlight w:val="none"/>
                <w:lang w:val="en-US" w:eastAsia="zh-CN"/>
                <w14:textFill>
                  <w14:solidFill>
                    <w14:schemeClr w14:val="tx1"/>
                  </w14:solidFill>
                </w14:textFill>
              </w:rPr>
            </w:pPr>
          </w:p>
        </w:tc>
        <w:tc>
          <w:tcPr>
            <w:tcW w:w="727" w:type="dxa"/>
            <w:vMerge w:val="continue"/>
            <w:vAlign w:val="center"/>
          </w:tcPr>
          <w:p w14:paraId="13BD9001">
            <w:pPr>
              <w:pStyle w:val="43"/>
              <w:widowControl w:val="0"/>
              <w:bidi w:val="0"/>
              <w:rPr>
                <w:rFonts w:hint="default"/>
                <w:color w:val="000000" w:themeColor="text1"/>
                <w:highlight w:val="none"/>
                <w:lang w:val="en-US" w:eastAsia="zh-CN"/>
                <w14:textFill>
                  <w14:solidFill>
                    <w14:schemeClr w14:val="tx1"/>
                  </w14:solidFill>
                </w14:textFill>
              </w:rPr>
            </w:pPr>
          </w:p>
        </w:tc>
      </w:tr>
      <w:tr w14:paraId="2038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657" w:type="dxa"/>
            <w:vAlign w:val="center"/>
          </w:tcPr>
          <w:p w14:paraId="6DA40637">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采样深度（cm）</w:t>
            </w:r>
          </w:p>
        </w:tc>
        <w:tc>
          <w:tcPr>
            <w:tcW w:w="1501" w:type="dxa"/>
            <w:shd w:val="clear" w:color="auto" w:fill="auto"/>
            <w:vAlign w:val="center"/>
          </w:tcPr>
          <w:p w14:paraId="3BA8AAF7">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0~0.2</w:t>
            </w:r>
          </w:p>
        </w:tc>
        <w:tc>
          <w:tcPr>
            <w:tcW w:w="1500" w:type="dxa"/>
            <w:shd w:val="clear" w:color="auto" w:fill="auto"/>
            <w:vAlign w:val="center"/>
          </w:tcPr>
          <w:p w14:paraId="5F649887">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0~0.2</w:t>
            </w:r>
          </w:p>
        </w:tc>
        <w:tc>
          <w:tcPr>
            <w:tcW w:w="2022" w:type="dxa"/>
            <w:shd w:val="clear" w:color="auto" w:fill="auto"/>
            <w:vAlign w:val="center"/>
          </w:tcPr>
          <w:p w14:paraId="2AAB1E39">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0~0.2</w:t>
            </w:r>
          </w:p>
        </w:tc>
        <w:tc>
          <w:tcPr>
            <w:tcW w:w="1121" w:type="dxa"/>
            <w:vMerge w:val="continue"/>
            <w:vAlign w:val="center"/>
          </w:tcPr>
          <w:p w14:paraId="20EA7538">
            <w:pPr>
              <w:pStyle w:val="43"/>
              <w:widowControl w:val="0"/>
              <w:bidi w:val="0"/>
              <w:rPr>
                <w:rFonts w:hint="default"/>
                <w:color w:val="000000" w:themeColor="text1"/>
                <w:highlight w:val="none"/>
                <w:lang w:val="en-US" w:eastAsia="zh-CN"/>
                <w14:textFill>
                  <w14:solidFill>
                    <w14:schemeClr w14:val="tx1"/>
                  </w14:solidFill>
                </w14:textFill>
              </w:rPr>
            </w:pPr>
          </w:p>
        </w:tc>
        <w:tc>
          <w:tcPr>
            <w:tcW w:w="727" w:type="dxa"/>
            <w:vMerge w:val="continue"/>
            <w:vAlign w:val="center"/>
          </w:tcPr>
          <w:p w14:paraId="4B33A85A">
            <w:pPr>
              <w:pStyle w:val="43"/>
              <w:widowControl w:val="0"/>
              <w:bidi w:val="0"/>
              <w:rPr>
                <w:rFonts w:hint="default"/>
                <w:color w:val="000000" w:themeColor="text1"/>
                <w:highlight w:val="none"/>
                <w:lang w:val="en-US" w:eastAsia="zh-CN"/>
                <w14:textFill>
                  <w14:solidFill>
                    <w14:schemeClr w14:val="tx1"/>
                  </w14:solidFill>
                </w14:textFill>
              </w:rPr>
            </w:pPr>
          </w:p>
        </w:tc>
      </w:tr>
      <w:tr w14:paraId="6AB5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657" w:type="dxa"/>
            <w:vAlign w:val="center"/>
          </w:tcPr>
          <w:p w14:paraId="30241BA7">
            <w:pPr>
              <w:pStyle w:val="43"/>
              <w:widowControl w:val="0"/>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14:textFill>
                  <w14:solidFill>
                    <w14:schemeClr w14:val="tx1"/>
                  </w14:solidFill>
                </w14:textFill>
              </w:rPr>
              <w:t>样品编号</w:t>
            </w:r>
          </w:p>
        </w:tc>
        <w:tc>
          <w:tcPr>
            <w:tcW w:w="1501" w:type="dxa"/>
            <w:shd w:val="clear" w:color="auto" w:fill="auto"/>
            <w:vAlign w:val="center"/>
          </w:tcPr>
          <w:p w14:paraId="1B210B26">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2511390</w:t>
            </w:r>
            <w:r>
              <w:rPr>
                <w:rFonts w:hint="default"/>
                <w:b/>
                <w:bCs/>
                <w:color w:val="000000" w:themeColor="text1"/>
                <w:highlight w:val="none"/>
                <w:lang w:val="en-US" w:eastAsia="zh-CN"/>
                <w14:textFill>
                  <w14:solidFill>
                    <w14:schemeClr w14:val="tx1"/>
                  </w14:solidFill>
                </w14:textFill>
              </w:rPr>
              <w:t>-TR01-001</w:t>
            </w:r>
          </w:p>
        </w:tc>
        <w:tc>
          <w:tcPr>
            <w:tcW w:w="1500" w:type="dxa"/>
            <w:shd w:val="clear" w:color="auto" w:fill="auto"/>
            <w:vAlign w:val="center"/>
          </w:tcPr>
          <w:p w14:paraId="718FFDCD">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2511390</w:t>
            </w:r>
            <w:r>
              <w:rPr>
                <w:rFonts w:hint="default"/>
                <w:b/>
                <w:bCs/>
                <w:color w:val="000000" w:themeColor="text1"/>
                <w:highlight w:val="none"/>
                <w:lang w:val="en-US" w:eastAsia="zh-CN"/>
                <w14:textFill>
                  <w14:solidFill>
                    <w14:schemeClr w14:val="tx1"/>
                  </w14:solidFill>
                </w14:textFill>
              </w:rPr>
              <w:t>-TR02-001</w:t>
            </w:r>
          </w:p>
        </w:tc>
        <w:tc>
          <w:tcPr>
            <w:tcW w:w="2022" w:type="dxa"/>
            <w:shd w:val="clear" w:color="auto" w:fill="auto"/>
            <w:vAlign w:val="center"/>
          </w:tcPr>
          <w:p w14:paraId="2EF387CF">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2511390</w:t>
            </w:r>
            <w:r>
              <w:rPr>
                <w:rFonts w:hint="default"/>
                <w:b/>
                <w:bCs/>
                <w:color w:val="000000" w:themeColor="text1"/>
                <w:highlight w:val="none"/>
                <w:lang w:val="en-US" w:eastAsia="zh-CN"/>
                <w14:textFill>
                  <w14:solidFill>
                    <w14:schemeClr w14:val="tx1"/>
                  </w14:solidFill>
                </w14:textFill>
              </w:rPr>
              <w:t>-TR03-001</w:t>
            </w:r>
          </w:p>
        </w:tc>
        <w:tc>
          <w:tcPr>
            <w:tcW w:w="1121" w:type="dxa"/>
            <w:vMerge w:val="continue"/>
            <w:vAlign w:val="center"/>
          </w:tcPr>
          <w:p w14:paraId="275D42F9">
            <w:pPr>
              <w:pStyle w:val="43"/>
              <w:widowControl w:val="0"/>
              <w:bidi w:val="0"/>
              <w:rPr>
                <w:rFonts w:hint="default"/>
                <w:color w:val="000000" w:themeColor="text1"/>
                <w:highlight w:val="none"/>
                <w:lang w:val="en-US" w:eastAsia="zh-CN"/>
                <w14:textFill>
                  <w14:solidFill>
                    <w14:schemeClr w14:val="tx1"/>
                  </w14:solidFill>
                </w14:textFill>
              </w:rPr>
            </w:pPr>
          </w:p>
        </w:tc>
        <w:tc>
          <w:tcPr>
            <w:tcW w:w="727" w:type="dxa"/>
            <w:vMerge w:val="continue"/>
            <w:vAlign w:val="center"/>
          </w:tcPr>
          <w:p w14:paraId="29579DE4">
            <w:pPr>
              <w:pStyle w:val="43"/>
              <w:widowControl w:val="0"/>
              <w:bidi w:val="0"/>
              <w:rPr>
                <w:rFonts w:hint="default"/>
                <w:color w:val="000000" w:themeColor="text1"/>
                <w:highlight w:val="none"/>
                <w:lang w:val="en-US" w:eastAsia="zh-CN"/>
                <w14:textFill>
                  <w14:solidFill>
                    <w14:schemeClr w14:val="tx1"/>
                  </w14:solidFill>
                </w14:textFill>
              </w:rPr>
            </w:pPr>
          </w:p>
        </w:tc>
      </w:tr>
      <w:tr w14:paraId="0F5F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DC94A1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pH值（无量纲）</w:t>
            </w:r>
          </w:p>
        </w:tc>
        <w:tc>
          <w:tcPr>
            <w:tcW w:w="1501" w:type="dxa"/>
            <w:vAlign w:val="center"/>
          </w:tcPr>
          <w:p w14:paraId="6EC259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8.18</w:t>
            </w:r>
          </w:p>
        </w:tc>
        <w:tc>
          <w:tcPr>
            <w:tcW w:w="1500" w:type="dxa"/>
            <w:vAlign w:val="center"/>
          </w:tcPr>
          <w:p w14:paraId="6DA6267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8.26</w:t>
            </w:r>
          </w:p>
        </w:tc>
        <w:tc>
          <w:tcPr>
            <w:tcW w:w="2022" w:type="dxa"/>
            <w:vAlign w:val="center"/>
          </w:tcPr>
          <w:p w14:paraId="2A4B6D3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6.60</w:t>
            </w:r>
          </w:p>
        </w:tc>
        <w:tc>
          <w:tcPr>
            <w:tcW w:w="1121" w:type="dxa"/>
            <w:vAlign w:val="center"/>
          </w:tcPr>
          <w:p w14:paraId="268679F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27" w:type="dxa"/>
            <w:vAlign w:val="center"/>
          </w:tcPr>
          <w:p w14:paraId="6BC6FD0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r>
      <w:tr w14:paraId="7F65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3AF73B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砷</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1D023ED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24.4</w:t>
            </w:r>
          </w:p>
        </w:tc>
        <w:tc>
          <w:tcPr>
            <w:tcW w:w="1500" w:type="dxa"/>
            <w:shd w:val="clear" w:color="auto" w:fill="auto"/>
            <w:vAlign w:val="center"/>
          </w:tcPr>
          <w:p w14:paraId="1C3ECAA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25.5</w:t>
            </w:r>
          </w:p>
        </w:tc>
        <w:tc>
          <w:tcPr>
            <w:tcW w:w="2022" w:type="dxa"/>
            <w:shd w:val="clear" w:color="auto" w:fill="auto"/>
            <w:vAlign w:val="center"/>
          </w:tcPr>
          <w:p w14:paraId="1CD13EF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31.4</w:t>
            </w:r>
          </w:p>
        </w:tc>
        <w:tc>
          <w:tcPr>
            <w:tcW w:w="1121" w:type="dxa"/>
            <w:vAlign w:val="center"/>
          </w:tcPr>
          <w:p w14:paraId="6C250E6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60</w:t>
            </w:r>
          </w:p>
        </w:tc>
        <w:tc>
          <w:tcPr>
            <w:tcW w:w="727" w:type="dxa"/>
            <w:vAlign w:val="center"/>
          </w:tcPr>
          <w:p w14:paraId="5E86582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E4F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7D94DAC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汞</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61312F6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0.143</w:t>
            </w:r>
          </w:p>
        </w:tc>
        <w:tc>
          <w:tcPr>
            <w:tcW w:w="1500" w:type="dxa"/>
            <w:shd w:val="clear" w:color="auto" w:fill="auto"/>
            <w:vAlign w:val="center"/>
          </w:tcPr>
          <w:p w14:paraId="1E6E5D8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9.38×10</w:t>
            </w:r>
            <w:r>
              <w:rPr>
                <w:rFonts w:hint="default"/>
                <w:color w:val="000000" w:themeColor="text1"/>
                <w:highlight w:val="none"/>
                <w:vertAlign w:val="superscript"/>
                <w:lang w:val="en-US" w:eastAsia="zh-CN"/>
                <w14:textFill>
                  <w14:solidFill>
                    <w14:schemeClr w14:val="tx1"/>
                  </w14:solidFill>
                </w14:textFill>
              </w:rPr>
              <w:t>-2</w:t>
            </w:r>
          </w:p>
        </w:tc>
        <w:tc>
          <w:tcPr>
            <w:tcW w:w="2022" w:type="dxa"/>
            <w:shd w:val="clear" w:color="auto" w:fill="auto"/>
            <w:vAlign w:val="center"/>
          </w:tcPr>
          <w:p w14:paraId="1DA322F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4.16×10</w:t>
            </w:r>
            <w:r>
              <w:rPr>
                <w:rFonts w:hint="default"/>
                <w:color w:val="000000" w:themeColor="text1"/>
                <w:highlight w:val="none"/>
                <w:vertAlign w:val="superscript"/>
                <w:lang w:val="en-US" w:eastAsia="zh-CN"/>
                <w14:textFill>
                  <w14:solidFill>
                    <w14:schemeClr w14:val="tx1"/>
                  </w14:solidFill>
                </w14:textFill>
              </w:rPr>
              <w:t>-2</w:t>
            </w:r>
          </w:p>
        </w:tc>
        <w:tc>
          <w:tcPr>
            <w:tcW w:w="1121" w:type="dxa"/>
            <w:vAlign w:val="center"/>
          </w:tcPr>
          <w:p w14:paraId="3FDF85F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38</w:t>
            </w:r>
          </w:p>
        </w:tc>
        <w:tc>
          <w:tcPr>
            <w:tcW w:w="727" w:type="dxa"/>
            <w:vAlign w:val="center"/>
          </w:tcPr>
          <w:p w14:paraId="75F9DFB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C77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561A36C5">
            <w:pPr>
              <w:pStyle w:val="43"/>
              <w:widowControl w:val="0"/>
              <w:bidi w:val="0"/>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铅</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6A8A4E3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33.7</w:t>
            </w:r>
          </w:p>
        </w:tc>
        <w:tc>
          <w:tcPr>
            <w:tcW w:w="1500" w:type="dxa"/>
            <w:shd w:val="clear" w:color="auto" w:fill="auto"/>
            <w:vAlign w:val="center"/>
          </w:tcPr>
          <w:p w14:paraId="48E176E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43.0</w:t>
            </w:r>
          </w:p>
        </w:tc>
        <w:tc>
          <w:tcPr>
            <w:tcW w:w="2022" w:type="dxa"/>
            <w:shd w:val="clear" w:color="auto" w:fill="auto"/>
            <w:vAlign w:val="center"/>
          </w:tcPr>
          <w:p w14:paraId="1E0EECC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25.3</w:t>
            </w:r>
          </w:p>
        </w:tc>
        <w:tc>
          <w:tcPr>
            <w:tcW w:w="1121" w:type="dxa"/>
            <w:vAlign w:val="center"/>
          </w:tcPr>
          <w:p w14:paraId="51B71C0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800</w:t>
            </w:r>
          </w:p>
        </w:tc>
        <w:tc>
          <w:tcPr>
            <w:tcW w:w="727" w:type="dxa"/>
            <w:vAlign w:val="center"/>
          </w:tcPr>
          <w:p w14:paraId="48585AF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0A5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A1117A1">
            <w:pPr>
              <w:pStyle w:val="43"/>
              <w:widowControl w:val="0"/>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14:textFill>
                  <w14:solidFill>
                    <w14:schemeClr w14:val="tx1"/>
                  </w14:solidFill>
                </w14:textFill>
              </w:rPr>
              <w:t>铜</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66E42A6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72</w:t>
            </w:r>
          </w:p>
        </w:tc>
        <w:tc>
          <w:tcPr>
            <w:tcW w:w="1500" w:type="dxa"/>
            <w:shd w:val="clear" w:color="auto" w:fill="auto"/>
            <w:vAlign w:val="center"/>
          </w:tcPr>
          <w:p w14:paraId="6BA5431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w:t>
            </w:r>
          </w:p>
        </w:tc>
        <w:tc>
          <w:tcPr>
            <w:tcW w:w="2022" w:type="dxa"/>
            <w:shd w:val="clear" w:color="auto" w:fill="auto"/>
            <w:vAlign w:val="center"/>
          </w:tcPr>
          <w:p w14:paraId="665E5AA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56</w:t>
            </w:r>
          </w:p>
        </w:tc>
        <w:tc>
          <w:tcPr>
            <w:tcW w:w="1121" w:type="dxa"/>
            <w:vAlign w:val="center"/>
          </w:tcPr>
          <w:p w14:paraId="3B6FB96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18000</w:t>
            </w:r>
          </w:p>
        </w:tc>
        <w:tc>
          <w:tcPr>
            <w:tcW w:w="727" w:type="dxa"/>
            <w:vAlign w:val="center"/>
          </w:tcPr>
          <w:p w14:paraId="697A67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772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A84A27E">
            <w:pPr>
              <w:pStyle w:val="43"/>
              <w:widowControl w:val="0"/>
              <w:bidi w:val="0"/>
              <w:rPr>
                <w:rFonts w:hint="default"/>
                <w:color w:val="000000" w:themeColor="text1"/>
                <w:highlight w:val="none"/>
                <w:lang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镍</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59404EC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46</w:t>
            </w:r>
          </w:p>
        </w:tc>
        <w:tc>
          <w:tcPr>
            <w:tcW w:w="1500" w:type="dxa"/>
            <w:shd w:val="clear" w:color="auto" w:fill="auto"/>
            <w:vAlign w:val="center"/>
          </w:tcPr>
          <w:p w14:paraId="53B446D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40</w:t>
            </w:r>
          </w:p>
        </w:tc>
        <w:tc>
          <w:tcPr>
            <w:tcW w:w="2022" w:type="dxa"/>
            <w:shd w:val="clear" w:color="auto" w:fill="auto"/>
            <w:vAlign w:val="center"/>
          </w:tcPr>
          <w:p w14:paraId="49D87BB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56</w:t>
            </w:r>
          </w:p>
        </w:tc>
        <w:tc>
          <w:tcPr>
            <w:tcW w:w="1121" w:type="dxa"/>
            <w:vAlign w:val="center"/>
          </w:tcPr>
          <w:p w14:paraId="7EA5B9B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w:t>
            </w:r>
          </w:p>
        </w:tc>
        <w:tc>
          <w:tcPr>
            <w:tcW w:w="727" w:type="dxa"/>
            <w:vAlign w:val="center"/>
          </w:tcPr>
          <w:p w14:paraId="602BE90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50AB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DC57DD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六价铬</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vAlign w:val="center"/>
          </w:tcPr>
          <w:p w14:paraId="4EA4EE3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238F3AF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0B98EA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vAlign w:val="center"/>
          </w:tcPr>
          <w:p w14:paraId="61190D6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5.7</w:t>
            </w:r>
          </w:p>
        </w:tc>
        <w:tc>
          <w:tcPr>
            <w:tcW w:w="727" w:type="dxa"/>
            <w:vAlign w:val="center"/>
          </w:tcPr>
          <w:p w14:paraId="57E79CF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703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BF0D26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镉</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mg/kg</w:t>
            </w:r>
            <w:r>
              <w:rPr>
                <w:rFonts w:hint="default"/>
                <w:color w:val="000000" w:themeColor="text1"/>
                <w:highlight w:val="none"/>
                <w:lang w:eastAsia="zh-CN"/>
                <w14:textFill>
                  <w14:solidFill>
                    <w14:schemeClr w14:val="tx1"/>
                  </w14:solidFill>
                </w14:textFill>
              </w:rPr>
              <w:t>）</w:t>
            </w:r>
          </w:p>
        </w:tc>
        <w:tc>
          <w:tcPr>
            <w:tcW w:w="1501" w:type="dxa"/>
            <w:shd w:val="clear" w:color="auto" w:fill="auto"/>
            <w:vAlign w:val="center"/>
          </w:tcPr>
          <w:p w14:paraId="464EEC4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0.78</w:t>
            </w:r>
          </w:p>
        </w:tc>
        <w:tc>
          <w:tcPr>
            <w:tcW w:w="1500" w:type="dxa"/>
            <w:shd w:val="clear" w:color="auto" w:fill="auto"/>
            <w:vAlign w:val="center"/>
          </w:tcPr>
          <w:p w14:paraId="6712DFD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1.28</w:t>
            </w:r>
          </w:p>
        </w:tc>
        <w:tc>
          <w:tcPr>
            <w:tcW w:w="2022" w:type="dxa"/>
            <w:shd w:val="clear" w:color="auto" w:fill="auto"/>
            <w:vAlign w:val="center"/>
          </w:tcPr>
          <w:p w14:paraId="1161BF2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0.50</w:t>
            </w:r>
          </w:p>
        </w:tc>
        <w:tc>
          <w:tcPr>
            <w:tcW w:w="1121" w:type="dxa"/>
            <w:vAlign w:val="center"/>
          </w:tcPr>
          <w:p w14:paraId="1C9B2C0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65</w:t>
            </w:r>
          </w:p>
        </w:tc>
        <w:tc>
          <w:tcPr>
            <w:tcW w:w="727" w:type="dxa"/>
            <w:vAlign w:val="center"/>
          </w:tcPr>
          <w:p w14:paraId="61DA5E6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6BF6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E7029B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四氯化碳（μg/kg）</w:t>
            </w:r>
          </w:p>
        </w:tc>
        <w:tc>
          <w:tcPr>
            <w:tcW w:w="1501" w:type="dxa"/>
            <w:vAlign w:val="center"/>
          </w:tcPr>
          <w:p w14:paraId="6C7D7E8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F7C16C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30BC508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ED10E2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2.8</w:t>
            </w:r>
          </w:p>
        </w:tc>
        <w:tc>
          <w:tcPr>
            <w:tcW w:w="727" w:type="dxa"/>
            <w:vAlign w:val="center"/>
          </w:tcPr>
          <w:p w14:paraId="70CA6A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5501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55A063E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氯仿（μg/kg）</w:t>
            </w:r>
          </w:p>
        </w:tc>
        <w:tc>
          <w:tcPr>
            <w:tcW w:w="1501" w:type="dxa"/>
            <w:vAlign w:val="center"/>
          </w:tcPr>
          <w:p w14:paraId="2B7CCF9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53DC818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5E0D4BB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0D1C9ED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0.9</w:t>
            </w:r>
          </w:p>
        </w:tc>
        <w:tc>
          <w:tcPr>
            <w:tcW w:w="727" w:type="dxa"/>
            <w:vAlign w:val="center"/>
          </w:tcPr>
          <w:p w14:paraId="7C89CE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338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BF8051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氯甲烷（μg/kg）</w:t>
            </w:r>
          </w:p>
        </w:tc>
        <w:tc>
          <w:tcPr>
            <w:tcW w:w="1501" w:type="dxa"/>
            <w:vAlign w:val="center"/>
          </w:tcPr>
          <w:p w14:paraId="01D5BD7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287FB0F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B75D39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57F8F70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37</w:t>
            </w:r>
          </w:p>
        </w:tc>
        <w:tc>
          <w:tcPr>
            <w:tcW w:w="727" w:type="dxa"/>
            <w:vAlign w:val="center"/>
          </w:tcPr>
          <w:p w14:paraId="499B71E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89E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919F117">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1-二氯乙烷（μg/kg）</w:t>
            </w:r>
          </w:p>
        </w:tc>
        <w:tc>
          <w:tcPr>
            <w:tcW w:w="1501" w:type="dxa"/>
            <w:vAlign w:val="center"/>
          </w:tcPr>
          <w:p w14:paraId="259089F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63C99D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3BF6B3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5BDFE8C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9</w:t>
            </w:r>
          </w:p>
        </w:tc>
        <w:tc>
          <w:tcPr>
            <w:tcW w:w="727" w:type="dxa"/>
            <w:vAlign w:val="center"/>
          </w:tcPr>
          <w:p w14:paraId="36D666B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1CC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1ED47A7F">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2-二氯乙烷（μg/kg）</w:t>
            </w:r>
          </w:p>
        </w:tc>
        <w:tc>
          <w:tcPr>
            <w:tcW w:w="1501" w:type="dxa"/>
            <w:vAlign w:val="center"/>
          </w:tcPr>
          <w:p w14:paraId="5689EBF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4161E4C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258E3D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2A0C68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w:t>
            </w:r>
          </w:p>
        </w:tc>
        <w:tc>
          <w:tcPr>
            <w:tcW w:w="727" w:type="dxa"/>
            <w:shd w:val="clear" w:color="auto" w:fill="auto"/>
            <w:vAlign w:val="center"/>
          </w:tcPr>
          <w:p w14:paraId="5908078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78F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C7DB688">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1-二氯乙烯（μg/kg）</w:t>
            </w:r>
          </w:p>
        </w:tc>
        <w:tc>
          <w:tcPr>
            <w:tcW w:w="1501" w:type="dxa"/>
            <w:vAlign w:val="center"/>
          </w:tcPr>
          <w:p w14:paraId="19BA2A4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FB5EA4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3DF4A86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EB8F78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66</w:t>
            </w:r>
          </w:p>
        </w:tc>
        <w:tc>
          <w:tcPr>
            <w:tcW w:w="727" w:type="dxa"/>
            <w:shd w:val="clear" w:color="auto" w:fill="auto"/>
            <w:vAlign w:val="center"/>
          </w:tcPr>
          <w:p w14:paraId="3D5DC22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56C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C75DB4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顺-1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2-二氯乙烯（μg/kg）</w:t>
            </w:r>
          </w:p>
        </w:tc>
        <w:tc>
          <w:tcPr>
            <w:tcW w:w="1501" w:type="dxa"/>
            <w:vAlign w:val="center"/>
          </w:tcPr>
          <w:p w14:paraId="43232BE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851BD2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67C5B12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38BCFA3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596</w:t>
            </w:r>
          </w:p>
        </w:tc>
        <w:tc>
          <w:tcPr>
            <w:tcW w:w="727" w:type="dxa"/>
            <w:shd w:val="clear" w:color="auto" w:fill="auto"/>
            <w:vAlign w:val="center"/>
          </w:tcPr>
          <w:p w14:paraId="7EA23BE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03F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4A61D6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反-1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2-二氯乙烯（μg/kg）</w:t>
            </w:r>
          </w:p>
        </w:tc>
        <w:tc>
          <w:tcPr>
            <w:tcW w:w="1501" w:type="dxa"/>
            <w:vAlign w:val="center"/>
          </w:tcPr>
          <w:p w14:paraId="1D9FB4B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B8735B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B526B9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0EA1941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54</w:t>
            </w:r>
          </w:p>
        </w:tc>
        <w:tc>
          <w:tcPr>
            <w:tcW w:w="727" w:type="dxa"/>
            <w:shd w:val="clear" w:color="auto" w:fill="auto"/>
            <w:vAlign w:val="center"/>
          </w:tcPr>
          <w:p w14:paraId="19E589C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257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E9C8EF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二氯甲烷（μg/kg）</w:t>
            </w:r>
          </w:p>
        </w:tc>
        <w:tc>
          <w:tcPr>
            <w:tcW w:w="1501" w:type="dxa"/>
            <w:vAlign w:val="center"/>
          </w:tcPr>
          <w:p w14:paraId="7386BBA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D1AB90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950AE0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ED3E6E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616</w:t>
            </w:r>
          </w:p>
        </w:tc>
        <w:tc>
          <w:tcPr>
            <w:tcW w:w="727" w:type="dxa"/>
            <w:shd w:val="clear" w:color="auto" w:fill="auto"/>
            <w:vAlign w:val="center"/>
          </w:tcPr>
          <w:p w14:paraId="021833B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091B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1939A50">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2-二氯丙烷（μg/kg）</w:t>
            </w:r>
          </w:p>
        </w:tc>
        <w:tc>
          <w:tcPr>
            <w:tcW w:w="1501" w:type="dxa"/>
            <w:vAlign w:val="center"/>
          </w:tcPr>
          <w:p w14:paraId="7381EEF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4F33C5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4ED7BC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1207B6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w:t>
            </w:r>
          </w:p>
        </w:tc>
        <w:tc>
          <w:tcPr>
            <w:tcW w:w="727" w:type="dxa"/>
            <w:shd w:val="clear" w:color="auto" w:fill="auto"/>
            <w:vAlign w:val="center"/>
          </w:tcPr>
          <w:p w14:paraId="2F7F6CD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1C3F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1F6EFE7A">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2-四氯乙烷（μg/kg）</w:t>
            </w:r>
          </w:p>
        </w:tc>
        <w:tc>
          <w:tcPr>
            <w:tcW w:w="1501" w:type="dxa"/>
            <w:vAlign w:val="center"/>
          </w:tcPr>
          <w:p w14:paraId="3A93AD7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E03ADB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4675868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25B755E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10</w:t>
            </w:r>
          </w:p>
        </w:tc>
        <w:tc>
          <w:tcPr>
            <w:tcW w:w="727" w:type="dxa"/>
            <w:shd w:val="clear" w:color="auto" w:fill="auto"/>
            <w:vAlign w:val="center"/>
          </w:tcPr>
          <w:p w14:paraId="1D3E18D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57B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D4FB45C">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2-四氯乙烷（μg/kg）</w:t>
            </w:r>
          </w:p>
        </w:tc>
        <w:tc>
          <w:tcPr>
            <w:tcW w:w="1501" w:type="dxa"/>
            <w:vAlign w:val="center"/>
          </w:tcPr>
          <w:p w14:paraId="3566D2D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09A34B9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5B3F8B6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61FC8A9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6.8</w:t>
            </w:r>
          </w:p>
        </w:tc>
        <w:tc>
          <w:tcPr>
            <w:tcW w:w="727" w:type="dxa"/>
            <w:shd w:val="clear" w:color="auto" w:fill="auto"/>
            <w:vAlign w:val="center"/>
          </w:tcPr>
          <w:p w14:paraId="4A60336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17D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32BECFA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四氯乙烯（μg/kg）</w:t>
            </w:r>
          </w:p>
        </w:tc>
        <w:tc>
          <w:tcPr>
            <w:tcW w:w="1501" w:type="dxa"/>
            <w:vAlign w:val="center"/>
          </w:tcPr>
          <w:p w14:paraId="0133F61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84D433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1D8BF51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6690102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53</w:t>
            </w:r>
          </w:p>
        </w:tc>
        <w:tc>
          <w:tcPr>
            <w:tcW w:w="727" w:type="dxa"/>
            <w:shd w:val="clear" w:color="auto" w:fill="auto"/>
            <w:vAlign w:val="center"/>
          </w:tcPr>
          <w:p w14:paraId="0568032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6ECD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3DE07CAD">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1-三氯乙烷（μg/kg）</w:t>
            </w:r>
          </w:p>
        </w:tc>
        <w:tc>
          <w:tcPr>
            <w:tcW w:w="1501" w:type="dxa"/>
            <w:vAlign w:val="center"/>
          </w:tcPr>
          <w:p w14:paraId="1EDCE1B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158142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627AE14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6E4BBFF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840</w:t>
            </w:r>
          </w:p>
        </w:tc>
        <w:tc>
          <w:tcPr>
            <w:tcW w:w="727" w:type="dxa"/>
            <w:shd w:val="clear" w:color="auto" w:fill="auto"/>
            <w:vAlign w:val="center"/>
          </w:tcPr>
          <w:p w14:paraId="63F4EEF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11F6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766A8461">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2-三氯乙烷（μg/kg）</w:t>
            </w:r>
          </w:p>
        </w:tc>
        <w:tc>
          <w:tcPr>
            <w:tcW w:w="1501" w:type="dxa"/>
            <w:vAlign w:val="center"/>
          </w:tcPr>
          <w:p w14:paraId="5796B44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18A413C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29DF59D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A74207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2.8</w:t>
            </w:r>
          </w:p>
        </w:tc>
        <w:tc>
          <w:tcPr>
            <w:tcW w:w="727" w:type="dxa"/>
            <w:shd w:val="clear" w:color="auto" w:fill="auto"/>
            <w:vAlign w:val="center"/>
          </w:tcPr>
          <w:p w14:paraId="7A29274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01C5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427A4A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三氯乙烯（μg/kg）</w:t>
            </w:r>
          </w:p>
        </w:tc>
        <w:tc>
          <w:tcPr>
            <w:tcW w:w="1501" w:type="dxa"/>
            <w:vAlign w:val="center"/>
          </w:tcPr>
          <w:p w14:paraId="77C57E2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1F0085B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52A6CDB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850697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2.8</w:t>
            </w:r>
          </w:p>
        </w:tc>
        <w:tc>
          <w:tcPr>
            <w:tcW w:w="727" w:type="dxa"/>
            <w:shd w:val="clear" w:color="auto" w:fill="auto"/>
            <w:vAlign w:val="center"/>
          </w:tcPr>
          <w:p w14:paraId="257CA4E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183C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0F91695">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2</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3-三氯丙烷（μg/kg）</w:t>
            </w:r>
          </w:p>
        </w:tc>
        <w:tc>
          <w:tcPr>
            <w:tcW w:w="1501" w:type="dxa"/>
            <w:vAlign w:val="center"/>
          </w:tcPr>
          <w:p w14:paraId="7C7C725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47D1AE5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E505FB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B0B0C1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0.5</w:t>
            </w:r>
          </w:p>
        </w:tc>
        <w:tc>
          <w:tcPr>
            <w:tcW w:w="727" w:type="dxa"/>
            <w:shd w:val="clear" w:color="auto" w:fill="auto"/>
            <w:vAlign w:val="center"/>
          </w:tcPr>
          <w:p w14:paraId="4BA8C37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0337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0127346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氯乙烯（μg/kg）</w:t>
            </w:r>
          </w:p>
        </w:tc>
        <w:tc>
          <w:tcPr>
            <w:tcW w:w="1501" w:type="dxa"/>
            <w:vAlign w:val="center"/>
          </w:tcPr>
          <w:p w14:paraId="5DA2CCF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068C47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EFE28D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5241918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0.43</w:t>
            </w:r>
          </w:p>
        </w:tc>
        <w:tc>
          <w:tcPr>
            <w:tcW w:w="727" w:type="dxa"/>
            <w:shd w:val="clear" w:color="auto" w:fill="auto"/>
            <w:vAlign w:val="center"/>
          </w:tcPr>
          <w:p w14:paraId="4ADC773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0B9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7EA134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苯（μg/kg）</w:t>
            </w:r>
          </w:p>
        </w:tc>
        <w:tc>
          <w:tcPr>
            <w:tcW w:w="1501" w:type="dxa"/>
            <w:vAlign w:val="center"/>
          </w:tcPr>
          <w:p w14:paraId="096980E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400D80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C07B2A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3DE1F62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4</w:t>
            </w:r>
          </w:p>
        </w:tc>
        <w:tc>
          <w:tcPr>
            <w:tcW w:w="727" w:type="dxa"/>
            <w:shd w:val="clear" w:color="auto" w:fill="auto"/>
            <w:vAlign w:val="center"/>
          </w:tcPr>
          <w:p w14:paraId="38859F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FD7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6E8FB5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氯苯（μg/kg）</w:t>
            </w:r>
          </w:p>
        </w:tc>
        <w:tc>
          <w:tcPr>
            <w:tcW w:w="1501" w:type="dxa"/>
            <w:vAlign w:val="center"/>
          </w:tcPr>
          <w:p w14:paraId="75DA503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C95D2D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44A6EDB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7EDB058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270</w:t>
            </w:r>
          </w:p>
        </w:tc>
        <w:tc>
          <w:tcPr>
            <w:tcW w:w="727" w:type="dxa"/>
            <w:shd w:val="clear" w:color="auto" w:fill="auto"/>
            <w:vAlign w:val="center"/>
          </w:tcPr>
          <w:p w14:paraId="6E8A6D7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FDF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657" w:type="dxa"/>
            <w:vAlign w:val="center"/>
          </w:tcPr>
          <w:p w14:paraId="0ED3D8A5">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2-二氯苯（μg/kg）</w:t>
            </w:r>
          </w:p>
        </w:tc>
        <w:tc>
          <w:tcPr>
            <w:tcW w:w="1501" w:type="dxa"/>
            <w:vAlign w:val="center"/>
          </w:tcPr>
          <w:p w14:paraId="680BDB4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547F917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B4B236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7E5A704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560</w:t>
            </w:r>
          </w:p>
        </w:tc>
        <w:tc>
          <w:tcPr>
            <w:tcW w:w="727" w:type="dxa"/>
            <w:shd w:val="clear" w:color="auto" w:fill="auto"/>
            <w:vAlign w:val="center"/>
          </w:tcPr>
          <w:p w14:paraId="65A64E0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0FBD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20A9E2E9">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1.</w:t>
            </w:r>
            <w:r>
              <w:rPr>
                <w:rFonts w:hint="default"/>
                <w:color w:val="000000" w:themeColor="text1"/>
                <w:highlight w:val="none"/>
                <w14:textFill>
                  <w14:solidFill>
                    <w14:schemeClr w14:val="tx1"/>
                  </w14:solidFill>
                </w14:textFill>
              </w:rPr>
              <w:t>4-二氯苯（μg/kg）</w:t>
            </w:r>
          </w:p>
        </w:tc>
        <w:tc>
          <w:tcPr>
            <w:tcW w:w="1501" w:type="dxa"/>
            <w:vAlign w:val="center"/>
          </w:tcPr>
          <w:p w14:paraId="657F86C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0410A8E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3F5E4F2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365A394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20</w:t>
            </w:r>
          </w:p>
        </w:tc>
        <w:tc>
          <w:tcPr>
            <w:tcW w:w="727" w:type="dxa"/>
            <w:shd w:val="clear" w:color="auto" w:fill="auto"/>
            <w:vAlign w:val="center"/>
          </w:tcPr>
          <w:p w14:paraId="2765B9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5D3C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8D5C86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乙苯（μg/kg）</w:t>
            </w:r>
          </w:p>
        </w:tc>
        <w:tc>
          <w:tcPr>
            <w:tcW w:w="1501" w:type="dxa"/>
            <w:vAlign w:val="center"/>
          </w:tcPr>
          <w:p w14:paraId="7CC8C37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02A9A12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8B25E2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11304ED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28</w:t>
            </w:r>
          </w:p>
        </w:tc>
        <w:tc>
          <w:tcPr>
            <w:tcW w:w="727" w:type="dxa"/>
            <w:shd w:val="clear" w:color="auto" w:fill="auto"/>
            <w:vAlign w:val="center"/>
          </w:tcPr>
          <w:p w14:paraId="39FC863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164A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A66EE0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苯乙烯（μg/kg）</w:t>
            </w:r>
          </w:p>
        </w:tc>
        <w:tc>
          <w:tcPr>
            <w:tcW w:w="1501" w:type="dxa"/>
            <w:vAlign w:val="center"/>
          </w:tcPr>
          <w:p w14:paraId="718B56F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50D57A4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C8A30E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9133E8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1290</w:t>
            </w:r>
          </w:p>
        </w:tc>
        <w:tc>
          <w:tcPr>
            <w:tcW w:w="727" w:type="dxa"/>
            <w:shd w:val="clear" w:color="auto" w:fill="auto"/>
            <w:vAlign w:val="center"/>
          </w:tcPr>
          <w:p w14:paraId="043C714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D5D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6AC3A7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甲苯（μg/kg）</w:t>
            </w:r>
          </w:p>
        </w:tc>
        <w:tc>
          <w:tcPr>
            <w:tcW w:w="1501" w:type="dxa"/>
            <w:vAlign w:val="center"/>
          </w:tcPr>
          <w:p w14:paraId="2099045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5160B30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2A84564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21867A0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1200</w:t>
            </w:r>
          </w:p>
        </w:tc>
        <w:tc>
          <w:tcPr>
            <w:tcW w:w="727" w:type="dxa"/>
            <w:shd w:val="clear" w:color="auto" w:fill="auto"/>
            <w:vAlign w:val="center"/>
          </w:tcPr>
          <w:p w14:paraId="5A0696E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B46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653D5D6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间-二甲苯+对-二甲苯（μg/kg）</w:t>
            </w:r>
          </w:p>
        </w:tc>
        <w:tc>
          <w:tcPr>
            <w:tcW w:w="1501" w:type="dxa"/>
            <w:vAlign w:val="center"/>
          </w:tcPr>
          <w:p w14:paraId="61FF501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6ACBA5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6D2F560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3126343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570</w:t>
            </w:r>
          </w:p>
        </w:tc>
        <w:tc>
          <w:tcPr>
            <w:tcW w:w="727" w:type="dxa"/>
            <w:shd w:val="clear" w:color="auto" w:fill="auto"/>
            <w:vAlign w:val="center"/>
          </w:tcPr>
          <w:p w14:paraId="2186820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16B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709FF7C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邻-二甲苯（μg/kg）</w:t>
            </w:r>
          </w:p>
        </w:tc>
        <w:tc>
          <w:tcPr>
            <w:tcW w:w="1501" w:type="dxa"/>
            <w:vAlign w:val="center"/>
          </w:tcPr>
          <w:p w14:paraId="3C69D7A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519A62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5C182F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18F9CFF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640</w:t>
            </w:r>
          </w:p>
        </w:tc>
        <w:tc>
          <w:tcPr>
            <w:tcW w:w="727" w:type="dxa"/>
            <w:shd w:val="clear" w:color="auto" w:fill="auto"/>
            <w:vAlign w:val="center"/>
          </w:tcPr>
          <w:p w14:paraId="790F787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0F46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657" w:type="dxa"/>
            <w:vAlign w:val="center"/>
          </w:tcPr>
          <w:p w14:paraId="1D4F544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硝基苯（mg/kg）</w:t>
            </w:r>
          </w:p>
        </w:tc>
        <w:tc>
          <w:tcPr>
            <w:tcW w:w="1501" w:type="dxa"/>
            <w:vAlign w:val="center"/>
          </w:tcPr>
          <w:p w14:paraId="2D12D87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400B5B3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BD3D90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05CE050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76</w:t>
            </w:r>
          </w:p>
        </w:tc>
        <w:tc>
          <w:tcPr>
            <w:tcW w:w="727" w:type="dxa"/>
            <w:shd w:val="clear" w:color="auto" w:fill="auto"/>
            <w:vAlign w:val="center"/>
          </w:tcPr>
          <w:p w14:paraId="11BDE51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5833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1F932ED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苯胺（mg/kg）</w:t>
            </w:r>
          </w:p>
        </w:tc>
        <w:tc>
          <w:tcPr>
            <w:tcW w:w="1501" w:type="dxa"/>
            <w:vAlign w:val="center"/>
          </w:tcPr>
          <w:p w14:paraId="5D04126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342750E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396765E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684935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260</w:t>
            </w:r>
          </w:p>
        </w:tc>
        <w:tc>
          <w:tcPr>
            <w:tcW w:w="727" w:type="dxa"/>
            <w:shd w:val="clear" w:color="auto" w:fill="auto"/>
            <w:vAlign w:val="center"/>
          </w:tcPr>
          <w:p w14:paraId="7DFB2D8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689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53175D2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2-氯苯酚（mg/kg）</w:t>
            </w:r>
          </w:p>
        </w:tc>
        <w:tc>
          <w:tcPr>
            <w:tcW w:w="1501" w:type="dxa"/>
            <w:vAlign w:val="center"/>
          </w:tcPr>
          <w:p w14:paraId="4E15C73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1868B2E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1154BCC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69AF3C3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2256</w:t>
            </w:r>
          </w:p>
        </w:tc>
        <w:tc>
          <w:tcPr>
            <w:tcW w:w="727" w:type="dxa"/>
            <w:shd w:val="clear" w:color="auto" w:fill="auto"/>
            <w:vAlign w:val="center"/>
          </w:tcPr>
          <w:p w14:paraId="58EF710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DE2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4C591D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苯并[a]蒽（mg/kg）</w:t>
            </w:r>
          </w:p>
        </w:tc>
        <w:tc>
          <w:tcPr>
            <w:tcW w:w="1501" w:type="dxa"/>
            <w:vAlign w:val="center"/>
          </w:tcPr>
          <w:p w14:paraId="6EE5853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4202C5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1820C3C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322F3B7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w:t>
            </w:r>
          </w:p>
        </w:tc>
        <w:tc>
          <w:tcPr>
            <w:tcW w:w="727" w:type="dxa"/>
            <w:shd w:val="clear" w:color="auto" w:fill="auto"/>
            <w:vAlign w:val="center"/>
          </w:tcPr>
          <w:p w14:paraId="6E690FA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6537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392F9A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苯并[a]芘（mg/kg）</w:t>
            </w:r>
          </w:p>
        </w:tc>
        <w:tc>
          <w:tcPr>
            <w:tcW w:w="1501" w:type="dxa"/>
            <w:vAlign w:val="center"/>
          </w:tcPr>
          <w:p w14:paraId="4E0C6DC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21BE1F3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24943B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4CB35FD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w:t>
            </w:r>
          </w:p>
        </w:tc>
        <w:tc>
          <w:tcPr>
            <w:tcW w:w="727" w:type="dxa"/>
            <w:shd w:val="clear" w:color="auto" w:fill="auto"/>
            <w:vAlign w:val="center"/>
          </w:tcPr>
          <w:p w14:paraId="44E1987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EBA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3D22481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苯并[b]荧蒽（mg/kg）</w:t>
            </w:r>
          </w:p>
        </w:tc>
        <w:tc>
          <w:tcPr>
            <w:tcW w:w="1501" w:type="dxa"/>
            <w:vAlign w:val="center"/>
          </w:tcPr>
          <w:p w14:paraId="1410204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5EF352E7">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134F631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52EB121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w:t>
            </w:r>
          </w:p>
        </w:tc>
        <w:tc>
          <w:tcPr>
            <w:tcW w:w="727" w:type="dxa"/>
            <w:shd w:val="clear" w:color="auto" w:fill="auto"/>
            <w:vAlign w:val="center"/>
          </w:tcPr>
          <w:p w14:paraId="0323BD6F">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F37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160AF93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苯并[k]荧蒽（mg/kg）</w:t>
            </w:r>
          </w:p>
        </w:tc>
        <w:tc>
          <w:tcPr>
            <w:tcW w:w="1501" w:type="dxa"/>
            <w:vAlign w:val="center"/>
          </w:tcPr>
          <w:p w14:paraId="2874F221">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23C20FA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1400F3F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7972C78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151</w:t>
            </w:r>
          </w:p>
        </w:tc>
        <w:tc>
          <w:tcPr>
            <w:tcW w:w="727" w:type="dxa"/>
            <w:shd w:val="clear" w:color="auto" w:fill="auto"/>
            <w:vAlign w:val="center"/>
          </w:tcPr>
          <w:p w14:paraId="39F01A4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4F63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5DA4D97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䓛（mg/kg</w:t>
            </w:r>
            <w:r>
              <w:rPr>
                <w:rFonts w:hint="eastAsia"/>
                <w:color w:val="000000" w:themeColor="text1"/>
                <w:highlight w:val="none"/>
                <w:lang w:eastAsia="zh-CN"/>
                <w14:textFill>
                  <w14:solidFill>
                    <w14:schemeClr w14:val="tx1"/>
                  </w14:solidFill>
                </w14:textFill>
              </w:rPr>
              <w:t>)</w:t>
            </w:r>
          </w:p>
        </w:tc>
        <w:tc>
          <w:tcPr>
            <w:tcW w:w="1501" w:type="dxa"/>
            <w:vAlign w:val="center"/>
          </w:tcPr>
          <w:p w14:paraId="61D6FE3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1CE13D1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0CC76ED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162759E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1293</w:t>
            </w:r>
          </w:p>
        </w:tc>
        <w:tc>
          <w:tcPr>
            <w:tcW w:w="727" w:type="dxa"/>
            <w:shd w:val="clear" w:color="auto" w:fill="auto"/>
            <w:vAlign w:val="center"/>
          </w:tcPr>
          <w:p w14:paraId="15F036F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292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7160C41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二苯并[a</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h]蒽（mg/kg）</w:t>
            </w:r>
          </w:p>
        </w:tc>
        <w:tc>
          <w:tcPr>
            <w:tcW w:w="1501" w:type="dxa"/>
            <w:vAlign w:val="center"/>
          </w:tcPr>
          <w:p w14:paraId="67E3FCCE">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6F6B4E53">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7B25893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21290372">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w:t>
            </w:r>
          </w:p>
        </w:tc>
        <w:tc>
          <w:tcPr>
            <w:tcW w:w="727" w:type="dxa"/>
            <w:shd w:val="clear" w:color="auto" w:fill="auto"/>
            <w:vAlign w:val="center"/>
          </w:tcPr>
          <w:p w14:paraId="48CE559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2ACA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4EB3035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茚并[1</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2</w:t>
            </w:r>
            <w:r>
              <w:rPr>
                <w:rFonts w:hint="default"/>
                <w:color w:val="000000" w:themeColor="text1"/>
                <w:highlight w:val="none"/>
                <w:lang w:eastAsia="zh-CN"/>
                <w14:textFill>
                  <w14:solidFill>
                    <w14:schemeClr w14:val="tx1"/>
                  </w14:solidFill>
                </w14:textFill>
              </w:rPr>
              <w:t>，</w:t>
            </w:r>
            <w:r>
              <w:rPr>
                <w:rFonts w:hint="default"/>
                <w:color w:val="000000" w:themeColor="text1"/>
                <w:highlight w:val="none"/>
                <w14:textFill>
                  <w14:solidFill>
                    <w14:schemeClr w14:val="tx1"/>
                  </w14:solidFill>
                </w14:textFill>
              </w:rPr>
              <w:t>3-cd]芘（mg/kg）</w:t>
            </w:r>
          </w:p>
        </w:tc>
        <w:tc>
          <w:tcPr>
            <w:tcW w:w="1501" w:type="dxa"/>
            <w:vAlign w:val="center"/>
          </w:tcPr>
          <w:p w14:paraId="15BE08A6">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77AA268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6C590D6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5782AE5C">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15</w:t>
            </w:r>
          </w:p>
        </w:tc>
        <w:tc>
          <w:tcPr>
            <w:tcW w:w="727" w:type="dxa"/>
            <w:shd w:val="clear" w:color="auto" w:fill="auto"/>
            <w:vAlign w:val="center"/>
          </w:tcPr>
          <w:p w14:paraId="02171CBD">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76D0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3856E01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萘（mg/kg）</w:t>
            </w:r>
          </w:p>
        </w:tc>
        <w:tc>
          <w:tcPr>
            <w:tcW w:w="1501" w:type="dxa"/>
            <w:vAlign w:val="center"/>
          </w:tcPr>
          <w:p w14:paraId="525CE4E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500" w:type="dxa"/>
            <w:vAlign w:val="center"/>
          </w:tcPr>
          <w:p w14:paraId="02D45210">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2022" w:type="dxa"/>
            <w:vAlign w:val="center"/>
          </w:tcPr>
          <w:p w14:paraId="5F96EC7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未检出</w:t>
            </w:r>
          </w:p>
        </w:tc>
        <w:tc>
          <w:tcPr>
            <w:tcW w:w="1121" w:type="dxa"/>
            <w:shd w:val="clear" w:color="auto" w:fill="auto"/>
            <w:vAlign w:val="center"/>
          </w:tcPr>
          <w:p w14:paraId="77E0978A">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70</w:t>
            </w:r>
          </w:p>
        </w:tc>
        <w:tc>
          <w:tcPr>
            <w:tcW w:w="727" w:type="dxa"/>
            <w:shd w:val="clear" w:color="auto" w:fill="auto"/>
            <w:vAlign w:val="center"/>
          </w:tcPr>
          <w:p w14:paraId="2E4D67F5">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r w14:paraId="302C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7" w:type="dxa"/>
            <w:vAlign w:val="center"/>
          </w:tcPr>
          <w:p w14:paraId="18FBFD4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石油烃</w:t>
            </w:r>
            <w:r>
              <w:rPr>
                <w:rFonts w:hint="default"/>
                <w:color w:val="000000" w:themeColor="text1"/>
                <w:highlight w:val="none"/>
                <w14:textFill>
                  <w14:solidFill>
                    <w14:schemeClr w14:val="tx1"/>
                  </w14:solidFill>
                </w14:textFill>
              </w:rPr>
              <w:t>（mg/kg）</w:t>
            </w:r>
          </w:p>
        </w:tc>
        <w:tc>
          <w:tcPr>
            <w:tcW w:w="1501" w:type="dxa"/>
            <w:shd w:val="clear" w:color="auto" w:fill="auto"/>
            <w:vAlign w:val="center"/>
          </w:tcPr>
          <w:p w14:paraId="4CD997D8">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19</w:t>
            </w:r>
          </w:p>
        </w:tc>
        <w:tc>
          <w:tcPr>
            <w:tcW w:w="1500" w:type="dxa"/>
            <w:shd w:val="clear" w:color="auto" w:fill="auto"/>
            <w:vAlign w:val="center"/>
          </w:tcPr>
          <w:p w14:paraId="5D759339">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46</w:t>
            </w:r>
          </w:p>
        </w:tc>
        <w:tc>
          <w:tcPr>
            <w:tcW w:w="2022" w:type="dxa"/>
            <w:shd w:val="clear" w:color="auto" w:fill="auto"/>
            <w:vAlign w:val="center"/>
          </w:tcPr>
          <w:p w14:paraId="71D8D1B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21</w:t>
            </w:r>
          </w:p>
        </w:tc>
        <w:tc>
          <w:tcPr>
            <w:tcW w:w="1121" w:type="dxa"/>
            <w:vAlign w:val="center"/>
          </w:tcPr>
          <w:p w14:paraId="1B0C440B">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4500</w:t>
            </w:r>
          </w:p>
        </w:tc>
        <w:tc>
          <w:tcPr>
            <w:tcW w:w="727" w:type="dxa"/>
            <w:shd w:val="clear" w:color="auto" w:fill="auto"/>
            <w:vAlign w:val="center"/>
          </w:tcPr>
          <w:p w14:paraId="63E223C4">
            <w:pPr>
              <w:pStyle w:val="43"/>
              <w:widowControl w:val="0"/>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达标</w:t>
            </w:r>
          </w:p>
        </w:tc>
      </w:tr>
    </w:tbl>
    <w:p w14:paraId="58C0BC05">
      <w:pPr>
        <w:pStyle w:val="45"/>
        <w:bidi w:val="0"/>
        <w:rPr>
          <w:rFonts w:hint="default"/>
          <w:lang w:val="en-US" w:eastAsia="zh-CN"/>
        </w:rPr>
      </w:pPr>
      <w:r>
        <w:rPr>
          <w:rFonts w:hint="eastAsia"/>
          <w:lang w:val="en-US" w:eastAsia="zh-CN"/>
        </w:rPr>
        <w:t>表5.7-3  项目区占地范围外农用地</w:t>
      </w:r>
      <w:r>
        <w:rPr>
          <w:rFonts w:hint="default"/>
        </w:rPr>
        <w:t>土壤环境现状监测结果</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3"/>
        <w:gridCol w:w="2276"/>
        <w:gridCol w:w="3157"/>
        <w:gridCol w:w="1126"/>
        <w:gridCol w:w="984"/>
      </w:tblGrid>
      <w:tr w14:paraId="40F3B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1C056">
            <w:pPr>
              <w:pStyle w:val="43"/>
              <w:bidi w:val="0"/>
              <w:rPr>
                <w:rFonts w:hint="eastAsia"/>
                <w:b/>
                <w:bCs/>
              </w:rPr>
            </w:pPr>
            <w:r>
              <w:rPr>
                <w:rFonts w:hint="eastAsia"/>
                <w:b/>
                <w:bCs/>
                <w:lang w:val="en-US" w:eastAsia="zh-CN"/>
              </w:rPr>
              <w:t>采样日期</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7827">
            <w:pPr>
              <w:pStyle w:val="43"/>
              <w:bidi w:val="0"/>
              <w:rPr>
                <w:rFonts w:hint="default"/>
                <w:b/>
                <w:bCs/>
              </w:rPr>
            </w:pPr>
            <w:r>
              <w:rPr>
                <w:rFonts w:hint="default"/>
                <w:b/>
                <w:bCs/>
                <w:lang w:val="en-US" w:eastAsia="zh-CN"/>
              </w:rPr>
              <w:t>2025.11.17</w:t>
            </w:r>
          </w:p>
        </w:tc>
        <w:tc>
          <w:tcPr>
            <w:tcW w:w="6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7CB77">
            <w:pPr>
              <w:pStyle w:val="43"/>
              <w:bidi w:val="0"/>
              <w:rPr>
                <w:rFonts w:hint="eastAsia"/>
                <w:b/>
                <w:bCs/>
              </w:rPr>
            </w:pPr>
            <w:r>
              <w:rPr>
                <w:rFonts w:hint="eastAsia"/>
                <w:b/>
                <w:bCs/>
                <w:lang w:val="en-US" w:eastAsia="zh-CN"/>
              </w:rPr>
              <w:t>标准值</w:t>
            </w:r>
          </w:p>
        </w:tc>
        <w:tc>
          <w:tcPr>
            <w:tcW w:w="5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714FB">
            <w:pPr>
              <w:pStyle w:val="43"/>
              <w:bidi w:val="0"/>
              <w:rPr>
                <w:rFonts w:hint="eastAsia"/>
                <w:b/>
                <w:bCs/>
              </w:rPr>
            </w:pPr>
            <w:r>
              <w:rPr>
                <w:rFonts w:hint="eastAsia"/>
                <w:b/>
                <w:bCs/>
                <w:lang w:val="en-US" w:eastAsia="zh-CN"/>
              </w:rPr>
              <w:t>达标情况</w:t>
            </w:r>
          </w:p>
        </w:tc>
      </w:tr>
      <w:tr w14:paraId="17D7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3967C">
            <w:pPr>
              <w:pStyle w:val="43"/>
              <w:bidi w:val="0"/>
              <w:rPr>
                <w:rFonts w:hint="eastAsia"/>
                <w:b/>
                <w:bCs/>
              </w:rPr>
            </w:pPr>
            <w:r>
              <w:rPr>
                <w:rFonts w:hint="eastAsia"/>
                <w:b/>
                <w:bCs/>
                <w:lang w:val="en-US" w:eastAsia="zh-CN"/>
              </w:rPr>
              <w:t>样品名称</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F7372">
            <w:pPr>
              <w:pStyle w:val="43"/>
              <w:bidi w:val="0"/>
              <w:rPr>
                <w:rFonts w:hint="eastAsia"/>
                <w:b/>
                <w:bCs/>
              </w:rPr>
            </w:pPr>
            <w:r>
              <w:rPr>
                <w:rFonts w:hint="eastAsia"/>
                <w:b/>
                <w:bCs/>
                <w:lang w:val="en-US" w:eastAsia="zh-CN"/>
              </w:rPr>
              <w:t>项目区东北部耕地</w:t>
            </w:r>
          </w:p>
        </w:tc>
        <w:tc>
          <w:tcPr>
            <w:tcW w:w="6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8A56A">
            <w:pPr>
              <w:pStyle w:val="43"/>
              <w:bidi w:val="0"/>
              <w:rPr>
                <w:rFonts w:hint="eastAsia"/>
              </w:rPr>
            </w:pP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2E506">
            <w:pPr>
              <w:pStyle w:val="43"/>
              <w:bidi w:val="0"/>
              <w:rPr>
                <w:rFonts w:hint="eastAsia"/>
              </w:rPr>
            </w:pPr>
          </w:p>
        </w:tc>
      </w:tr>
      <w:tr w14:paraId="0FDC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5F742">
            <w:pPr>
              <w:pStyle w:val="43"/>
              <w:bidi w:val="0"/>
              <w:rPr>
                <w:rFonts w:hint="eastAsia"/>
                <w:b/>
                <w:bCs/>
              </w:rPr>
            </w:pPr>
            <w:r>
              <w:rPr>
                <w:rFonts w:hint="eastAsia"/>
                <w:b/>
                <w:bCs/>
                <w:lang w:val="en-US" w:eastAsia="zh-CN"/>
              </w:rPr>
              <w:t>深度（</w:t>
            </w:r>
            <w:r>
              <w:rPr>
                <w:rFonts w:hint="default"/>
                <w:b/>
                <w:bCs/>
                <w:lang w:val="en-US" w:eastAsia="zh-CN"/>
              </w:rPr>
              <w:t>m</w:t>
            </w:r>
            <w:r>
              <w:rPr>
                <w:rFonts w:hint="eastAsia"/>
                <w:b/>
                <w:bCs/>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EF4FD">
            <w:pPr>
              <w:pStyle w:val="43"/>
              <w:bidi w:val="0"/>
              <w:rPr>
                <w:rFonts w:hint="default"/>
                <w:b/>
                <w:bCs/>
              </w:rPr>
            </w:pPr>
            <w:r>
              <w:rPr>
                <w:rFonts w:hint="default"/>
                <w:b/>
                <w:bCs/>
                <w:lang w:val="en-US" w:eastAsia="zh-CN"/>
              </w:rPr>
              <w:t>0~0.2</w:t>
            </w:r>
          </w:p>
        </w:tc>
        <w:tc>
          <w:tcPr>
            <w:tcW w:w="6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5327A">
            <w:pPr>
              <w:pStyle w:val="43"/>
              <w:bidi w:val="0"/>
              <w:rPr>
                <w:rFonts w:hint="eastAsia"/>
              </w:rPr>
            </w:pP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A8EC7">
            <w:pPr>
              <w:pStyle w:val="43"/>
              <w:bidi w:val="0"/>
              <w:rPr>
                <w:rFonts w:hint="eastAsia"/>
              </w:rPr>
            </w:pPr>
          </w:p>
        </w:tc>
      </w:tr>
      <w:tr w14:paraId="71E4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404FA">
            <w:pPr>
              <w:pStyle w:val="43"/>
              <w:bidi w:val="0"/>
              <w:rPr>
                <w:rFonts w:hint="eastAsia"/>
                <w:b/>
                <w:bCs/>
              </w:rPr>
            </w:pPr>
            <w:r>
              <w:rPr>
                <w:rFonts w:hint="eastAsia"/>
                <w:b/>
                <w:bCs/>
                <w:lang w:val="en-US" w:eastAsia="zh-CN"/>
              </w:rPr>
              <w:t>序号</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79BE">
            <w:pPr>
              <w:pStyle w:val="43"/>
              <w:bidi w:val="0"/>
              <w:rPr>
                <w:rFonts w:hint="eastAsia"/>
                <w:b/>
                <w:bCs/>
              </w:rPr>
            </w:pPr>
            <w:r>
              <w:rPr>
                <w:rFonts w:hint="eastAsia"/>
                <w:b/>
                <w:bCs/>
                <w:lang w:val="en-US" w:eastAsia="zh-CN"/>
              </w:rPr>
              <w:t>样品编号</w:t>
            </w:r>
          </w:p>
        </w:tc>
        <w:tc>
          <w:tcPr>
            <w:tcW w:w="18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0525A">
            <w:pPr>
              <w:pStyle w:val="43"/>
              <w:bidi w:val="0"/>
              <w:rPr>
                <w:rFonts w:hint="default"/>
                <w:b/>
                <w:bCs/>
              </w:rPr>
            </w:pPr>
            <w:r>
              <w:rPr>
                <w:rFonts w:hint="default"/>
                <w:b/>
                <w:bCs/>
                <w:lang w:val="en-US" w:eastAsia="zh-CN"/>
              </w:rPr>
              <w:t>2505206-TR04-001</w:t>
            </w:r>
          </w:p>
        </w:tc>
        <w:tc>
          <w:tcPr>
            <w:tcW w:w="6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EAA7E">
            <w:pPr>
              <w:pStyle w:val="43"/>
              <w:bidi w:val="0"/>
              <w:rPr>
                <w:rFonts w:hint="eastAsia"/>
              </w:rPr>
            </w:pP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48D24">
            <w:pPr>
              <w:pStyle w:val="43"/>
              <w:bidi w:val="0"/>
              <w:rPr>
                <w:rFonts w:hint="eastAsia"/>
              </w:rPr>
            </w:pPr>
          </w:p>
        </w:tc>
      </w:tr>
      <w:tr w14:paraId="5438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22E18">
            <w:pPr>
              <w:pStyle w:val="43"/>
              <w:bidi w:val="0"/>
              <w:rPr>
                <w:rFonts w:hint="eastAsia"/>
                <w:b/>
                <w:bCs/>
              </w:rPr>
            </w:pP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88CC">
            <w:pPr>
              <w:pStyle w:val="43"/>
              <w:bidi w:val="0"/>
              <w:rPr>
                <w:rFonts w:hint="eastAsia"/>
                <w:b/>
                <w:bCs/>
              </w:rPr>
            </w:pPr>
            <w:r>
              <w:rPr>
                <w:rFonts w:hint="eastAsia"/>
                <w:b/>
                <w:bCs/>
                <w:lang w:val="en-US" w:eastAsia="zh-CN"/>
              </w:rPr>
              <w:t>检测项目</w:t>
            </w:r>
          </w:p>
        </w:tc>
        <w:tc>
          <w:tcPr>
            <w:tcW w:w="18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D3D67">
            <w:pPr>
              <w:pStyle w:val="43"/>
              <w:bidi w:val="0"/>
              <w:rPr>
                <w:rFonts w:hint="default"/>
              </w:rPr>
            </w:pPr>
          </w:p>
        </w:tc>
        <w:tc>
          <w:tcPr>
            <w:tcW w:w="6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3F24B">
            <w:pPr>
              <w:pStyle w:val="43"/>
              <w:bidi w:val="0"/>
              <w:rPr>
                <w:rFonts w:hint="eastAsia"/>
              </w:rPr>
            </w:pP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E7A5D">
            <w:pPr>
              <w:pStyle w:val="43"/>
              <w:bidi w:val="0"/>
              <w:rPr>
                <w:rFonts w:hint="eastAsia"/>
              </w:rPr>
            </w:pPr>
          </w:p>
        </w:tc>
      </w:tr>
      <w:tr w14:paraId="114F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F89D">
            <w:pPr>
              <w:pStyle w:val="43"/>
              <w:bidi w:val="0"/>
              <w:rPr>
                <w:rFonts w:hint="default"/>
              </w:rPr>
            </w:pPr>
            <w:r>
              <w:rPr>
                <w:rFonts w:hint="default"/>
                <w:lang w:val="en-US" w:eastAsia="zh-CN"/>
              </w:rPr>
              <w:t>1</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E2A60">
            <w:pPr>
              <w:pStyle w:val="43"/>
              <w:bidi w:val="0"/>
              <w:rPr>
                <w:rFonts w:hint="default"/>
              </w:rPr>
            </w:pPr>
            <w:r>
              <w:rPr>
                <w:rFonts w:hint="default"/>
                <w:lang w:val="en-US" w:eastAsia="zh-CN"/>
              </w:rPr>
              <w:t>pH</w:t>
            </w:r>
            <w:r>
              <w:rPr>
                <w:rFonts w:hint="eastAsia"/>
                <w:lang w:val="en-US" w:eastAsia="zh-CN"/>
              </w:rPr>
              <w:t>（无量纲）</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D0C6">
            <w:pPr>
              <w:pStyle w:val="43"/>
              <w:bidi w:val="0"/>
              <w:rPr>
                <w:rFonts w:hint="default"/>
              </w:rPr>
            </w:pPr>
            <w:r>
              <w:rPr>
                <w:rFonts w:hint="default"/>
                <w:lang w:val="en-US" w:eastAsia="zh-CN"/>
              </w:rPr>
              <w:t>7.09</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5A1B">
            <w:pPr>
              <w:pStyle w:val="43"/>
              <w:bidi w:val="0"/>
              <w:rPr>
                <w:rFonts w:hint="default"/>
              </w:rPr>
            </w:pPr>
            <w:r>
              <w:rPr>
                <w:rFonts w:hint="default"/>
                <w:lang w:val="en-US" w:eastAsia="zh-CN"/>
              </w:rPr>
              <w:t>/</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0D44A">
            <w:pPr>
              <w:pStyle w:val="43"/>
              <w:bidi w:val="0"/>
              <w:rPr>
                <w:rFonts w:hint="default"/>
              </w:rPr>
            </w:pPr>
            <w:r>
              <w:rPr>
                <w:rFonts w:hint="default"/>
                <w:lang w:val="en-US" w:eastAsia="zh-CN"/>
              </w:rPr>
              <w:t>/</w:t>
            </w:r>
          </w:p>
        </w:tc>
      </w:tr>
      <w:tr w14:paraId="608C1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9A12">
            <w:pPr>
              <w:pStyle w:val="43"/>
              <w:bidi w:val="0"/>
              <w:rPr>
                <w:rFonts w:hint="default"/>
              </w:rPr>
            </w:pPr>
            <w:r>
              <w:rPr>
                <w:rFonts w:hint="default"/>
                <w:lang w:val="en-US" w:eastAsia="zh-CN"/>
              </w:rPr>
              <w:t>2</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56B0D">
            <w:pPr>
              <w:pStyle w:val="43"/>
              <w:bidi w:val="0"/>
              <w:rPr>
                <w:rFonts w:hint="eastAsia"/>
              </w:rPr>
            </w:pPr>
            <w:r>
              <w:rPr>
                <w:rFonts w:hint="eastAsia"/>
                <w:lang w:val="en-US" w:eastAsia="zh-CN"/>
              </w:rPr>
              <w:t>砷（</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D900">
            <w:pPr>
              <w:pStyle w:val="43"/>
              <w:bidi w:val="0"/>
              <w:rPr>
                <w:rFonts w:hint="default"/>
              </w:rPr>
            </w:pPr>
            <w:r>
              <w:rPr>
                <w:rFonts w:hint="default"/>
                <w:lang w:val="en-US" w:eastAsia="zh-CN"/>
              </w:rPr>
              <w:t>17.4</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6C613">
            <w:pPr>
              <w:pStyle w:val="43"/>
              <w:bidi w:val="0"/>
              <w:rPr>
                <w:rFonts w:hint="default"/>
              </w:rPr>
            </w:pPr>
            <w:r>
              <w:rPr>
                <w:rFonts w:hint="default"/>
                <w:lang w:val="en-US" w:eastAsia="zh-CN"/>
              </w:rPr>
              <w:t>30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0BCF">
            <w:pPr>
              <w:pStyle w:val="43"/>
              <w:bidi w:val="0"/>
              <w:rPr>
                <w:rFonts w:hint="eastAsia"/>
              </w:rPr>
            </w:pPr>
            <w:r>
              <w:rPr>
                <w:rFonts w:hint="eastAsia"/>
                <w:lang w:val="en-US" w:eastAsia="zh-CN"/>
              </w:rPr>
              <w:t>达标</w:t>
            </w:r>
          </w:p>
        </w:tc>
      </w:tr>
      <w:tr w14:paraId="2435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9435">
            <w:pPr>
              <w:pStyle w:val="43"/>
              <w:bidi w:val="0"/>
              <w:rPr>
                <w:rFonts w:hint="default"/>
              </w:rPr>
            </w:pPr>
            <w:r>
              <w:rPr>
                <w:rFonts w:hint="default"/>
                <w:lang w:val="en-US" w:eastAsia="zh-CN"/>
              </w:rPr>
              <w:t>3</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6B7A3">
            <w:pPr>
              <w:pStyle w:val="43"/>
              <w:bidi w:val="0"/>
              <w:rPr>
                <w:rFonts w:hint="eastAsia"/>
              </w:rPr>
            </w:pPr>
            <w:r>
              <w:rPr>
                <w:rFonts w:hint="eastAsia"/>
                <w:lang w:val="en-US" w:eastAsia="zh-CN"/>
              </w:rPr>
              <w:t>镉（</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1BAA">
            <w:pPr>
              <w:pStyle w:val="43"/>
              <w:bidi w:val="0"/>
              <w:rPr>
                <w:rFonts w:hint="default"/>
              </w:rPr>
            </w:pPr>
            <w:r>
              <w:rPr>
                <w:rFonts w:hint="default"/>
                <w:lang w:val="en-US" w:eastAsia="zh-CN"/>
              </w:rPr>
              <w:t>0.28</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1430">
            <w:pPr>
              <w:pStyle w:val="43"/>
              <w:bidi w:val="0"/>
              <w:rPr>
                <w:rFonts w:hint="default"/>
              </w:rPr>
            </w:pPr>
            <w:r>
              <w:rPr>
                <w:rFonts w:hint="default"/>
                <w:lang w:val="en-US" w:eastAsia="zh-CN"/>
              </w:rPr>
              <w:t>0.3</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943F">
            <w:pPr>
              <w:pStyle w:val="43"/>
              <w:bidi w:val="0"/>
              <w:rPr>
                <w:rFonts w:hint="eastAsia"/>
              </w:rPr>
            </w:pPr>
            <w:r>
              <w:rPr>
                <w:rFonts w:hint="eastAsia"/>
                <w:lang w:val="en-US" w:eastAsia="zh-CN"/>
              </w:rPr>
              <w:t>达标</w:t>
            </w:r>
          </w:p>
        </w:tc>
      </w:tr>
      <w:tr w14:paraId="39414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C6FF">
            <w:pPr>
              <w:pStyle w:val="43"/>
              <w:bidi w:val="0"/>
              <w:rPr>
                <w:rFonts w:hint="default"/>
              </w:rPr>
            </w:pPr>
            <w:r>
              <w:rPr>
                <w:rFonts w:hint="default"/>
                <w:lang w:val="en-US" w:eastAsia="zh-CN"/>
              </w:rPr>
              <w:t>4</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D033">
            <w:pPr>
              <w:pStyle w:val="43"/>
              <w:bidi w:val="0"/>
              <w:rPr>
                <w:rFonts w:hint="eastAsia"/>
              </w:rPr>
            </w:pPr>
            <w:r>
              <w:rPr>
                <w:rFonts w:hint="eastAsia"/>
                <w:lang w:val="en-US" w:eastAsia="zh-CN"/>
              </w:rPr>
              <w:t>铜（</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FC22">
            <w:pPr>
              <w:pStyle w:val="43"/>
              <w:bidi w:val="0"/>
              <w:rPr>
                <w:rFonts w:hint="default"/>
              </w:rPr>
            </w:pPr>
            <w:r>
              <w:rPr>
                <w:rFonts w:hint="default"/>
                <w:lang w:val="en-US" w:eastAsia="zh-CN"/>
              </w:rPr>
              <w:t>95</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86035">
            <w:pPr>
              <w:pStyle w:val="43"/>
              <w:bidi w:val="0"/>
              <w:rPr>
                <w:rFonts w:hint="default"/>
              </w:rPr>
            </w:pPr>
            <w:r>
              <w:rPr>
                <w:rFonts w:hint="default"/>
                <w:lang w:val="en-US" w:eastAsia="zh-CN"/>
              </w:rPr>
              <w:t>100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20EE">
            <w:pPr>
              <w:pStyle w:val="43"/>
              <w:bidi w:val="0"/>
              <w:rPr>
                <w:rFonts w:hint="eastAsia"/>
              </w:rPr>
            </w:pPr>
            <w:r>
              <w:rPr>
                <w:rFonts w:hint="eastAsia"/>
                <w:lang w:val="en-US" w:eastAsia="zh-CN"/>
              </w:rPr>
              <w:t>达标</w:t>
            </w:r>
          </w:p>
        </w:tc>
      </w:tr>
      <w:tr w14:paraId="7548F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8CE5">
            <w:pPr>
              <w:pStyle w:val="43"/>
              <w:bidi w:val="0"/>
              <w:rPr>
                <w:rFonts w:hint="default"/>
              </w:rPr>
            </w:pPr>
            <w:r>
              <w:rPr>
                <w:rFonts w:hint="default"/>
                <w:lang w:val="en-US" w:eastAsia="zh-CN"/>
              </w:rPr>
              <w:t>5</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E546">
            <w:pPr>
              <w:pStyle w:val="43"/>
              <w:bidi w:val="0"/>
              <w:rPr>
                <w:rFonts w:hint="eastAsia"/>
              </w:rPr>
            </w:pPr>
            <w:r>
              <w:rPr>
                <w:rFonts w:hint="eastAsia"/>
                <w:lang w:val="en-US" w:eastAsia="zh-CN"/>
              </w:rPr>
              <w:t>铅（</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6CCF">
            <w:pPr>
              <w:pStyle w:val="43"/>
              <w:bidi w:val="0"/>
              <w:rPr>
                <w:rFonts w:hint="default"/>
              </w:rPr>
            </w:pPr>
            <w:r>
              <w:rPr>
                <w:rFonts w:hint="default"/>
                <w:lang w:val="en-US" w:eastAsia="zh-CN"/>
              </w:rPr>
              <w:t>9.6</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CD40">
            <w:pPr>
              <w:pStyle w:val="43"/>
              <w:bidi w:val="0"/>
              <w:rPr>
                <w:rFonts w:hint="default"/>
              </w:rPr>
            </w:pPr>
            <w:r>
              <w:rPr>
                <w:rFonts w:hint="default"/>
                <w:lang w:val="en-US" w:eastAsia="zh-CN"/>
              </w:rPr>
              <w:t>120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AF25">
            <w:pPr>
              <w:pStyle w:val="43"/>
              <w:bidi w:val="0"/>
              <w:rPr>
                <w:rFonts w:hint="eastAsia"/>
              </w:rPr>
            </w:pPr>
            <w:r>
              <w:rPr>
                <w:rFonts w:hint="eastAsia"/>
                <w:lang w:val="en-US" w:eastAsia="zh-CN"/>
              </w:rPr>
              <w:t>达标</w:t>
            </w:r>
          </w:p>
        </w:tc>
      </w:tr>
      <w:tr w14:paraId="413A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0A1F8">
            <w:pPr>
              <w:pStyle w:val="43"/>
              <w:bidi w:val="0"/>
              <w:rPr>
                <w:rFonts w:hint="default"/>
              </w:rPr>
            </w:pPr>
            <w:r>
              <w:rPr>
                <w:rFonts w:hint="default"/>
                <w:lang w:val="en-US" w:eastAsia="zh-CN"/>
              </w:rPr>
              <w:t>6</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9685">
            <w:pPr>
              <w:pStyle w:val="43"/>
              <w:bidi w:val="0"/>
              <w:rPr>
                <w:rFonts w:hint="eastAsia"/>
              </w:rPr>
            </w:pPr>
            <w:r>
              <w:rPr>
                <w:rFonts w:hint="eastAsia"/>
                <w:lang w:val="en-US" w:eastAsia="zh-CN"/>
              </w:rPr>
              <w:t>汞（</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F099">
            <w:pPr>
              <w:pStyle w:val="43"/>
              <w:bidi w:val="0"/>
              <w:rPr>
                <w:rFonts w:hint="default"/>
              </w:rPr>
            </w:pPr>
            <w:r>
              <w:rPr>
                <w:rFonts w:hint="default"/>
                <w:lang w:val="en-US" w:eastAsia="zh-CN"/>
              </w:rPr>
              <w:t>0.35</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2292">
            <w:pPr>
              <w:pStyle w:val="43"/>
              <w:bidi w:val="0"/>
              <w:rPr>
                <w:rFonts w:hint="default"/>
              </w:rPr>
            </w:pPr>
            <w:r>
              <w:rPr>
                <w:rFonts w:hint="default"/>
                <w:lang w:val="en-US" w:eastAsia="zh-CN"/>
              </w:rPr>
              <w:t>2.4</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A5358">
            <w:pPr>
              <w:pStyle w:val="43"/>
              <w:bidi w:val="0"/>
              <w:rPr>
                <w:rFonts w:hint="eastAsia"/>
              </w:rPr>
            </w:pPr>
            <w:r>
              <w:rPr>
                <w:rFonts w:hint="eastAsia"/>
                <w:lang w:val="en-US" w:eastAsia="zh-CN"/>
              </w:rPr>
              <w:t>达标</w:t>
            </w:r>
          </w:p>
        </w:tc>
      </w:tr>
      <w:tr w14:paraId="5ABC4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7CF8">
            <w:pPr>
              <w:pStyle w:val="43"/>
              <w:bidi w:val="0"/>
              <w:rPr>
                <w:rFonts w:hint="default"/>
              </w:rPr>
            </w:pPr>
            <w:r>
              <w:rPr>
                <w:rFonts w:hint="default"/>
                <w:lang w:val="en-US" w:eastAsia="zh-CN"/>
              </w:rPr>
              <w:t>7</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90098">
            <w:pPr>
              <w:pStyle w:val="43"/>
              <w:bidi w:val="0"/>
              <w:rPr>
                <w:rFonts w:hint="eastAsia"/>
              </w:rPr>
            </w:pPr>
            <w:r>
              <w:rPr>
                <w:rFonts w:hint="eastAsia"/>
                <w:lang w:val="en-US" w:eastAsia="zh-CN"/>
              </w:rPr>
              <w:t>镍（</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85E4">
            <w:pPr>
              <w:pStyle w:val="43"/>
              <w:bidi w:val="0"/>
              <w:rPr>
                <w:rFonts w:hint="default"/>
              </w:rPr>
            </w:pPr>
            <w:r>
              <w:rPr>
                <w:rFonts w:hint="default"/>
                <w:lang w:val="en-US" w:eastAsia="zh-CN"/>
              </w:rPr>
              <w:t>97</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2A8D">
            <w:pPr>
              <w:pStyle w:val="43"/>
              <w:bidi w:val="0"/>
              <w:rPr>
                <w:rFonts w:hint="default"/>
              </w:rPr>
            </w:pPr>
            <w:r>
              <w:rPr>
                <w:rFonts w:hint="default"/>
                <w:lang w:val="en-US" w:eastAsia="zh-CN"/>
              </w:rPr>
              <w:t>100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87976">
            <w:pPr>
              <w:pStyle w:val="43"/>
              <w:bidi w:val="0"/>
              <w:rPr>
                <w:rFonts w:hint="eastAsia"/>
              </w:rPr>
            </w:pPr>
            <w:r>
              <w:rPr>
                <w:rFonts w:hint="eastAsia"/>
                <w:lang w:val="en-US" w:eastAsia="zh-CN"/>
              </w:rPr>
              <w:t>达标</w:t>
            </w:r>
          </w:p>
        </w:tc>
      </w:tr>
      <w:tr w14:paraId="623E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AACB4">
            <w:pPr>
              <w:pStyle w:val="43"/>
              <w:bidi w:val="0"/>
              <w:rPr>
                <w:rFonts w:hint="default"/>
              </w:rPr>
            </w:pPr>
            <w:r>
              <w:rPr>
                <w:rFonts w:hint="default"/>
                <w:lang w:val="en-US" w:eastAsia="zh-CN"/>
              </w:rPr>
              <w:t>8</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BBC3">
            <w:pPr>
              <w:pStyle w:val="43"/>
              <w:bidi w:val="0"/>
              <w:rPr>
                <w:rFonts w:hint="eastAsia"/>
              </w:rPr>
            </w:pPr>
            <w:r>
              <w:rPr>
                <w:rFonts w:hint="eastAsia"/>
                <w:lang w:val="en-US" w:eastAsia="zh-CN"/>
              </w:rPr>
              <w:t>铬（</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6048">
            <w:pPr>
              <w:pStyle w:val="43"/>
              <w:bidi w:val="0"/>
              <w:rPr>
                <w:rFonts w:hint="default"/>
              </w:rPr>
            </w:pPr>
            <w:r>
              <w:rPr>
                <w:rFonts w:hint="default"/>
                <w:lang w:val="en-US" w:eastAsia="zh-CN"/>
              </w:rPr>
              <w:t>156</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C4D7">
            <w:pPr>
              <w:pStyle w:val="43"/>
              <w:bidi w:val="0"/>
              <w:rPr>
                <w:rFonts w:hint="default"/>
              </w:rPr>
            </w:pPr>
            <w:r>
              <w:rPr>
                <w:rFonts w:hint="default"/>
                <w:lang w:val="en-US" w:eastAsia="zh-CN"/>
              </w:rPr>
              <w:t>200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AAF4F">
            <w:pPr>
              <w:pStyle w:val="43"/>
              <w:bidi w:val="0"/>
              <w:rPr>
                <w:rFonts w:hint="eastAsia"/>
              </w:rPr>
            </w:pPr>
            <w:r>
              <w:rPr>
                <w:rFonts w:hint="eastAsia"/>
                <w:lang w:val="en-US" w:eastAsia="zh-CN"/>
              </w:rPr>
              <w:t>达标</w:t>
            </w:r>
          </w:p>
        </w:tc>
      </w:tr>
      <w:tr w14:paraId="2A85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8357">
            <w:pPr>
              <w:pStyle w:val="43"/>
              <w:bidi w:val="0"/>
              <w:rPr>
                <w:rFonts w:hint="default"/>
              </w:rPr>
            </w:pPr>
            <w:r>
              <w:rPr>
                <w:rFonts w:hint="default"/>
                <w:lang w:val="en-US" w:eastAsia="zh-CN"/>
              </w:rPr>
              <w:t>9</w:t>
            </w:r>
          </w:p>
        </w:tc>
        <w:tc>
          <w:tcPr>
            <w:tcW w:w="1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E258">
            <w:pPr>
              <w:pStyle w:val="43"/>
              <w:bidi w:val="0"/>
              <w:rPr>
                <w:rFonts w:hint="eastAsia"/>
              </w:rPr>
            </w:pPr>
            <w:r>
              <w:rPr>
                <w:rFonts w:hint="eastAsia"/>
                <w:lang w:val="en-US" w:eastAsia="zh-CN"/>
              </w:rPr>
              <w:t>锌（</w:t>
            </w:r>
            <w:r>
              <w:rPr>
                <w:rFonts w:hint="default"/>
                <w:lang w:val="en-US" w:eastAsia="zh-CN"/>
              </w:rPr>
              <w:t>mg/kg</w:t>
            </w:r>
            <w:r>
              <w:rPr>
                <w:rFonts w:hint="eastAsia"/>
                <w:lang w:val="en-US" w:eastAsia="zh-CN"/>
              </w:rPr>
              <w:t>）</w:t>
            </w:r>
          </w:p>
        </w:tc>
        <w:tc>
          <w:tcPr>
            <w:tcW w:w="1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95583">
            <w:pPr>
              <w:pStyle w:val="43"/>
              <w:bidi w:val="0"/>
              <w:rPr>
                <w:rFonts w:hint="default"/>
              </w:rPr>
            </w:pPr>
            <w:r>
              <w:rPr>
                <w:rFonts w:hint="default"/>
                <w:lang w:val="en-US" w:eastAsia="zh-CN"/>
              </w:rPr>
              <w:t>138</w:t>
            </w:r>
          </w:p>
        </w:tc>
        <w:tc>
          <w:tcPr>
            <w:tcW w:w="6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64536">
            <w:pPr>
              <w:pStyle w:val="43"/>
              <w:bidi w:val="0"/>
              <w:rPr>
                <w:rFonts w:hint="default"/>
              </w:rPr>
            </w:pPr>
            <w:r>
              <w:rPr>
                <w:rFonts w:hint="default"/>
                <w:lang w:val="en-US" w:eastAsia="zh-CN"/>
              </w:rPr>
              <w:t>250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5327">
            <w:pPr>
              <w:pStyle w:val="43"/>
              <w:bidi w:val="0"/>
              <w:rPr>
                <w:rFonts w:hint="eastAsia"/>
              </w:rPr>
            </w:pPr>
            <w:r>
              <w:rPr>
                <w:rFonts w:hint="eastAsia"/>
                <w:lang w:val="en-US" w:eastAsia="zh-CN"/>
              </w:rPr>
              <w:t>达标</w:t>
            </w:r>
          </w:p>
        </w:tc>
      </w:tr>
    </w:tbl>
    <w:p w14:paraId="27DB6473">
      <w:pPr>
        <w:pStyle w:val="45"/>
        <w:bidi w:val="0"/>
        <w:rPr>
          <w:rFonts w:hint="default"/>
        </w:rPr>
      </w:pPr>
      <w:r>
        <w:rPr>
          <w:rFonts w:hint="default"/>
        </w:rPr>
        <w:t>表</w:t>
      </w:r>
      <w:r>
        <w:rPr>
          <w:rFonts w:hint="eastAsia"/>
          <w:lang w:val="en-US" w:eastAsia="zh-CN"/>
        </w:rPr>
        <w:t>5</w:t>
      </w:r>
      <w:r>
        <w:rPr>
          <w:rFonts w:hint="default"/>
          <w:lang w:val="en-US" w:eastAsia="zh-CN"/>
        </w:rPr>
        <w:t>.7-</w:t>
      </w:r>
      <w:r>
        <w:rPr>
          <w:rFonts w:hint="eastAsia"/>
          <w:lang w:val="en-US" w:eastAsia="zh-CN"/>
        </w:rPr>
        <w:t>4</w:t>
      </w:r>
      <w:r>
        <w:rPr>
          <w:rFonts w:hint="default"/>
        </w:rPr>
        <w:t xml:space="preserve"> </w:t>
      </w:r>
      <w:r>
        <w:rPr>
          <w:rFonts w:hint="default"/>
          <w:lang w:val="en-US" w:eastAsia="zh-CN"/>
        </w:rPr>
        <w:t xml:space="preserve"> </w:t>
      </w:r>
      <w:r>
        <w:rPr>
          <w:rFonts w:hint="default"/>
        </w:rPr>
        <w:t>土壤理化特性调查一览表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2528"/>
        <w:gridCol w:w="2013"/>
        <w:gridCol w:w="1257"/>
        <w:gridCol w:w="1601"/>
      </w:tblGrid>
      <w:tr w14:paraId="35C0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55" w:type="pct"/>
            <w:gridSpan w:val="2"/>
            <w:noWrap w:val="0"/>
            <w:vAlign w:val="center"/>
          </w:tcPr>
          <w:p w14:paraId="36914751">
            <w:pPr>
              <w:pStyle w:val="43"/>
              <w:bidi w:val="0"/>
              <w:rPr>
                <w:rFonts w:hint="default"/>
                <w:b/>
                <w:bCs/>
              </w:rPr>
            </w:pPr>
            <w:r>
              <w:rPr>
                <w:rFonts w:hint="default"/>
                <w:b/>
                <w:bCs/>
              </w:rPr>
              <w:t>点号</w:t>
            </w:r>
          </w:p>
        </w:tc>
        <w:tc>
          <w:tcPr>
            <w:tcW w:w="1185" w:type="pct"/>
            <w:noWrap w:val="0"/>
            <w:vAlign w:val="center"/>
          </w:tcPr>
          <w:p w14:paraId="0364AEAA">
            <w:pPr>
              <w:pStyle w:val="43"/>
              <w:bidi w:val="0"/>
              <w:rPr>
                <w:rFonts w:hint="default"/>
                <w:b/>
                <w:bCs/>
                <w:lang w:val="en-US" w:eastAsia="zh-CN"/>
              </w:rPr>
            </w:pPr>
            <w:r>
              <w:rPr>
                <w:rFonts w:hint="eastAsia"/>
                <w:b/>
                <w:bCs/>
                <w:lang w:val="en-US" w:eastAsia="zh-CN"/>
              </w:rPr>
              <w:t>1#矿区内</w:t>
            </w:r>
          </w:p>
        </w:tc>
        <w:tc>
          <w:tcPr>
            <w:tcW w:w="742" w:type="pct"/>
            <w:noWrap w:val="0"/>
            <w:vAlign w:val="center"/>
          </w:tcPr>
          <w:p w14:paraId="0CE6217D">
            <w:pPr>
              <w:pStyle w:val="43"/>
              <w:bidi w:val="0"/>
              <w:rPr>
                <w:rFonts w:hint="default"/>
                <w:b/>
                <w:bCs/>
              </w:rPr>
            </w:pPr>
            <w:r>
              <w:rPr>
                <w:rFonts w:hint="default"/>
                <w:b/>
                <w:bCs/>
              </w:rPr>
              <w:t>时间</w:t>
            </w:r>
          </w:p>
        </w:tc>
        <w:tc>
          <w:tcPr>
            <w:tcW w:w="916" w:type="pct"/>
            <w:noWrap w:val="0"/>
            <w:vAlign w:val="center"/>
          </w:tcPr>
          <w:p w14:paraId="297DF6B7">
            <w:pPr>
              <w:pStyle w:val="43"/>
              <w:bidi w:val="0"/>
              <w:rPr>
                <w:rFonts w:hint="default"/>
                <w:b/>
                <w:bCs/>
                <w:lang w:val="en-US" w:eastAsia="zh-CN"/>
              </w:rPr>
            </w:pPr>
            <w:r>
              <w:rPr>
                <w:rFonts w:hint="default"/>
                <w:b/>
                <w:bCs/>
                <w:lang w:val="en-US" w:eastAsia="zh-CN"/>
              </w:rPr>
              <w:t>2025.11.17</w:t>
            </w:r>
          </w:p>
        </w:tc>
      </w:tr>
      <w:tr w14:paraId="0D77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55" w:type="pct"/>
            <w:gridSpan w:val="2"/>
            <w:noWrap w:val="0"/>
            <w:vAlign w:val="center"/>
          </w:tcPr>
          <w:p w14:paraId="2EFA3C13">
            <w:pPr>
              <w:pStyle w:val="43"/>
              <w:bidi w:val="0"/>
              <w:rPr>
                <w:rFonts w:hint="default"/>
                <w:b/>
                <w:bCs/>
              </w:rPr>
            </w:pPr>
            <w:r>
              <w:rPr>
                <w:rFonts w:hint="default"/>
                <w:b/>
                <w:bCs/>
              </w:rPr>
              <w:t>经度</w:t>
            </w:r>
          </w:p>
        </w:tc>
        <w:tc>
          <w:tcPr>
            <w:tcW w:w="1185" w:type="pct"/>
            <w:noWrap w:val="0"/>
            <w:vAlign w:val="center"/>
          </w:tcPr>
          <w:p w14:paraId="4DAECA8C">
            <w:pPr>
              <w:pStyle w:val="43"/>
              <w:bidi w:val="0"/>
              <w:rPr>
                <w:rFonts w:hint="default"/>
                <w:b/>
                <w:bCs/>
                <w:lang w:val="en-US" w:eastAsia="zh-CN"/>
              </w:rPr>
            </w:pPr>
            <w:r>
              <w:rPr>
                <w:b/>
                <w:bCs/>
              </w:rPr>
              <w:t>104∘18′9.068′′</w:t>
            </w:r>
          </w:p>
        </w:tc>
        <w:tc>
          <w:tcPr>
            <w:tcW w:w="742" w:type="pct"/>
            <w:noWrap w:val="0"/>
            <w:vAlign w:val="center"/>
          </w:tcPr>
          <w:p w14:paraId="363ED9C1">
            <w:pPr>
              <w:pStyle w:val="43"/>
              <w:bidi w:val="0"/>
              <w:rPr>
                <w:rFonts w:hint="default"/>
                <w:b/>
                <w:bCs/>
              </w:rPr>
            </w:pPr>
            <w:r>
              <w:rPr>
                <w:rFonts w:hint="default"/>
                <w:b/>
                <w:bCs/>
              </w:rPr>
              <w:t>纬度</w:t>
            </w:r>
          </w:p>
        </w:tc>
        <w:tc>
          <w:tcPr>
            <w:tcW w:w="916" w:type="pct"/>
            <w:noWrap w:val="0"/>
            <w:vAlign w:val="center"/>
          </w:tcPr>
          <w:p w14:paraId="6D44D1E3">
            <w:pPr>
              <w:pStyle w:val="43"/>
              <w:bidi w:val="0"/>
              <w:rPr>
                <w:rFonts w:hint="default"/>
                <w:b/>
                <w:bCs/>
                <w:lang w:val="en-US" w:eastAsia="zh-CN"/>
              </w:rPr>
            </w:pPr>
            <w:r>
              <w:rPr>
                <w:b/>
                <w:bCs/>
              </w:rPr>
              <w:t>23∘40′45.329′′</w:t>
            </w:r>
          </w:p>
        </w:tc>
      </w:tr>
      <w:tr w14:paraId="706B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55" w:type="pct"/>
            <w:gridSpan w:val="2"/>
            <w:noWrap w:val="0"/>
            <w:vAlign w:val="center"/>
          </w:tcPr>
          <w:p w14:paraId="2E98F52A">
            <w:pPr>
              <w:pStyle w:val="43"/>
              <w:bidi w:val="0"/>
              <w:rPr>
                <w:rFonts w:hint="default"/>
              </w:rPr>
            </w:pPr>
            <w:r>
              <w:rPr>
                <w:rFonts w:hint="default"/>
              </w:rPr>
              <w:t>层次</w:t>
            </w:r>
          </w:p>
        </w:tc>
        <w:tc>
          <w:tcPr>
            <w:tcW w:w="2844" w:type="pct"/>
            <w:gridSpan w:val="3"/>
            <w:noWrap w:val="0"/>
            <w:vAlign w:val="center"/>
          </w:tcPr>
          <w:p w14:paraId="2E7A6AC8">
            <w:pPr>
              <w:pStyle w:val="43"/>
              <w:bidi w:val="0"/>
              <w:rPr>
                <w:rFonts w:hint="default"/>
                <w:lang w:val="en-US" w:eastAsia="zh-CN"/>
              </w:rPr>
            </w:pPr>
            <w:r>
              <w:rPr>
                <w:rFonts w:hint="default"/>
              </w:rPr>
              <w:t>0~0.</w:t>
            </w:r>
            <w:r>
              <w:rPr>
                <w:rFonts w:hint="eastAsia"/>
                <w:lang w:val="en-US" w:eastAsia="zh-CN"/>
              </w:rPr>
              <w:t>2</w:t>
            </w:r>
            <w:r>
              <w:rPr>
                <w:rFonts w:hint="default"/>
                <w:lang w:val="en-US" w:eastAsia="zh-CN"/>
              </w:rPr>
              <w:t>m</w:t>
            </w:r>
          </w:p>
        </w:tc>
      </w:tr>
      <w:tr w14:paraId="0000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restart"/>
            <w:noWrap w:val="0"/>
            <w:vAlign w:val="center"/>
          </w:tcPr>
          <w:p w14:paraId="033A8FD7">
            <w:pPr>
              <w:pStyle w:val="43"/>
              <w:bidi w:val="0"/>
              <w:rPr>
                <w:rFonts w:hint="default"/>
              </w:rPr>
            </w:pPr>
            <w:r>
              <w:rPr>
                <w:rFonts w:hint="default"/>
              </w:rPr>
              <w:t>现场记录</w:t>
            </w:r>
          </w:p>
        </w:tc>
        <w:tc>
          <w:tcPr>
            <w:tcW w:w="1487" w:type="pct"/>
            <w:noWrap w:val="0"/>
            <w:vAlign w:val="center"/>
          </w:tcPr>
          <w:p w14:paraId="653961D5">
            <w:pPr>
              <w:pStyle w:val="43"/>
              <w:bidi w:val="0"/>
              <w:rPr>
                <w:rFonts w:hint="default"/>
              </w:rPr>
            </w:pPr>
            <w:r>
              <w:rPr>
                <w:rFonts w:hint="default"/>
              </w:rPr>
              <w:t>颜色</w:t>
            </w:r>
          </w:p>
        </w:tc>
        <w:tc>
          <w:tcPr>
            <w:tcW w:w="2844" w:type="pct"/>
            <w:gridSpan w:val="3"/>
            <w:noWrap w:val="0"/>
            <w:vAlign w:val="center"/>
          </w:tcPr>
          <w:p w14:paraId="4B866367">
            <w:pPr>
              <w:pStyle w:val="43"/>
              <w:bidi w:val="0"/>
              <w:rPr>
                <w:rFonts w:hint="default"/>
                <w:lang w:val="en-US" w:eastAsia="zh-CN"/>
              </w:rPr>
            </w:pPr>
            <w:r>
              <w:rPr>
                <w:rFonts w:hint="default"/>
                <w:lang w:val="en-US" w:eastAsia="zh-CN"/>
              </w:rPr>
              <w:t>红棕</w:t>
            </w:r>
          </w:p>
        </w:tc>
      </w:tr>
      <w:tr w14:paraId="5572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16948344">
            <w:pPr>
              <w:pStyle w:val="43"/>
              <w:bidi w:val="0"/>
              <w:rPr>
                <w:rFonts w:hint="default"/>
              </w:rPr>
            </w:pPr>
          </w:p>
        </w:tc>
        <w:tc>
          <w:tcPr>
            <w:tcW w:w="1487" w:type="pct"/>
            <w:noWrap w:val="0"/>
            <w:vAlign w:val="center"/>
          </w:tcPr>
          <w:p w14:paraId="0B3D28D6">
            <w:pPr>
              <w:pStyle w:val="43"/>
              <w:bidi w:val="0"/>
              <w:rPr>
                <w:rFonts w:hint="default"/>
              </w:rPr>
            </w:pPr>
            <w:r>
              <w:rPr>
                <w:rFonts w:hint="default"/>
              </w:rPr>
              <w:t>结构</w:t>
            </w:r>
          </w:p>
        </w:tc>
        <w:tc>
          <w:tcPr>
            <w:tcW w:w="2844" w:type="pct"/>
            <w:gridSpan w:val="3"/>
            <w:noWrap w:val="0"/>
            <w:vAlign w:val="center"/>
          </w:tcPr>
          <w:p w14:paraId="41343B63">
            <w:pPr>
              <w:pStyle w:val="43"/>
              <w:bidi w:val="0"/>
              <w:rPr>
                <w:rFonts w:hint="default"/>
                <w:lang w:val="en-US" w:eastAsia="zh-CN"/>
              </w:rPr>
            </w:pPr>
            <w:r>
              <w:rPr>
                <w:rFonts w:hint="default"/>
                <w:lang w:val="en-US" w:eastAsia="zh-CN"/>
              </w:rPr>
              <w:t>团粒</w:t>
            </w:r>
          </w:p>
        </w:tc>
      </w:tr>
      <w:tr w14:paraId="50E8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6F6F68A9">
            <w:pPr>
              <w:pStyle w:val="43"/>
              <w:bidi w:val="0"/>
              <w:rPr>
                <w:rFonts w:hint="default"/>
              </w:rPr>
            </w:pPr>
          </w:p>
        </w:tc>
        <w:tc>
          <w:tcPr>
            <w:tcW w:w="1487" w:type="pct"/>
            <w:noWrap w:val="0"/>
            <w:vAlign w:val="center"/>
          </w:tcPr>
          <w:p w14:paraId="6A1D8BB2">
            <w:pPr>
              <w:pStyle w:val="43"/>
              <w:bidi w:val="0"/>
              <w:rPr>
                <w:rFonts w:hint="default"/>
              </w:rPr>
            </w:pPr>
            <w:r>
              <w:rPr>
                <w:rFonts w:hint="default"/>
              </w:rPr>
              <w:t>质地</w:t>
            </w:r>
          </w:p>
        </w:tc>
        <w:tc>
          <w:tcPr>
            <w:tcW w:w="2844" w:type="pct"/>
            <w:gridSpan w:val="3"/>
            <w:noWrap w:val="0"/>
            <w:vAlign w:val="center"/>
          </w:tcPr>
          <w:p w14:paraId="2E9DD390">
            <w:pPr>
              <w:pStyle w:val="43"/>
              <w:bidi w:val="0"/>
              <w:rPr>
                <w:rFonts w:hint="default"/>
                <w:lang w:val="en-US" w:eastAsia="zh-CN"/>
              </w:rPr>
            </w:pPr>
            <w:r>
              <w:rPr>
                <w:rFonts w:hint="eastAsia"/>
                <w:lang w:val="en-US" w:eastAsia="zh-CN"/>
              </w:rPr>
              <w:t>中</w:t>
            </w:r>
            <w:r>
              <w:rPr>
                <w:rFonts w:hint="default"/>
                <w:lang w:val="en-US" w:eastAsia="zh-CN"/>
              </w:rPr>
              <w:t>壤土</w:t>
            </w:r>
          </w:p>
        </w:tc>
      </w:tr>
      <w:tr w14:paraId="51DB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3BCF2A2E">
            <w:pPr>
              <w:pStyle w:val="43"/>
              <w:bidi w:val="0"/>
              <w:rPr>
                <w:rFonts w:hint="default"/>
              </w:rPr>
            </w:pPr>
          </w:p>
        </w:tc>
        <w:tc>
          <w:tcPr>
            <w:tcW w:w="1487" w:type="pct"/>
            <w:noWrap w:val="0"/>
            <w:vAlign w:val="center"/>
          </w:tcPr>
          <w:p w14:paraId="4A1FEB71">
            <w:pPr>
              <w:pStyle w:val="43"/>
              <w:bidi w:val="0"/>
              <w:rPr>
                <w:rFonts w:hint="default"/>
              </w:rPr>
            </w:pPr>
            <w:r>
              <w:rPr>
                <w:rFonts w:hint="default"/>
              </w:rPr>
              <w:t>砂砾含量</w:t>
            </w:r>
          </w:p>
        </w:tc>
        <w:tc>
          <w:tcPr>
            <w:tcW w:w="2844" w:type="pct"/>
            <w:gridSpan w:val="3"/>
            <w:noWrap w:val="0"/>
            <w:vAlign w:val="center"/>
          </w:tcPr>
          <w:p w14:paraId="15BE8743">
            <w:pPr>
              <w:pStyle w:val="43"/>
              <w:bidi w:val="0"/>
              <w:rPr>
                <w:rFonts w:hint="default"/>
                <w:lang w:val="en-US" w:eastAsia="zh-CN"/>
              </w:rPr>
            </w:pPr>
            <w:r>
              <w:rPr>
                <w:rFonts w:hint="eastAsia"/>
                <w:lang w:val="en-US" w:eastAsia="zh-CN"/>
              </w:rPr>
              <w:t>8</w:t>
            </w:r>
            <w:r>
              <w:rPr>
                <w:rFonts w:hint="default"/>
                <w:lang w:val="en-US" w:eastAsia="zh-CN"/>
              </w:rPr>
              <w:t>%</w:t>
            </w:r>
          </w:p>
        </w:tc>
      </w:tr>
      <w:tr w14:paraId="05B8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75E1B63E">
            <w:pPr>
              <w:pStyle w:val="43"/>
              <w:bidi w:val="0"/>
              <w:rPr>
                <w:rFonts w:hint="default"/>
              </w:rPr>
            </w:pPr>
          </w:p>
        </w:tc>
        <w:tc>
          <w:tcPr>
            <w:tcW w:w="1487" w:type="pct"/>
            <w:noWrap w:val="0"/>
            <w:vAlign w:val="center"/>
          </w:tcPr>
          <w:p w14:paraId="2ECD8C27">
            <w:pPr>
              <w:pStyle w:val="43"/>
              <w:bidi w:val="0"/>
              <w:rPr>
                <w:rFonts w:hint="default"/>
              </w:rPr>
            </w:pPr>
            <w:r>
              <w:rPr>
                <w:rFonts w:hint="default"/>
              </w:rPr>
              <w:t>其他异物</w:t>
            </w:r>
          </w:p>
        </w:tc>
        <w:tc>
          <w:tcPr>
            <w:tcW w:w="2844" w:type="pct"/>
            <w:gridSpan w:val="3"/>
            <w:noWrap w:val="0"/>
            <w:vAlign w:val="center"/>
          </w:tcPr>
          <w:p w14:paraId="41001ADA">
            <w:pPr>
              <w:pStyle w:val="43"/>
              <w:bidi w:val="0"/>
              <w:rPr>
                <w:rFonts w:hint="default"/>
                <w:lang w:val="en-US" w:eastAsia="zh-CN"/>
              </w:rPr>
            </w:pPr>
            <w:r>
              <w:rPr>
                <w:rFonts w:hint="default"/>
                <w:lang w:val="en-US" w:eastAsia="zh-CN"/>
              </w:rPr>
              <w:t>砂砾</w:t>
            </w:r>
            <w:r>
              <w:rPr>
                <w:rFonts w:hint="eastAsia"/>
                <w:lang w:val="en-US" w:eastAsia="zh-CN"/>
              </w:rPr>
              <w:t>、树根</w:t>
            </w:r>
          </w:p>
        </w:tc>
      </w:tr>
      <w:tr w14:paraId="58DF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restart"/>
            <w:noWrap w:val="0"/>
            <w:vAlign w:val="center"/>
          </w:tcPr>
          <w:p w14:paraId="3B67F64D">
            <w:pPr>
              <w:pStyle w:val="43"/>
              <w:bidi w:val="0"/>
              <w:rPr>
                <w:rFonts w:hint="default"/>
              </w:rPr>
            </w:pPr>
            <w:r>
              <w:rPr>
                <w:rFonts w:hint="default"/>
              </w:rPr>
              <w:t>实验室测定</w:t>
            </w:r>
          </w:p>
        </w:tc>
        <w:tc>
          <w:tcPr>
            <w:tcW w:w="1487" w:type="pct"/>
            <w:noWrap w:val="0"/>
            <w:vAlign w:val="center"/>
          </w:tcPr>
          <w:p w14:paraId="2EDB18B3">
            <w:pPr>
              <w:pStyle w:val="43"/>
              <w:bidi w:val="0"/>
              <w:rPr>
                <w:rFonts w:hint="default"/>
                <w:lang w:val="en-US" w:eastAsia="zh-CN"/>
              </w:rPr>
            </w:pPr>
            <w:r>
              <w:rPr>
                <w:rFonts w:hint="default"/>
              </w:rPr>
              <w:t>pH值</w:t>
            </w:r>
          </w:p>
        </w:tc>
        <w:tc>
          <w:tcPr>
            <w:tcW w:w="2844" w:type="pct"/>
            <w:gridSpan w:val="3"/>
            <w:shd w:val="clear" w:color="auto" w:fill="auto"/>
            <w:noWrap w:val="0"/>
            <w:vAlign w:val="center"/>
          </w:tcPr>
          <w:p w14:paraId="41A0D946">
            <w:pPr>
              <w:pStyle w:val="43"/>
              <w:bidi w:val="0"/>
              <w:rPr>
                <w:rFonts w:hint="default"/>
                <w:lang w:val="en-US" w:eastAsia="zh-CN"/>
              </w:rPr>
            </w:pPr>
            <w:r>
              <w:rPr>
                <w:rFonts w:hint="eastAsia"/>
                <w:lang w:val="en-US" w:eastAsia="zh-CN"/>
              </w:rPr>
              <w:t>8.18</w:t>
            </w:r>
          </w:p>
        </w:tc>
      </w:tr>
      <w:tr w14:paraId="1AE3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5E4DC100">
            <w:pPr>
              <w:pStyle w:val="43"/>
              <w:bidi w:val="0"/>
              <w:rPr>
                <w:rFonts w:hint="default"/>
              </w:rPr>
            </w:pPr>
          </w:p>
        </w:tc>
        <w:tc>
          <w:tcPr>
            <w:tcW w:w="1487" w:type="pct"/>
            <w:noWrap w:val="0"/>
            <w:vAlign w:val="center"/>
          </w:tcPr>
          <w:p w14:paraId="6EECD221">
            <w:pPr>
              <w:pStyle w:val="43"/>
              <w:bidi w:val="0"/>
              <w:rPr>
                <w:rFonts w:hint="default"/>
                <w:lang w:val="en-US" w:eastAsia="zh-CN"/>
              </w:rPr>
            </w:pPr>
            <w:r>
              <w:rPr>
                <w:rFonts w:hint="default"/>
                <w:lang w:eastAsia="zh-CN"/>
              </w:rPr>
              <w:t>阳离子交换量cmol+/kg</w:t>
            </w:r>
          </w:p>
        </w:tc>
        <w:tc>
          <w:tcPr>
            <w:tcW w:w="2844" w:type="pct"/>
            <w:gridSpan w:val="3"/>
            <w:shd w:val="clear" w:color="auto" w:fill="auto"/>
            <w:noWrap w:val="0"/>
            <w:vAlign w:val="center"/>
          </w:tcPr>
          <w:p w14:paraId="145C9673">
            <w:pPr>
              <w:pStyle w:val="43"/>
              <w:bidi w:val="0"/>
              <w:rPr>
                <w:rFonts w:hint="default"/>
                <w:lang w:val="en-US" w:eastAsia="zh-CN"/>
              </w:rPr>
            </w:pPr>
            <w:r>
              <w:rPr>
                <w:rFonts w:hint="eastAsia"/>
                <w:lang w:val="en-US" w:eastAsia="zh-CN"/>
              </w:rPr>
              <w:t>5.9</w:t>
            </w:r>
          </w:p>
        </w:tc>
      </w:tr>
      <w:tr w14:paraId="00A9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08848AC7">
            <w:pPr>
              <w:pStyle w:val="43"/>
              <w:bidi w:val="0"/>
              <w:rPr>
                <w:rFonts w:hint="default"/>
              </w:rPr>
            </w:pPr>
          </w:p>
        </w:tc>
        <w:tc>
          <w:tcPr>
            <w:tcW w:w="1487" w:type="pct"/>
            <w:noWrap w:val="0"/>
            <w:vAlign w:val="center"/>
          </w:tcPr>
          <w:p w14:paraId="38931F71">
            <w:pPr>
              <w:pStyle w:val="43"/>
              <w:bidi w:val="0"/>
              <w:rPr>
                <w:rFonts w:hint="default"/>
                <w:lang w:val="en-US" w:eastAsia="zh-CN"/>
              </w:rPr>
            </w:pPr>
            <w:r>
              <w:rPr>
                <w:rFonts w:hint="default"/>
                <w:lang w:eastAsia="zh-CN"/>
              </w:rPr>
              <w:t>氧化还原电位（mV）</w:t>
            </w:r>
          </w:p>
        </w:tc>
        <w:tc>
          <w:tcPr>
            <w:tcW w:w="2844" w:type="pct"/>
            <w:gridSpan w:val="3"/>
            <w:noWrap w:val="0"/>
            <w:vAlign w:val="center"/>
          </w:tcPr>
          <w:p w14:paraId="774AC95F">
            <w:pPr>
              <w:pStyle w:val="43"/>
              <w:bidi w:val="0"/>
              <w:rPr>
                <w:rFonts w:hint="default"/>
                <w:lang w:val="en-US" w:eastAsia="zh-CN"/>
              </w:rPr>
            </w:pPr>
            <w:r>
              <w:rPr>
                <w:rFonts w:hint="eastAsia"/>
                <w:lang w:val="en-US" w:eastAsia="zh-CN"/>
              </w:rPr>
              <w:t>411</w:t>
            </w:r>
          </w:p>
        </w:tc>
      </w:tr>
      <w:tr w14:paraId="1283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76D92918">
            <w:pPr>
              <w:pStyle w:val="43"/>
              <w:bidi w:val="0"/>
              <w:rPr>
                <w:rFonts w:hint="default"/>
              </w:rPr>
            </w:pPr>
          </w:p>
        </w:tc>
        <w:tc>
          <w:tcPr>
            <w:tcW w:w="1487" w:type="pct"/>
            <w:noWrap w:val="0"/>
            <w:vAlign w:val="center"/>
          </w:tcPr>
          <w:p w14:paraId="05E82F53">
            <w:pPr>
              <w:pStyle w:val="43"/>
              <w:bidi w:val="0"/>
              <w:rPr>
                <w:rFonts w:hint="default"/>
                <w:lang w:val="en-US" w:eastAsia="zh-CN"/>
              </w:rPr>
            </w:pPr>
            <w:r>
              <w:rPr>
                <w:rFonts w:hint="default"/>
              </w:rPr>
              <w:t>饱和导水率/（</w:t>
            </w:r>
            <w:r>
              <w:rPr>
                <w:rFonts w:hint="default"/>
                <w:lang w:eastAsia="zh-CN"/>
              </w:rPr>
              <w:t>mm/min</w:t>
            </w:r>
            <w:r>
              <w:rPr>
                <w:rFonts w:hint="default"/>
              </w:rPr>
              <w:t>）</w:t>
            </w:r>
          </w:p>
        </w:tc>
        <w:tc>
          <w:tcPr>
            <w:tcW w:w="2844" w:type="pct"/>
            <w:gridSpan w:val="3"/>
            <w:noWrap w:val="0"/>
            <w:vAlign w:val="center"/>
          </w:tcPr>
          <w:p w14:paraId="64986A86">
            <w:pPr>
              <w:pStyle w:val="43"/>
              <w:bidi w:val="0"/>
              <w:rPr>
                <w:rFonts w:hint="default"/>
                <w:lang w:val="en-US" w:eastAsia="zh-CN"/>
              </w:rPr>
            </w:pPr>
            <w:r>
              <w:rPr>
                <w:rFonts w:hint="eastAsia"/>
                <w:lang w:val="en-US" w:eastAsia="zh-CN"/>
              </w:rPr>
              <w:t>4.53</w:t>
            </w:r>
          </w:p>
        </w:tc>
      </w:tr>
      <w:tr w14:paraId="0708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6BF46299">
            <w:pPr>
              <w:pStyle w:val="43"/>
              <w:bidi w:val="0"/>
              <w:rPr>
                <w:rFonts w:hint="default"/>
              </w:rPr>
            </w:pPr>
          </w:p>
        </w:tc>
        <w:tc>
          <w:tcPr>
            <w:tcW w:w="1487" w:type="pct"/>
            <w:noWrap w:val="0"/>
            <w:vAlign w:val="center"/>
          </w:tcPr>
          <w:p w14:paraId="069F2C12">
            <w:pPr>
              <w:pStyle w:val="43"/>
              <w:bidi w:val="0"/>
              <w:rPr>
                <w:rFonts w:hint="default"/>
                <w:lang w:val="en-US" w:eastAsia="zh-CN"/>
              </w:rPr>
            </w:pPr>
            <w:r>
              <w:rPr>
                <w:rFonts w:hint="default"/>
              </w:rPr>
              <w:t>土壤容重/（kg/</w:t>
            </w:r>
            <w:r>
              <w:rPr>
                <w:rFonts w:hint="eastAsia"/>
                <w:lang w:eastAsia="zh-CN"/>
              </w:rPr>
              <w:t>m</w:t>
            </w:r>
            <w:r>
              <w:rPr>
                <w:rFonts w:hint="eastAsia"/>
                <w:vertAlign w:val="superscript"/>
                <w:lang w:eastAsia="zh-CN"/>
              </w:rPr>
              <w:t>3</w:t>
            </w:r>
            <w:r>
              <w:rPr>
                <w:rFonts w:hint="default"/>
              </w:rPr>
              <w:t>）</w:t>
            </w:r>
          </w:p>
        </w:tc>
        <w:tc>
          <w:tcPr>
            <w:tcW w:w="2844" w:type="pct"/>
            <w:gridSpan w:val="3"/>
            <w:noWrap w:val="0"/>
            <w:vAlign w:val="center"/>
          </w:tcPr>
          <w:p w14:paraId="6C757CE7">
            <w:pPr>
              <w:pStyle w:val="43"/>
              <w:bidi w:val="0"/>
              <w:rPr>
                <w:rFonts w:hint="default"/>
                <w:lang w:val="en-US" w:eastAsia="zh-CN"/>
              </w:rPr>
            </w:pPr>
            <w:r>
              <w:rPr>
                <w:rFonts w:hint="eastAsia"/>
                <w:lang w:val="en-US" w:eastAsia="zh-CN"/>
              </w:rPr>
              <w:t>1368</w:t>
            </w:r>
          </w:p>
        </w:tc>
      </w:tr>
      <w:tr w14:paraId="5246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8" w:type="pct"/>
            <w:vMerge w:val="continue"/>
            <w:noWrap w:val="0"/>
            <w:vAlign w:val="center"/>
          </w:tcPr>
          <w:p w14:paraId="502B3FDE">
            <w:pPr>
              <w:pStyle w:val="43"/>
              <w:bidi w:val="0"/>
              <w:rPr>
                <w:rFonts w:hint="default"/>
              </w:rPr>
            </w:pPr>
          </w:p>
        </w:tc>
        <w:tc>
          <w:tcPr>
            <w:tcW w:w="1487" w:type="pct"/>
            <w:noWrap w:val="0"/>
            <w:vAlign w:val="center"/>
          </w:tcPr>
          <w:p w14:paraId="0F071210">
            <w:pPr>
              <w:pStyle w:val="43"/>
              <w:bidi w:val="0"/>
              <w:rPr>
                <w:rFonts w:hint="default"/>
                <w:lang w:val="en-US" w:eastAsia="zh-CN"/>
              </w:rPr>
            </w:pPr>
            <w:r>
              <w:rPr>
                <w:rFonts w:hint="default"/>
              </w:rPr>
              <w:t>孔隙度</w:t>
            </w:r>
          </w:p>
        </w:tc>
        <w:tc>
          <w:tcPr>
            <w:tcW w:w="2844" w:type="pct"/>
            <w:gridSpan w:val="3"/>
            <w:noWrap w:val="0"/>
            <w:vAlign w:val="center"/>
          </w:tcPr>
          <w:p w14:paraId="550CD1B3">
            <w:pPr>
              <w:pStyle w:val="43"/>
              <w:bidi w:val="0"/>
              <w:rPr>
                <w:rFonts w:hint="default"/>
                <w:lang w:val="en-US" w:eastAsia="zh-CN"/>
              </w:rPr>
            </w:pPr>
            <w:r>
              <w:rPr>
                <w:rFonts w:hint="eastAsia"/>
                <w:lang w:val="en-US" w:eastAsia="zh-CN"/>
              </w:rPr>
              <w:t>47</w:t>
            </w:r>
          </w:p>
        </w:tc>
      </w:tr>
    </w:tbl>
    <w:p w14:paraId="6BAF8514">
      <w:pPr>
        <w:pStyle w:val="41"/>
        <w:bidi w:val="0"/>
        <w:rPr>
          <w:rFonts w:hint="eastAsia"/>
          <w:lang w:val="en-US" w:eastAsia="zh-CN"/>
        </w:rPr>
      </w:pPr>
      <w:r>
        <w:rPr>
          <w:rFonts w:hint="eastAsia"/>
          <w:lang w:eastAsia="zh-CN"/>
        </w:rPr>
        <w:t>根据各点位监测</w:t>
      </w:r>
      <w:r>
        <w:rPr>
          <w:rFonts w:hint="default"/>
          <w:lang w:eastAsia="zh-CN"/>
        </w:rPr>
        <w:t>，</w:t>
      </w:r>
      <w:r>
        <w:rPr>
          <w:rFonts w:hint="default"/>
          <w:lang w:val="en-US" w:eastAsia="zh-CN"/>
        </w:rPr>
        <w:t>项目区范围内</w:t>
      </w:r>
      <w:r>
        <w:rPr>
          <w:rFonts w:hint="default"/>
        </w:rPr>
        <w:t>土壤中污染物含量监测值</w:t>
      </w:r>
      <w:r>
        <w:rPr>
          <w:rFonts w:hint="default"/>
          <w:lang w:val="en-US" w:eastAsia="zh-CN"/>
        </w:rPr>
        <w:t>满足</w:t>
      </w:r>
      <w:r>
        <w:rPr>
          <w:rFonts w:hint="eastAsia"/>
          <w:lang w:eastAsia="zh-CN"/>
        </w:rPr>
        <w:t>《</w:t>
      </w:r>
      <w:r>
        <w:rPr>
          <w:rFonts w:hint="default"/>
        </w:rPr>
        <w:t>土壤环境质量 建设用地土壤污染风险管控标准（试行）》（GB36600-2018）第二类用地土壤污染风险筛选值。</w:t>
      </w:r>
      <w:r>
        <w:rPr>
          <w:rFonts w:hint="eastAsia"/>
          <w:lang w:val="en-US" w:eastAsia="zh-CN"/>
        </w:rPr>
        <w:t>项目区外农用地各监测点监测值满足</w:t>
      </w:r>
      <w:r>
        <w:rPr>
          <w:rFonts w:hint="eastAsia"/>
          <w:lang w:eastAsia="zh-CN"/>
        </w:rPr>
        <w:t>《</w:t>
      </w:r>
      <w:r>
        <w:rPr>
          <w:rFonts w:hint="default"/>
        </w:rPr>
        <w:t>土壤环境质量 农用地土壤污染风险管控标准（试行）》（GB 15618-2018）</w:t>
      </w:r>
      <w:r>
        <w:rPr>
          <w:rFonts w:hint="eastAsia"/>
          <w:lang w:eastAsia="zh-CN"/>
        </w:rPr>
        <w:t>。</w:t>
      </w:r>
    </w:p>
    <w:p w14:paraId="36B06655">
      <w:pPr>
        <w:pStyle w:val="2"/>
        <w:bidi w:val="0"/>
      </w:pPr>
      <w:r>
        <w:t>环境影响预测和评价</w:t>
      </w:r>
    </w:p>
    <w:p w14:paraId="62389773">
      <w:pPr>
        <w:pStyle w:val="3"/>
        <w:bidi w:val="0"/>
      </w:pPr>
      <w:r>
        <w:t>生态环境影响分析</w:t>
      </w:r>
      <w:r>
        <w:rPr>
          <w:rFonts w:hint="eastAsia"/>
          <w:lang w:val="en-US" w:eastAsia="zh-CN"/>
        </w:rPr>
        <w:t>及评价</w:t>
      </w:r>
    </w:p>
    <w:p w14:paraId="4523B1CE">
      <w:pPr>
        <w:pStyle w:val="4"/>
        <w:bidi w:val="0"/>
        <w:rPr>
          <w:rFonts w:hint="default"/>
          <w:lang w:val="en-US" w:eastAsia="zh-CN"/>
        </w:rPr>
      </w:pPr>
      <w:r>
        <w:rPr>
          <w:rFonts w:hint="eastAsia"/>
          <w:lang w:val="en-US" w:eastAsia="zh-CN"/>
        </w:rPr>
        <w:t>影响分析</w:t>
      </w:r>
    </w:p>
    <w:p w14:paraId="467C84C0">
      <w:pPr>
        <w:pStyle w:val="5"/>
        <w:bidi w:val="0"/>
      </w:pPr>
      <w:bookmarkStart w:id="360" w:name="_Toc168582608"/>
      <w:bookmarkStart w:id="361" w:name="_Toc209112469"/>
      <w:bookmarkStart w:id="362" w:name="_Toc118058214"/>
      <w:bookmarkStart w:id="363" w:name="_Toc113209380"/>
      <w:r>
        <w:t>对土地利用的影响</w:t>
      </w:r>
      <w:bookmarkEnd w:id="360"/>
      <w:bookmarkEnd w:id="361"/>
    </w:p>
    <w:p w14:paraId="4C01306C">
      <w:pPr>
        <w:pStyle w:val="41"/>
        <w:bidi w:val="0"/>
      </w:pPr>
      <w:bookmarkStart w:id="364" w:name="OLE_LINK81"/>
      <w:bookmarkStart w:id="365" w:name="OLE_LINK82"/>
      <w:r>
        <w:rPr>
          <w:rFonts w:hint="eastAsia"/>
        </w:rPr>
        <w:t>本项目</w:t>
      </w:r>
      <w:bookmarkStart w:id="366" w:name="OLE_LINK77"/>
      <w:bookmarkStart w:id="367" w:name="OLE_LINK78"/>
      <w:r>
        <w:rPr>
          <w:rFonts w:hint="eastAsia"/>
          <w:lang w:val="en-US" w:eastAsia="zh-CN"/>
        </w:rPr>
        <w:t>为改扩建项目，</w:t>
      </w:r>
      <w:bookmarkEnd w:id="366"/>
      <w:bookmarkEnd w:id="367"/>
      <w:r>
        <w:rPr>
          <w:rFonts w:hint="eastAsia"/>
          <w:lang w:val="en-US" w:eastAsia="zh-CN"/>
        </w:rPr>
        <w:t>扩建后产能扩大，但矿区范围缩小，场址位于原有矿权范围内</w:t>
      </w:r>
      <w:r>
        <w:rPr>
          <w:rFonts w:hint="eastAsia"/>
        </w:rPr>
        <w:t>，不涉及新增占</w:t>
      </w:r>
      <w:bookmarkStart w:id="368" w:name="OLE_LINK80"/>
      <w:bookmarkStart w:id="369" w:name="OLE_LINK79"/>
      <w:r>
        <w:rPr>
          <w:rFonts w:hint="eastAsia"/>
        </w:rPr>
        <w:t>地</w:t>
      </w:r>
      <w:bookmarkEnd w:id="368"/>
      <w:bookmarkEnd w:id="369"/>
      <w:r>
        <w:rPr>
          <w:rFonts w:hint="eastAsia"/>
        </w:rPr>
        <w:t>。</w:t>
      </w:r>
      <w:bookmarkEnd w:id="364"/>
      <w:bookmarkEnd w:id="365"/>
      <w:r>
        <w:rPr>
          <w:rFonts w:hint="eastAsia"/>
        </w:rPr>
        <w:t>本项目矿区范围现有主要工业场地位于矿区</w:t>
      </w:r>
      <w:r>
        <w:rPr>
          <w:rFonts w:hint="eastAsia"/>
          <w:lang w:val="en-US" w:eastAsia="zh-CN"/>
        </w:rPr>
        <w:t>西</w:t>
      </w:r>
      <w:r>
        <w:rPr>
          <w:rFonts w:hint="eastAsia"/>
        </w:rPr>
        <w:t>南部</w:t>
      </w:r>
      <w:r>
        <w:rPr>
          <w:rFonts w:hint="eastAsia"/>
          <w:lang w:eastAsia="zh-CN"/>
        </w:rPr>
        <w:t>，</w:t>
      </w:r>
      <w:r>
        <w:rPr>
          <w:rFonts w:hint="eastAsia"/>
          <w:lang w:val="en-US" w:eastAsia="zh-CN"/>
        </w:rPr>
        <w:t>本项目新增工业场地均在原项目占地范围内</w:t>
      </w:r>
      <w:r>
        <w:rPr>
          <w:rFonts w:hint="eastAsia"/>
        </w:rPr>
        <w:t>。因此，本项目不会导致土地利用类型的改变。</w:t>
      </w:r>
    </w:p>
    <w:p w14:paraId="4753B8D1">
      <w:pPr>
        <w:pStyle w:val="5"/>
        <w:bidi w:val="0"/>
      </w:pPr>
      <w:bookmarkStart w:id="370" w:name="_Toc168582609"/>
      <w:bookmarkStart w:id="371" w:name="_Toc209112470"/>
      <w:r>
        <w:t>对植被及植物资源的影响</w:t>
      </w:r>
      <w:bookmarkEnd w:id="370"/>
      <w:bookmarkEnd w:id="371"/>
    </w:p>
    <w:p w14:paraId="71E614C5">
      <w:pPr>
        <w:pStyle w:val="41"/>
        <w:bidi w:val="0"/>
        <w:rPr>
          <w:b/>
          <w:bCs/>
        </w:rPr>
      </w:pPr>
      <w:bookmarkStart w:id="372" w:name="_Toc168582611"/>
      <w:bookmarkStart w:id="373" w:name="_Toc209112471"/>
      <w:r>
        <w:rPr>
          <w:rFonts w:hint="eastAsia"/>
          <w:b/>
          <w:bCs/>
          <w:lang w:eastAsia="zh-CN"/>
        </w:rPr>
        <w:t>（</w:t>
      </w:r>
      <w:r>
        <w:rPr>
          <w:rFonts w:hint="eastAsia"/>
          <w:b/>
          <w:bCs/>
          <w:lang w:val="en-US" w:eastAsia="zh-CN"/>
        </w:rPr>
        <w:t>1）</w:t>
      </w:r>
      <w:r>
        <w:rPr>
          <w:rFonts w:hint="eastAsia"/>
          <w:b/>
          <w:bCs/>
        </w:rPr>
        <w:t>施工期对植被及植物资源</w:t>
      </w:r>
      <w:r>
        <w:rPr>
          <w:b/>
          <w:bCs/>
        </w:rPr>
        <w:t>的影响</w:t>
      </w:r>
      <w:bookmarkEnd w:id="372"/>
      <w:bookmarkEnd w:id="373"/>
    </w:p>
    <w:p w14:paraId="7FD8A830">
      <w:pPr>
        <w:pStyle w:val="41"/>
        <w:bidi w:val="0"/>
      </w:pPr>
      <w:r>
        <w:rPr>
          <w:rFonts w:hint="eastAsia"/>
        </w:rPr>
        <w:t>施工期对植被的影响主要为施工过程中产生的废水、固废、废气、扬尘等使周边植物的生命活动受阻，通过废水收集处理不外排、固废统一收集清运、洒水减少扬尘等措施。因此，工程施工期对评价范围内的植被及植物资源影响非常小。</w:t>
      </w:r>
    </w:p>
    <w:p w14:paraId="492FA607">
      <w:pPr>
        <w:pStyle w:val="41"/>
        <w:bidi w:val="0"/>
        <w:rPr>
          <w:b/>
          <w:bCs/>
        </w:rPr>
      </w:pPr>
      <w:bookmarkStart w:id="374" w:name="_Toc168582612"/>
      <w:r>
        <w:rPr>
          <w:rFonts w:hint="eastAsia"/>
          <w:b/>
          <w:bCs/>
          <w:lang w:val="en-US" w:eastAsia="zh-CN"/>
        </w:rPr>
        <w:t>（2）对永久基本农田的影响</w:t>
      </w:r>
    </w:p>
    <w:p w14:paraId="59EEF7FF">
      <w:pPr>
        <w:pStyle w:val="41"/>
        <w:bidi w:val="0"/>
      </w:pPr>
      <w:r>
        <w:rPr>
          <w:rFonts w:hint="eastAsia"/>
        </w:rPr>
        <w:t>本项目评价区范围内涉及</w:t>
      </w:r>
      <w:bookmarkStart w:id="375" w:name="OLE_LINK57"/>
      <w:bookmarkStart w:id="376" w:name="OLE_LINK58"/>
      <w:bookmarkStart w:id="377" w:name="OLE_LINK56"/>
      <w:r>
        <w:rPr>
          <w:rFonts w:hint="eastAsia"/>
        </w:rPr>
        <w:t>永久基本农</w:t>
      </w:r>
      <w:bookmarkEnd w:id="375"/>
      <w:bookmarkEnd w:id="376"/>
      <w:bookmarkEnd w:id="377"/>
      <w:r>
        <w:rPr>
          <w:rFonts w:hint="eastAsia"/>
        </w:rPr>
        <w:t>田</w:t>
      </w:r>
      <w:r>
        <w:rPr>
          <w:rFonts w:hint="eastAsia"/>
          <w:lang w:val="en-US" w:eastAsia="zh-CN"/>
        </w:rPr>
        <w:t>79.56</w:t>
      </w:r>
      <w:r>
        <w:rPr>
          <w:rFonts w:hint="eastAsia"/>
        </w:rPr>
        <w:t>hm</w:t>
      </w:r>
      <w:r>
        <w:rPr>
          <w:rFonts w:hint="eastAsia"/>
          <w:vertAlign w:val="superscript"/>
        </w:rPr>
        <w:t>2</w:t>
      </w:r>
      <w:r>
        <w:rPr>
          <w:rFonts w:hint="eastAsia"/>
        </w:rPr>
        <w:t>，</w:t>
      </w:r>
      <w:r>
        <w:rPr>
          <w:rFonts w:hint="eastAsia"/>
          <w:lang w:val="en-US" w:eastAsia="zh-CN"/>
        </w:rPr>
        <w:t>在本项目周边均有分布，本项目紧邻永久基本农田，但由于本项目为改建项目，仅在原有矿场范围内进行建设及开采活动</w:t>
      </w:r>
      <w:r>
        <w:rPr>
          <w:rFonts w:hint="eastAsia"/>
        </w:rPr>
        <w:t>，</w:t>
      </w:r>
      <w:r>
        <w:rPr>
          <w:rFonts w:hint="eastAsia"/>
          <w:lang w:val="en-US" w:eastAsia="zh-CN"/>
        </w:rPr>
        <w:t>不涉及基本农田占用，因此本</w:t>
      </w:r>
      <w:r>
        <w:rPr>
          <w:rFonts w:hint="eastAsia"/>
        </w:rPr>
        <w:t>项目对永久基本农田</w:t>
      </w:r>
      <w:r>
        <w:rPr>
          <w:rFonts w:hint="eastAsia"/>
          <w:lang w:val="en-US" w:eastAsia="zh-CN"/>
        </w:rPr>
        <w:t>影响较小</w:t>
      </w:r>
      <w:r>
        <w:rPr>
          <w:rFonts w:hint="eastAsia"/>
        </w:rPr>
        <w:t>。</w:t>
      </w:r>
    </w:p>
    <w:p w14:paraId="01B89689">
      <w:pPr>
        <w:pStyle w:val="41"/>
        <w:bidi w:val="0"/>
        <w:rPr>
          <w:b/>
          <w:bCs/>
        </w:rPr>
      </w:pPr>
      <w:bookmarkStart w:id="378" w:name="_Toc168582616"/>
      <w:r>
        <w:rPr>
          <w:rFonts w:hint="eastAsia"/>
          <w:b/>
          <w:bCs/>
          <w:lang w:eastAsia="zh-CN"/>
        </w:rPr>
        <w:t>（</w:t>
      </w:r>
      <w:r>
        <w:rPr>
          <w:rFonts w:hint="eastAsia"/>
          <w:b/>
          <w:bCs/>
          <w:lang w:val="en-US" w:eastAsia="zh-CN"/>
        </w:rPr>
        <w:t>3）</w:t>
      </w:r>
      <w:r>
        <w:rPr>
          <w:rFonts w:hint="eastAsia"/>
          <w:b/>
          <w:bCs/>
        </w:rPr>
        <w:t>植物入侵的风险分析</w:t>
      </w:r>
      <w:bookmarkEnd w:id="378"/>
    </w:p>
    <w:p w14:paraId="2173A6E4">
      <w:pPr>
        <w:pStyle w:val="41"/>
        <w:bidi w:val="0"/>
      </w:pPr>
      <w:r>
        <w:rPr>
          <w:rFonts w:hint="eastAsia"/>
        </w:rPr>
        <w:t>评价区外来物种</w:t>
      </w:r>
      <w:r>
        <w:rPr>
          <w:rFonts w:hint="eastAsia"/>
          <w:lang w:val="en-US" w:eastAsia="zh-CN"/>
        </w:rPr>
        <w:t>有</w:t>
      </w:r>
      <w:r>
        <w:rPr>
          <w:rFonts w:hint="eastAsia"/>
        </w:rPr>
        <w:t>藿香蓟、假臭草、鬼针草</w:t>
      </w:r>
      <w:r>
        <w:rPr>
          <w:rFonts w:hint="eastAsia"/>
          <w:lang w:val="en-US" w:eastAsia="zh-CN"/>
        </w:rPr>
        <w:t>等</w:t>
      </w:r>
      <w:r>
        <w:rPr>
          <w:rFonts w:hint="eastAsia"/>
        </w:rPr>
        <w:t>零星分布于路边荒地附近，个体数量不大，未形成单一优势群落，对当地的生态系统和物种尚未发现产生不利影响。再加上生态入侵本身属于人为可控，只要严格检查外来人员及车辆，防范外来种的带入，可大幅降低生态入侵发生的概率。因此，本项目建设基本不会对评价区带来生态入侵的不利影响。</w:t>
      </w:r>
    </w:p>
    <w:p w14:paraId="6CD6373E">
      <w:pPr>
        <w:pStyle w:val="41"/>
        <w:bidi w:val="0"/>
        <w:rPr>
          <w:b/>
          <w:bCs/>
        </w:rPr>
      </w:pPr>
      <w:bookmarkStart w:id="379" w:name="_Toc209112472"/>
      <w:r>
        <w:rPr>
          <w:rFonts w:hint="eastAsia"/>
          <w:b/>
          <w:bCs/>
          <w:lang w:eastAsia="zh-CN"/>
        </w:rPr>
        <w:t>（</w:t>
      </w:r>
      <w:r>
        <w:rPr>
          <w:rFonts w:hint="eastAsia"/>
          <w:b/>
          <w:bCs/>
          <w:lang w:val="en-US" w:eastAsia="zh-CN"/>
        </w:rPr>
        <w:t>4）</w:t>
      </w:r>
      <w:r>
        <w:rPr>
          <w:rFonts w:hint="eastAsia"/>
          <w:b/>
          <w:bCs/>
        </w:rPr>
        <w:t>开采期对植被及植被资源</w:t>
      </w:r>
      <w:r>
        <w:rPr>
          <w:b/>
          <w:bCs/>
        </w:rPr>
        <w:t>的影响</w:t>
      </w:r>
      <w:bookmarkEnd w:id="374"/>
      <w:bookmarkEnd w:id="379"/>
    </w:p>
    <w:p w14:paraId="1BF398A3">
      <w:pPr>
        <w:pStyle w:val="41"/>
        <w:bidi w:val="0"/>
      </w:pPr>
      <w:r>
        <w:rPr>
          <w:rFonts w:hint="eastAsia"/>
        </w:rPr>
        <w:t>开采期对植被及植物资源的影响主要为生产过程中产生的废水、固废、废气、扬尘及人为干扰等产生的间接影响使周边植物的生命活动受阻，矿山开采过程导致的土壤、地下水变化对植物正常生长造成的影响。</w:t>
      </w:r>
    </w:p>
    <w:p w14:paraId="2D98FC0F">
      <w:pPr>
        <w:pStyle w:val="41"/>
        <w:bidi w:val="0"/>
      </w:pPr>
      <w:r>
        <w:rPr>
          <w:rFonts w:hint="eastAsia"/>
        </w:rPr>
        <w:t>一方面，本项目废气均通过治理后达标排放、工业场地初期雨水、地下矿井涌水及充填溢流水、车辆冲洗废水、充填站废水、机修废水、空压机冷却废水及生活污水处理后回用不外排、固废分类处置、厂区内采用洒水降尘，不会因生产过程中产生的废水、固废、废气、扬尘及人为干扰，造成周边植物的生命活动受阻。</w:t>
      </w:r>
    </w:p>
    <w:p w14:paraId="71124220">
      <w:pPr>
        <w:pStyle w:val="41"/>
        <w:bidi w:val="0"/>
      </w:pPr>
      <w:r>
        <w:rPr>
          <w:rFonts w:hint="eastAsia"/>
        </w:rPr>
        <w:t>开采期通过采取上述措施，对项目周边植物的影响较小。</w:t>
      </w:r>
    </w:p>
    <w:p w14:paraId="01F769EF">
      <w:pPr>
        <w:pStyle w:val="5"/>
        <w:bidi w:val="0"/>
      </w:pPr>
      <w:bookmarkStart w:id="380" w:name="_Toc168582617"/>
      <w:bookmarkStart w:id="381" w:name="_Toc209112473"/>
      <w:r>
        <w:t>对</w:t>
      </w:r>
      <w:r>
        <w:rPr>
          <w:rFonts w:hint="eastAsia"/>
        </w:rPr>
        <w:t>野生动物</w:t>
      </w:r>
      <w:r>
        <w:t>的影响</w:t>
      </w:r>
      <w:bookmarkEnd w:id="380"/>
      <w:bookmarkEnd w:id="381"/>
    </w:p>
    <w:p w14:paraId="0BA7B644">
      <w:pPr>
        <w:pStyle w:val="41"/>
        <w:bidi w:val="0"/>
        <w:rPr>
          <w:b/>
          <w:bCs/>
        </w:rPr>
      </w:pPr>
      <w:bookmarkStart w:id="382" w:name="_Toc168582618"/>
      <w:bookmarkStart w:id="383" w:name="_Toc209112474"/>
      <w:bookmarkStart w:id="384" w:name="_Toc118735982"/>
      <w:r>
        <w:rPr>
          <w:rFonts w:hint="eastAsia"/>
          <w:b/>
          <w:bCs/>
          <w:lang w:eastAsia="zh-CN"/>
        </w:rPr>
        <w:t>（</w:t>
      </w:r>
      <w:r>
        <w:rPr>
          <w:rFonts w:hint="eastAsia"/>
          <w:b/>
          <w:bCs/>
          <w:lang w:val="en-US" w:eastAsia="zh-CN"/>
        </w:rPr>
        <w:t>1）</w:t>
      </w:r>
      <w:r>
        <w:rPr>
          <w:rFonts w:hint="eastAsia"/>
          <w:b/>
          <w:bCs/>
        </w:rPr>
        <w:t>施工期</w:t>
      </w:r>
      <w:r>
        <w:rPr>
          <w:b/>
          <w:bCs/>
        </w:rPr>
        <w:t>对野生动物的影响</w:t>
      </w:r>
      <w:bookmarkEnd w:id="382"/>
      <w:bookmarkEnd w:id="383"/>
      <w:bookmarkEnd w:id="384"/>
    </w:p>
    <w:p w14:paraId="4CCC27A5">
      <w:pPr>
        <w:pStyle w:val="41"/>
        <w:bidi w:val="0"/>
      </w:pPr>
      <w:r>
        <w:rPr>
          <w:rFonts w:hint="eastAsia"/>
        </w:rPr>
        <w:t>施工期间施工活动对动物的影响主要体现在施工噪声、震动、灯光及人为干扰等。本项目所在地采矿多年，周边动物较少，区域</w:t>
      </w:r>
      <w:r>
        <w:rPr>
          <w:rFonts w:hint="eastAsia"/>
          <w:lang w:eastAsia="zh-CN"/>
        </w:rPr>
        <w:t>以鼠类小型野生动物为主</w:t>
      </w:r>
      <w:r>
        <w:rPr>
          <w:rFonts w:hint="eastAsia"/>
        </w:rPr>
        <w:t>，已适应采矿噪声，项目施工机械均采用低噪声设备；项目禁止在夜间进行施工活动，对区域夜行野生动物生物多样性基本无影响。矿区作业对野生动物的影响较小。</w:t>
      </w:r>
    </w:p>
    <w:p w14:paraId="4F19B0B1">
      <w:pPr>
        <w:pStyle w:val="41"/>
        <w:bidi w:val="0"/>
        <w:rPr>
          <w:b/>
          <w:bCs/>
        </w:rPr>
      </w:pPr>
      <w:r>
        <w:rPr>
          <w:rFonts w:hint="eastAsia"/>
          <w:b/>
          <w:bCs/>
          <w:lang w:val="en-US" w:eastAsia="zh-CN"/>
        </w:rPr>
        <w:t>1）</w:t>
      </w:r>
      <w:r>
        <w:rPr>
          <w:rFonts w:hint="eastAsia"/>
          <w:b/>
          <w:bCs/>
        </w:rPr>
        <w:t>对</w:t>
      </w:r>
      <w:r>
        <w:rPr>
          <w:rFonts w:hint="eastAsia"/>
          <w:b/>
          <w:bCs/>
          <w:lang w:eastAsia="zh-CN"/>
        </w:rPr>
        <w:t>两栖</w:t>
      </w:r>
      <w:r>
        <w:rPr>
          <w:rFonts w:hint="eastAsia"/>
          <w:b/>
          <w:bCs/>
        </w:rPr>
        <w:t>动物的影响</w:t>
      </w:r>
    </w:p>
    <w:p w14:paraId="279C68A5">
      <w:pPr>
        <w:pStyle w:val="41"/>
        <w:bidi w:val="0"/>
      </w:pPr>
      <w:r>
        <w:rPr>
          <w:rFonts w:hint="eastAsia"/>
        </w:rPr>
        <w:t>评价区内的两栖和爬行类动物主要生活在新寨附近的水田中，施工区没有</w:t>
      </w:r>
      <w:r>
        <w:rPr>
          <w:rFonts w:hint="eastAsia"/>
          <w:lang w:eastAsia="zh-CN"/>
        </w:rPr>
        <w:t>其他</w:t>
      </w:r>
      <w:r>
        <w:rPr>
          <w:rFonts w:hint="eastAsia"/>
        </w:rPr>
        <w:t>栖息地，对其种群的生存不会造成大的威胁，也不会造成该区域内两爬物种的消失。</w:t>
      </w:r>
    </w:p>
    <w:p w14:paraId="36673C76">
      <w:pPr>
        <w:pStyle w:val="41"/>
        <w:bidi w:val="0"/>
        <w:rPr>
          <w:b/>
          <w:bCs/>
        </w:rPr>
      </w:pPr>
      <w:r>
        <w:rPr>
          <w:rFonts w:hint="eastAsia"/>
          <w:b/>
          <w:bCs/>
          <w:lang w:val="en-US" w:eastAsia="zh-CN"/>
        </w:rPr>
        <w:t>2）</w:t>
      </w:r>
      <w:r>
        <w:rPr>
          <w:rFonts w:hint="eastAsia"/>
          <w:b/>
          <w:bCs/>
        </w:rPr>
        <w:t>对爬行动物的影响</w:t>
      </w:r>
    </w:p>
    <w:p w14:paraId="597F5F61">
      <w:pPr>
        <w:pStyle w:val="41"/>
        <w:bidi w:val="0"/>
      </w:pPr>
      <w:r>
        <w:rPr>
          <w:rFonts w:hint="eastAsia"/>
        </w:rPr>
        <w:t>施工活动将产生大量废水、废渣；施工人员将产生大量分散的垃圾、粪便和生活污水，都会对周围土壤和溪流等形成污染，破坏爬行动物栖息地的质量，从而影响它们的生存和繁殖。施工生产生活废污水如果随意排放，会使地表水受到污染，爬行动物的食物及水环境也会变化，导致其生存困难或迁移。一些废水、弃渣等如果管理不规范，会对爬行动物的繁殖和栖息</w:t>
      </w:r>
      <w:r>
        <w:rPr>
          <w:rFonts w:hint="eastAsia"/>
          <w:lang w:eastAsia="zh-CN"/>
        </w:rPr>
        <w:t>产生</w:t>
      </w:r>
      <w:r>
        <w:rPr>
          <w:rFonts w:hint="eastAsia"/>
        </w:rPr>
        <w:t>不利影响。特别是在爬行动物的休眠期，因为迁移能力弱，施工开挖、填埋、蓄水，以及人为抓捕等，可能会引起爬行动物的种群数量减少。</w:t>
      </w:r>
    </w:p>
    <w:p w14:paraId="7FE4CE90">
      <w:pPr>
        <w:pStyle w:val="41"/>
        <w:bidi w:val="0"/>
      </w:pPr>
      <w:r>
        <w:rPr>
          <w:rFonts w:hint="eastAsia"/>
        </w:rPr>
        <w:t>评价区内的爬行类动物主要生活在草丛及灌丛中，施工区没有其适宜生境，爬行动物多活动于周边草丛及灌丛中，施工对其种群的生存不会造成大的威胁，也不会造成该区域内两爬物种的消失。施工结束后，周边的爬行类动物的生存环境将会逐渐得到恢复，总体而言，对其影响是暂时的。</w:t>
      </w:r>
    </w:p>
    <w:p w14:paraId="3A92F3B0">
      <w:pPr>
        <w:pStyle w:val="41"/>
        <w:bidi w:val="0"/>
        <w:rPr>
          <w:b/>
          <w:bCs/>
        </w:rPr>
      </w:pPr>
      <w:r>
        <w:rPr>
          <w:rFonts w:hint="eastAsia"/>
          <w:b/>
          <w:bCs/>
          <w:lang w:val="en-US" w:eastAsia="zh-CN"/>
        </w:rPr>
        <w:t>3）</w:t>
      </w:r>
      <w:r>
        <w:rPr>
          <w:rFonts w:hint="eastAsia"/>
          <w:b/>
          <w:bCs/>
        </w:rPr>
        <w:t>对鸟类的影响</w:t>
      </w:r>
    </w:p>
    <w:p w14:paraId="4AAD20CF">
      <w:pPr>
        <w:pStyle w:val="41"/>
        <w:bidi w:val="0"/>
      </w:pPr>
      <w:r>
        <w:rPr>
          <w:rFonts w:hint="eastAsia"/>
        </w:rPr>
        <w:t>施工期，施工人员及车辆活动频繁，开挖和施工爆破、机器震动、汽车运行等产生的噪声和人类干扰，对鸟类生存环境的干扰大，影响鸟类在施工区域内的觅食、求偶等活动，它们可能被迫远离施工区域，使施工区域暂时失去鸟类栖息地功能。施工中产生的废物、废水和生活废物，会污染环境，使得永久性占地和临时性占地以外的土地也不适合鸟类生存。</w:t>
      </w:r>
    </w:p>
    <w:p w14:paraId="31874F63">
      <w:pPr>
        <w:pStyle w:val="41"/>
        <w:bidi w:val="0"/>
      </w:pPr>
      <w:r>
        <w:rPr>
          <w:rFonts w:hint="eastAsia"/>
        </w:rPr>
        <w:t>由于鸟类具有</w:t>
      </w:r>
      <w:r>
        <w:rPr>
          <w:rFonts w:hint="eastAsia"/>
          <w:lang w:eastAsia="zh-CN"/>
        </w:rPr>
        <w:t>强大</w:t>
      </w:r>
      <w:r>
        <w:rPr>
          <w:rFonts w:hint="eastAsia"/>
        </w:rPr>
        <w:t>的迁移能力，无论对食物的寻觅，饮水的获得，且铁矿开采又是在原有的基础上</w:t>
      </w:r>
      <w:r>
        <w:rPr>
          <w:rFonts w:hint="eastAsia"/>
          <w:lang w:eastAsia="zh-CN"/>
        </w:rPr>
        <w:t>延伸</w:t>
      </w:r>
      <w:r>
        <w:rPr>
          <w:rFonts w:hint="eastAsia"/>
        </w:rPr>
        <w:t>因此对它们都没有太大的影响，再加上没有仅在该区域内栖息的特有鸟类，因此，项目施工不致对鸟类的生存和种群延续造成大的影响。</w:t>
      </w:r>
    </w:p>
    <w:p w14:paraId="2EFD5E9C">
      <w:pPr>
        <w:pStyle w:val="41"/>
        <w:bidi w:val="0"/>
        <w:rPr>
          <w:b/>
          <w:bCs/>
        </w:rPr>
      </w:pPr>
      <w:r>
        <w:rPr>
          <w:rFonts w:hint="eastAsia"/>
          <w:b/>
          <w:bCs/>
          <w:lang w:val="en-US" w:eastAsia="zh-CN"/>
        </w:rPr>
        <w:t>4）</w:t>
      </w:r>
      <w:r>
        <w:rPr>
          <w:rFonts w:hint="eastAsia"/>
          <w:b/>
          <w:bCs/>
        </w:rPr>
        <w:t>对哺乳动物的影响</w:t>
      </w:r>
    </w:p>
    <w:p w14:paraId="1C0F7F98">
      <w:pPr>
        <w:pStyle w:val="41"/>
        <w:bidi w:val="0"/>
      </w:pPr>
      <w:bookmarkStart w:id="385" w:name="_Toc168582619"/>
      <w:r>
        <w:rPr>
          <w:rFonts w:hint="eastAsia"/>
        </w:rPr>
        <w:t>本项目工程对兽类的影响主要体现在噪声、振动及人为活动干扰兽类分布范围。噪声、振动会导致兽类活动时避开施工区域，转移到其他区域范围内活动，灯光的照射会影响兽类的夜间活动，给它们带来不利影响。并且因施工范围内施工人员的增加，导致区域范围内人为活动频繁，限制了部分兽类的活动范围，或迫使活动范围转移，同时也增加了对兽类滥捕</w:t>
      </w:r>
      <w:r>
        <w:rPr>
          <w:rFonts w:hint="eastAsia"/>
          <w:lang w:eastAsia="zh-CN"/>
        </w:rPr>
        <w:t>滥</w:t>
      </w:r>
      <w:r>
        <w:rPr>
          <w:rFonts w:hint="eastAsia"/>
        </w:rPr>
        <w:t>猎发生的</w:t>
      </w:r>
      <w:r>
        <w:rPr>
          <w:rFonts w:hint="eastAsia"/>
          <w:lang w:eastAsia="zh-CN"/>
        </w:rPr>
        <w:t>概率</w:t>
      </w:r>
      <w:r>
        <w:rPr>
          <w:rFonts w:hint="eastAsia"/>
        </w:rPr>
        <w:t>。</w:t>
      </w:r>
    </w:p>
    <w:p w14:paraId="199EA7BD">
      <w:pPr>
        <w:pStyle w:val="41"/>
        <w:bidi w:val="0"/>
      </w:pPr>
      <w:r>
        <w:rPr>
          <w:rFonts w:hint="eastAsia"/>
        </w:rPr>
        <w:t>经现场调查及查阅相关资料，评价区的生境相似，未发现大中型兽类，小型兽类具有较强的适应能力、繁殖快，受到干扰后可寻找到替代生境，因此不会使种群数量发生明显波动。施工期限较短，随着施工的结束，对兽类的影响逐渐消失。施工</w:t>
      </w:r>
      <w:r>
        <w:rPr>
          <w:rFonts w:hint="eastAsia"/>
          <w:lang w:eastAsia="zh-CN"/>
        </w:rPr>
        <w:t>期间</w:t>
      </w:r>
      <w:r>
        <w:rPr>
          <w:rFonts w:hint="eastAsia"/>
        </w:rPr>
        <w:t>应加强对施工人员的宣传教育和管理，禁止滥捕乱猎。</w:t>
      </w:r>
    </w:p>
    <w:p w14:paraId="7695B601">
      <w:pPr>
        <w:pStyle w:val="41"/>
        <w:bidi w:val="0"/>
      </w:pPr>
      <w:r>
        <w:rPr>
          <w:rFonts w:hint="eastAsia"/>
        </w:rPr>
        <w:t>综上所述，项目施工期对施工范围内兽类物种及种群数量影响较小。</w:t>
      </w:r>
    </w:p>
    <w:p w14:paraId="6B040CBD">
      <w:pPr>
        <w:pStyle w:val="41"/>
        <w:bidi w:val="0"/>
        <w:rPr>
          <w:b/>
          <w:bCs/>
        </w:rPr>
      </w:pPr>
      <w:bookmarkStart w:id="386" w:name="_Toc209112475"/>
      <w:r>
        <w:rPr>
          <w:rFonts w:hint="eastAsia"/>
          <w:b/>
          <w:bCs/>
          <w:lang w:eastAsia="zh-CN"/>
        </w:rPr>
        <w:t>（</w:t>
      </w:r>
      <w:r>
        <w:rPr>
          <w:rFonts w:hint="eastAsia"/>
          <w:b/>
          <w:bCs/>
          <w:lang w:val="en-US" w:eastAsia="zh-CN"/>
        </w:rPr>
        <w:t>2）</w:t>
      </w:r>
      <w:r>
        <w:rPr>
          <w:b/>
          <w:bCs/>
        </w:rPr>
        <w:t>开采期对野生动物的影响</w:t>
      </w:r>
      <w:bookmarkEnd w:id="385"/>
      <w:bookmarkEnd w:id="386"/>
    </w:p>
    <w:p w14:paraId="110AD854">
      <w:pPr>
        <w:pStyle w:val="41"/>
        <w:bidi w:val="0"/>
      </w:pPr>
      <w:r>
        <w:rPr>
          <w:rFonts w:hint="eastAsia"/>
        </w:rPr>
        <w:t>开采期，对野生动物的影响主要为噪声、震动人为活动的影响。</w:t>
      </w:r>
    </w:p>
    <w:p w14:paraId="5A8364D1">
      <w:pPr>
        <w:pStyle w:val="41"/>
        <w:bidi w:val="0"/>
      </w:pPr>
      <w:r>
        <w:rPr>
          <w:rFonts w:hint="eastAsia"/>
        </w:rPr>
        <w:t>一方面，矿山开采、运输过程中产生的机械噪声、交通运输噪声会对周边动物产生惊扰。运输往来车辆的噪音和尾气排放等可能持续对周边栖息的动物造成一定程度的影响，一些飞行能力较弱、行动较为迟缓的动物在穿越工业场地、公路时可能会</w:t>
      </w:r>
      <w:r>
        <w:rPr>
          <w:rFonts w:hint="eastAsia"/>
          <w:lang w:eastAsia="zh-CN"/>
        </w:rPr>
        <w:t>遭受</w:t>
      </w:r>
      <w:r>
        <w:rPr>
          <w:rFonts w:hint="eastAsia"/>
        </w:rPr>
        <w:t>行驶的车辆撞击或碾压伤亡，车辆的灯光也有可能会对一些夜行性的和夜间活动的动物造成一定程度的扰乱。对于噪声、灯光以及人为活动敏感的野生动物会产生回避效应，减少了敏感物种的适宜生境或活动分布范围。项目区不</w:t>
      </w:r>
      <w:r>
        <w:rPr>
          <w:rFonts w:hint="eastAsia"/>
          <w:lang w:eastAsia="zh-CN"/>
        </w:rPr>
        <w:t>属于</w:t>
      </w:r>
      <w:r>
        <w:rPr>
          <w:rFonts w:hint="eastAsia"/>
        </w:rPr>
        <w:t>野生动物集中分布或频繁活动区，工业广场机械噪声、车辆通行时的噪音和灯光对动物活动影响能力有限、范围较小，且道路车辆速度很慢，对周边野生动物的影响较小。随着矿山职工增加，存在职工对区域经济、可食用的动物进行捕捉，从而造成影响。但以上影响均可采取相关措施进行缓解，如加强矿山职工的宣传教育，禁止捕捉野生动物等；做好生态保护宣传工作；避免夜间进行生产。</w:t>
      </w:r>
    </w:p>
    <w:p w14:paraId="1E273A33">
      <w:pPr>
        <w:pStyle w:val="41"/>
        <w:bidi w:val="0"/>
      </w:pPr>
      <w:r>
        <w:rPr>
          <w:rFonts w:hint="eastAsia"/>
        </w:rPr>
        <w:t>另一方面，矿山开采期间的爆破作业产生的瞬时高噪声、震动对于区域动物起到一定的惊吓、驱赶作用，开采</w:t>
      </w:r>
      <w:r>
        <w:rPr>
          <w:rFonts w:hint="eastAsia"/>
          <w:lang w:eastAsia="zh-CN"/>
        </w:rPr>
        <w:t>期间</w:t>
      </w:r>
      <w:r>
        <w:rPr>
          <w:rFonts w:hint="eastAsia"/>
        </w:rPr>
        <w:t>会对这些动物产生一定的影响，但大多数陆生脊椎动物具有趋避的本能，只要项目区以外的环境不受破坏，且矿山工作人员不对它们直接捕杀，对动物种群不会有太大的影响，它们会选择适宜的生境继续生存。采取矿山爆破作业尽量避开晨间、傍晚及夜晚进行的措施，能够减缓对野生动物的影响。</w:t>
      </w:r>
    </w:p>
    <w:p w14:paraId="15698E46">
      <w:pPr>
        <w:pStyle w:val="41"/>
        <w:bidi w:val="0"/>
      </w:pPr>
      <w:r>
        <w:rPr>
          <w:rFonts w:hint="eastAsia"/>
        </w:rPr>
        <w:t>通过采取上述措施，矿山开采对周边野生动物的影响较小。</w:t>
      </w:r>
    </w:p>
    <w:p w14:paraId="3906BB6F">
      <w:pPr>
        <w:pStyle w:val="5"/>
        <w:bidi w:val="0"/>
      </w:pPr>
      <w:bookmarkStart w:id="387" w:name="_Toc118735970"/>
      <w:bookmarkStart w:id="388" w:name="_Toc209112477"/>
      <w:bookmarkStart w:id="389" w:name="_Toc168582622"/>
      <w:bookmarkStart w:id="390" w:name="_Toc118735985"/>
      <w:r>
        <w:t>生态系统影响分析</w:t>
      </w:r>
      <w:bookmarkEnd w:id="387"/>
      <w:bookmarkEnd w:id="388"/>
      <w:bookmarkEnd w:id="389"/>
    </w:p>
    <w:p w14:paraId="1F1D1D90">
      <w:pPr>
        <w:pStyle w:val="41"/>
        <w:bidi w:val="0"/>
      </w:pPr>
      <w:r>
        <w:rPr>
          <w:rFonts w:hint="eastAsia"/>
        </w:rPr>
        <w:t>施工期，在原有工业场地内布设采场等新建设备。车辆、机械运行废气、扬尘产生量较</w:t>
      </w:r>
      <w:r>
        <w:rPr>
          <w:rFonts w:hint="eastAsia"/>
          <w:lang w:eastAsia="zh-CN"/>
        </w:rPr>
        <w:t>少</w:t>
      </w:r>
      <w:r>
        <w:rPr>
          <w:rFonts w:hint="eastAsia"/>
        </w:rPr>
        <w:t>，并且施工过</w:t>
      </w:r>
      <w:r>
        <w:rPr>
          <w:rFonts w:hint="eastAsia"/>
          <w:lang w:eastAsia="zh-CN"/>
        </w:rPr>
        <w:t>程中</w:t>
      </w:r>
      <w:r>
        <w:rPr>
          <w:rFonts w:hint="eastAsia"/>
        </w:rPr>
        <w:t>也会进行洒水降尘、设置围挡或临时苫盖，施工期不会改变生态系统的面积及功能。</w:t>
      </w:r>
    </w:p>
    <w:p w14:paraId="3B03EACA">
      <w:pPr>
        <w:pStyle w:val="41"/>
        <w:bidi w:val="0"/>
      </w:pPr>
      <w:r>
        <w:rPr>
          <w:rFonts w:hint="eastAsia"/>
          <w:lang w:val="en-US" w:eastAsia="zh-CN"/>
        </w:rPr>
        <w:t>开采</w:t>
      </w:r>
      <w:r>
        <w:rPr>
          <w:rFonts w:hint="eastAsia"/>
        </w:rPr>
        <w:t>期，</w:t>
      </w:r>
      <w:r>
        <w:rPr>
          <w:rFonts w:hint="eastAsia"/>
          <w:lang w:val="en-US" w:eastAsia="zh-CN"/>
        </w:rPr>
        <w:t>开采</w:t>
      </w:r>
      <w:r>
        <w:rPr>
          <w:rFonts w:hint="eastAsia"/>
        </w:rPr>
        <w:t>过程中产生的废气、扬尘、废水排放量小，且属间断性无组织排放，废水不排放或处理达标后排入。对生态系统组成成分及生态服务功能不产生影响。</w:t>
      </w:r>
    </w:p>
    <w:p w14:paraId="3F32B98B">
      <w:pPr>
        <w:pStyle w:val="5"/>
        <w:bidi w:val="0"/>
      </w:pPr>
      <w:bookmarkStart w:id="391" w:name="_Toc209112478"/>
      <w:r>
        <w:rPr>
          <w:rFonts w:hint="eastAsia"/>
        </w:rPr>
        <w:t>对生物多样性的影响</w:t>
      </w:r>
      <w:bookmarkEnd w:id="391"/>
    </w:p>
    <w:p w14:paraId="1804F12A">
      <w:pPr>
        <w:pStyle w:val="41"/>
        <w:bidi w:val="0"/>
      </w:pPr>
      <w:r>
        <w:rPr>
          <w:rFonts w:hint="eastAsia"/>
        </w:rPr>
        <w:t>本项目不涉及新增占地，工程施工全部在现有工业场地内实施，不会造成植被消失，</w:t>
      </w:r>
      <w:r>
        <w:rPr>
          <w:rFonts w:hint="eastAsia"/>
          <w:lang w:val="en-US" w:eastAsia="zh-CN"/>
        </w:rPr>
        <w:t>矿区</w:t>
      </w:r>
      <w:r>
        <w:rPr>
          <w:rFonts w:hint="eastAsia"/>
        </w:rPr>
        <w:t>周边动物稀少，对动物的影响也非常小。因此，本</w:t>
      </w:r>
      <w:r>
        <w:rPr>
          <w:rFonts w:hint="eastAsia"/>
          <w:lang w:eastAsia="zh-CN"/>
        </w:rPr>
        <w:t>项目</w:t>
      </w:r>
      <w:r>
        <w:rPr>
          <w:rFonts w:hint="eastAsia"/>
        </w:rPr>
        <w:t>开展不会改变当地的主要植被类型，不会对生物多样性产生影响。</w:t>
      </w:r>
    </w:p>
    <w:p w14:paraId="12696A4B">
      <w:pPr>
        <w:pStyle w:val="5"/>
        <w:bidi w:val="0"/>
      </w:pPr>
      <w:bookmarkStart w:id="392" w:name="_Toc209112479"/>
      <w:r>
        <w:rPr>
          <w:rFonts w:hint="eastAsia"/>
        </w:rPr>
        <w:t>对景观生态体系的影响分析</w:t>
      </w:r>
      <w:bookmarkEnd w:id="392"/>
    </w:p>
    <w:p w14:paraId="660E0293">
      <w:pPr>
        <w:pStyle w:val="41"/>
        <w:bidi w:val="0"/>
      </w:pPr>
      <w:r>
        <w:rPr>
          <w:rFonts w:hint="eastAsia"/>
        </w:rPr>
        <w:t>区域内主要景观类型为</w:t>
      </w:r>
      <w:r>
        <w:t>森林、</w:t>
      </w:r>
      <w:r>
        <w:rPr>
          <w:rFonts w:hint="eastAsia"/>
        </w:rPr>
        <w:t>灌丛、草地</w:t>
      </w:r>
      <w:r>
        <w:t>、</w:t>
      </w:r>
      <w:r>
        <w:rPr>
          <w:rFonts w:hint="eastAsia"/>
          <w:lang w:val="en-US" w:eastAsia="zh-CN"/>
        </w:rPr>
        <w:t>湿地、</w:t>
      </w:r>
      <w:r>
        <w:t>农田、</w:t>
      </w:r>
      <w:r>
        <w:rPr>
          <w:rFonts w:hint="eastAsia"/>
        </w:rPr>
        <w:t>城镇，本项目不涉及施工新增占地，对评价区内</w:t>
      </w:r>
      <w:r>
        <w:t>森林、</w:t>
      </w:r>
      <w:r>
        <w:rPr>
          <w:rFonts w:hint="eastAsia"/>
        </w:rPr>
        <w:t>灌丛、草地</w:t>
      </w:r>
      <w:r>
        <w:t>、</w:t>
      </w:r>
      <w:r>
        <w:rPr>
          <w:rFonts w:hint="eastAsia"/>
          <w:lang w:val="en-US" w:eastAsia="zh-CN"/>
        </w:rPr>
        <w:t>湿地、</w:t>
      </w:r>
      <w:r>
        <w:t>农田、</w:t>
      </w:r>
      <w:r>
        <w:rPr>
          <w:rFonts w:hint="eastAsia"/>
        </w:rPr>
        <w:t>城镇等景观未产生不利影响。从景观尺度来看，区域景观类型数保持不变，景观格局未发生变化，对景观生态系统基本没有影响。</w:t>
      </w:r>
    </w:p>
    <w:bookmarkEnd w:id="362"/>
    <w:bookmarkEnd w:id="363"/>
    <w:bookmarkEnd w:id="390"/>
    <w:p w14:paraId="70D742FB">
      <w:pPr>
        <w:pStyle w:val="4"/>
        <w:bidi w:val="0"/>
      </w:pPr>
      <w:bookmarkStart w:id="393" w:name="_Toc209112482"/>
      <w:bookmarkStart w:id="394" w:name="_Toc118058235"/>
      <w:r>
        <w:t>生态保护对策措施</w:t>
      </w:r>
      <w:bookmarkEnd w:id="393"/>
    </w:p>
    <w:p w14:paraId="0D318003">
      <w:pPr>
        <w:pStyle w:val="5"/>
        <w:bidi w:val="0"/>
      </w:pPr>
      <w:bookmarkStart w:id="395" w:name="_Toc209112483"/>
      <w:bookmarkStart w:id="396" w:name="_Toc168582637"/>
      <w:bookmarkStart w:id="397" w:name="_Toc149908953"/>
      <w:bookmarkStart w:id="398" w:name="_Hlk138174234"/>
      <w:r>
        <w:t>植物保护措施</w:t>
      </w:r>
      <w:bookmarkEnd w:id="395"/>
      <w:bookmarkEnd w:id="396"/>
      <w:bookmarkEnd w:id="397"/>
    </w:p>
    <w:bookmarkEnd w:id="398"/>
    <w:p w14:paraId="3F08AB10">
      <w:pPr>
        <w:pStyle w:val="41"/>
        <w:bidi w:val="0"/>
        <w:rPr>
          <w:b/>
          <w:bCs/>
        </w:rPr>
      </w:pPr>
      <w:r>
        <w:rPr>
          <w:rFonts w:hint="eastAsia"/>
          <w:b/>
          <w:bCs/>
          <w:lang w:eastAsia="zh-CN"/>
        </w:rPr>
        <w:t>（</w:t>
      </w:r>
      <w:r>
        <w:rPr>
          <w:rFonts w:hint="eastAsia"/>
          <w:b/>
          <w:bCs/>
          <w:lang w:val="en-US" w:eastAsia="zh-CN"/>
        </w:rPr>
        <w:t>1）</w:t>
      </w:r>
      <w:r>
        <w:rPr>
          <w:b/>
          <w:bCs/>
        </w:rPr>
        <w:t>避让措施</w:t>
      </w:r>
    </w:p>
    <w:p w14:paraId="4A975296">
      <w:pPr>
        <w:pStyle w:val="41"/>
        <w:bidi w:val="0"/>
      </w:pPr>
      <w:r>
        <w:rPr>
          <w:rFonts w:hint="eastAsia"/>
        </w:rPr>
        <w:t>工程建设施工前对进场施工人员进行环保教育，增强施工人员的环境保护意识，让施工人员熟悉施工要求和有关环境保护的具体操作规程，减少对施工区域及周边植被、动物和土地资源的影响和破坏</w:t>
      </w:r>
      <w:r>
        <w:t>。</w:t>
      </w:r>
    </w:p>
    <w:p w14:paraId="2EDF9099">
      <w:pPr>
        <w:pStyle w:val="41"/>
        <w:bidi w:val="0"/>
        <w:rPr>
          <w:b/>
          <w:bCs/>
        </w:rPr>
      </w:pPr>
      <w:r>
        <w:rPr>
          <w:rFonts w:hint="eastAsia"/>
          <w:b/>
          <w:bCs/>
          <w:lang w:eastAsia="zh-CN"/>
        </w:rPr>
        <w:t>（</w:t>
      </w:r>
      <w:r>
        <w:rPr>
          <w:rFonts w:hint="eastAsia"/>
          <w:b/>
          <w:bCs/>
          <w:lang w:val="en-US" w:eastAsia="zh-CN"/>
        </w:rPr>
        <w:t>2）</w:t>
      </w:r>
      <w:r>
        <w:rPr>
          <w:b/>
          <w:bCs/>
        </w:rPr>
        <w:t>生态减缓及保护措施</w:t>
      </w:r>
    </w:p>
    <w:p w14:paraId="51BB1C37">
      <w:pPr>
        <w:pStyle w:val="41"/>
        <w:bidi w:val="0"/>
      </w:pPr>
      <w:r>
        <w:rPr>
          <w:rFonts w:hint="eastAsia"/>
        </w:rPr>
        <w:t>①</w:t>
      </w:r>
      <w:r>
        <w:t>在施工过程中，若</w:t>
      </w:r>
      <w:r>
        <w:rPr>
          <w:rFonts w:hint="eastAsia"/>
          <w:lang w:eastAsia="zh-CN"/>
        </w:rPr>
        <w:t>发现</w:t>
      </w:r>
      <w:r>
        <w:t>评价范围内有保护植物，应立即报告当地环保部门，采取组织挽救，移栽他处。</w:t>
      </w:r>
    </w:p>
    <w:p w14:paraId="493325AC">
      <w:pPr>
        <w:pStyle w:val="41"/>
        <w:bidi w:val="0"/>
      </w:pPr>
      <w:r>
        <w:rPr>
          <w:rFonts w:hint="eastAsia"/>
        </w:rPr>
        <w:t>②</w:t>
      </w:r>
      <w:r>
        <w:t>在工程建设施工过程中，须加强施工队伍组织和管理，应明确施工范围和行动路线，不得随意扩大施工活动区域，进行文明施工，不强砍林灌草丛和乱毁果树作物，降低植被损害。</w:t>
      </w:r>
    </w:p>
    <w:p w14:paraId="0C34B97D">
      <w:pPr>
        <w:pStyle w:val="41"/>
        <w:bidi w:val="0"/>
      </w:pPr>
      <w:r>
        <w:rPr>
          <w:rFonts w:hint="eastAsia"/>
        </w:rPr>
        <w:t>③建设期强化施工管理，合理安排施工工序和施工时间，禁止在大风大雨天气进行土方工程施工；根据天气情况对施工场地不定期洒水（必要时喷洒抑尘剂），保持地面湿润，固化施工活动区域的松散地表，减少裸露地面面积，减少施工现场水土流失。</w:t>
      </w:r>
    </w:p>
    <w:p w14:paraId="5DBCAE00">
      <w:pPr>
        <w:pStyle w:val="41"/>
        <w:bidi w:val="0"/>
      </w:pPr>
      <w:r>
        <w:rPr>
          <w:rFonts w:hint="eastAsia"/>
        </w:rPr>
        <w:t>④在施工作业区边界处设置排水沟，必要时，对裸露地表采用薄膜或彩条布进行覆盖，具体措施按照水土保持报告书及主管部门批复文件执行。</w:t>
      </w:r>
    </w:p>
    <w:p w14:paraId="2A6C1BAE">
      <w:pPr>
        <w:pStyle w:val="41"/>
        <w:bidi w:val="0"/>
      </w:pPr>
      <w:r>
        <w:rPr>
          <w:rFonts w:hint="eastAsia"/>
        </w:rPr>
        <w:t>⑤对开采过程中可能产生的危害采取适当的预防和控制措施，进行提前预防，以减小和控制被损毁土地的面积和程度，并保护珍贵的表土资源，为土地复垦工程创造良好的基础。</w:t>
      </w:r>
    </w:p>
    <w:p w14:paraId="15E24C48">
      <w:pPr>
        <w:pStyle w:val="41"/>
        <w:bidi w:val="0"/>
        <w:rPr>
          <w:b/>
          <w:bCs/>
        </w:rPr>
      </w:pPr>
      <w:r>
        <w:rPr>
          <w:rFonts w:hint="eastAsia"/>
          <w:b/>
          <w:bCs/>
          <w:lang w:eastAsia="zh-CN"/>
        </w:rPr>
        <w:t>（</w:t>
      </w:r>
      <w:r>
        <w:rPr>
          <w:rFonts w:hint="eastAsia"/>
          <w:b/>
          <w:bCs/>
          <w:lang w:val="en-US" w:eastAsia="zh-CN"/>
        </w:rPr>
        <w:t>3）</w:t>
      </w:r>
      <w:r>
        <w:rPr>
          <w:b/>
          <w:bCs/>
        </w:rPr>
        <w:t>生态管理措施</w:t>
      </w:r>
    </w:p>
    <w:p w14:paraId="259532CF">
      <w:pPr>
        <w:pStyle w:val="41"/>
        <w:bidi w:val="0"/>
      </w:pPr>
      <w:r>
        <w:rPr>
          <w:rFonts w:hint="eastAsia"/>
        </w:rPr>
        <w:t>①</w:t>
      </w:r>
      <w:r>
        <w:t>在施工中应加强施工管理，合理进行施工布置，组织施工管理。严格将工程施工区控制在直接受影响的范围内，对边界以外的植被不破坏或尽量减少</w:t>
      </w:r>
      <w:r>
        <w:rPr>
          <w:rFonts w:hint="eastAsia"/>
          <w:lang w:eastAsia="zh-CN"/>
        </w:rPr>
        <w:t>破坏</w:t>
      </w:r>
      <w:r>
        <w:t>。</w:t>
      </w:r>
    </w:p>
    <w:p w14:paraId="67CB0211">
      <w:pPr>
        <w:pStyle w:val="41"/>
        <w:bidi w:val="0"/>
      </w:pPr>
      <w:r>
        <w:rPr>
          <w:rFonts w:hint="eastAsia"/>
        </w:rPr>
        <w:t>②</w:t>
      </w:r>
      <w:r>
        <w:t>严禁施工人员破坏野生植物。制订严格的林地保护责任制度，将各项林地保护和护林防火责任落实到人，采取严格的管理措施，确保不发生火灾和故意破坏植物的事件发生。</w:t>
      </w:r>
    </w:p>
    <w:p w14:paraId="39A73BDC">
      <w:pPr>
        <w:pStyle w:val="5"/>
        <w:bidi w:val="0"/>
      </w:pPr>
      <w:bookmarkStart w:id="399" w:name="_Toc149908954"/>
      <w:bookmarkStart w:id="400" w:name="_Toc209112484"/>
      <w:bookmarkStart w:id="401" w:name="_Toc168582639"/>
      <w:bookmarkStart w:id="402" w:name="OLE_LINK107"/>
      <w:bookmarkStart w:id="403" w:name="OLE_LINK108"/>
      <w:r>
        <w:rPr>
          <w:rFonts w:hint="eastAsia"/>
        </w:rPr>
        <w:t>野生</w:t>
      </w:r>
      <w:r>
        <w:t>动物保护措施</w:t>
      </w:r>
      <w:bookmarkEnd w:id="399"/>
      <w:bookmarkEnd w:id="400"/>
      <w:bookmarkEnd w:id="401"/>
    </w:p>
    <w:bookmarkEnd w:id="402"/>
    <w:bookmarkEnd w:id="403"/>
    <w:p w14:paraId="5FB02F60">
      <w:pPr>
        <w:pStyle w:val="41"/>
        <w:bidi w:val="0"/>
      </w:pPr>
      <w:bookmarkStart w:id="404" w:name="_Hlk144801360"/>
      <w:bookmarkStart w:id="405" w:name="_Toc113209381"/>
      <w:bookmarkStart w:id="406" w:name="_Toc146720570"/>
      <w:bookmarkStart w:id="407" w:name="_Toc391"/>
      <w:r>
        <w:rPr>
          <w:rFonts w:hint="eastAsia"/>
        </w:rPr>
        <w:t>本项目范围均为常见的野生动物，必须加强施工人员宣传教育，文明施工，减少施工人员干扰对野生动物的影响。</w:t>
      </w:r>
    </w:p>
    <w:p w14:paraId="05166885">
      <w:pPr>
        <w:pStyle w:val="41"/>
        <w:bidi w:val="0"/>
        <w:rPr>
          <w:b/>
          <w:bCs/>
        </w:rPr>
      </w:pPr>
      <w:r>
        <w:rPr>
          <w:rFonts w:hint="eastAsia"/>
          <w:b/>
          <w:bCs/>
          <w:lang w:eastAsia="zh-CN"/>
        </w:rPr>
        <w:t>（</w:t>
      </w:r>
      <w:r>
        <w:rPr>
          <w:rFonts w:hint="eastAsia"/>
          <w:b/>
          <w:bCs/>
          <w:lang w:val="en-US" w:eastAsia="zh-CN"/>
        </w:rPr>
        <w:t>1）</w:t>
      </w:r>
      <w:r>
        <w:rPr>
          <w:rFonts w:hint="eastAsia"/>
          <w:b/>
          <w:bCs/>
        </w:rPr>
        <w:t>避让与减缓措施</w:t>
      </w:r>
    </w:p>
    <w:p w14:paraId="47B46658">
      <w:pPr>
        <w:pStyle w:val="41"/>
        <w:bidi w:val="0"/>
      </w:pPr>
      <w:r>
        <w:rPr>
          <w:rFonts w:hint="eastAsia"/>
        </w:rPr>
        <w:t>①开展施工人员生态环境保护的宣传教育工作，</w:t>
      </w:r>
      <w:r>
        <w:rPr>
          <w:rFonts w:hint="eastAsia"/>
          <w:lang w:eastAsia="zh-CN"/>
        </w:rPr>
        <w:t>增强</w:t>
      </w:r>
      <w:r>
        <w:rPr>
          <w:rFonts w:hint="eastAsia"/>
        </w:rPr>
        <w:t>施工人员的保护意识，严禁捕猎野生动物。在施工的过程中，</w:t>
      </w:r>
      <w:r>
        <w:rPr>
          <w:rFonts w:hint="eastAsia"/>
          <w:lang w:eastAsia="zh-CN"/>
        </w:rPr>
        <w:t>施工人员</w:t>
      </w:r>
      <w:r>
        <w:rPr>
          <w:rFonts w:hint="eastAsia"/>
        </w:rPr>
        <w:t>必须遵守《中华人民共和国野生动物保护法》，严禁在施工区及其周围捕猎野生动物。在进场施工前，组织施工人员学习有关国家法律和法规，学习识别国家保护动物，对故意捕获野生动物的个人和</w:t>
      </w:r>
      <w:r>
        <w:rPr>
          <w:rFonts w:hint="eastAsia"/>
          <w:lang w:eastAsia="zh-CN"/>
        </w:rPr>
        <w:t>组织要加大打击</w:t>
      </w:r>
      <w:r>
        <w:rPr>
          <w:rFonts w:hint="eastAsia"/>
        </w:rPr>
        <w:t>力度，确保野生动物的保护落实到每一个环节。</w:t>
      </w:r>
    </w:p>
    <w:p w14:paraId="6EC7285D">
      <w:pPr>
        <w:pStyle w:val="41"/>
        <w:bidi w:val="0"/>
      </w:pPr>
      <w:r>
        <w:rPr>
          <w:rFonts w:hint="eastAsia"/>
        </w:rPr>
        <w:t>②控制工程施工时段和方式，</w:t>
      </w:r>
      <w:r>
        <w:rPr>
          <w:rFonts w:hint="eastAsia"/>
          <w:lang w:eastAsia="zh-CN"/>
        </w:rPr>
        <w:t>防止</w:t>
      </w:r>
      <w:r>
        <w:rPr>
          <w:rFonts w:hint="eastAsia"/>
        </w:rPr>
        <w:t>噪声对野生动物的惊扰。采用低噪声设备、注意机械保养、运输车辆限速、禁鸣等措施，降低噪声、振动对周边动物的影响。</w:t>
      </w:r>
    </w:p>
    <w:p w14:paraId="6964754A">
      <w:pPr>
        <w:pStyle w:val="41"/>
        <w:bidi w:val="0"/>
      </w:pPr>
      <w:r>
        <w:rPr>
          <w:rFonts w:hint="eastAsia"/>
        </w:rPr>
        <w:t>③施工前对场地内的动物采取人工驱赶或诱导方式，使其远离施工区域，尽量不扰动施工区域外的动物栖息环境，严禁在施工区及其周围捕猎野生动物。</w:t>
      </w:r>
    </w:p>
    <w:p w14:paraId="4DF47B50">
      <w:pPr>
        <w:pStyle w:val="41"/>
        <w:bidi w:val="0"/>
      </w:pPr>
      <w:r>
        <w:rPr>
          <w:rFonts w:hint="eastAsia"/>
        </w:rPr>
        <w:t>④当发现珍稀保护野生动物时，应向当地主管部门汇报，并做好记录，根据野生动物的活动规律和主管部门的意见，必要时设置动物活动通道。建设期间如误伤野生动物，应立即送往当地动物医院进行抢救。</w:t>
      </w:r>
    </w:p>
    <w:p w14:paraId="372B8753">
      <w:pPr>
        <w:pStyle w:val="41"/>
        <w:bidi w:val="0"/>
        <w:rPr>
          <w:b/>
          <w:bCs/>
        </w:rPr>
      </w:pPr>
      <w:r>
        <w:rPr>
          <w:rFonts w:hint="eastAsia"/>
          <w:b/>
          <w:bCs/>
          <w:lang w:eastAsia="zh-CN"/>
        </w:rPr>
        <w:t>（</w:t>
      </w:r>
      <w:r>
        <w:rPr>
          <w:rFonts w:hint="eastAsia"/>
          <w:b/>
          <w:bCs/>
          <w:lang w:val="en-US" w:eastAsia="zh-CN"/>
        </w:rPr>
        <w:t>2）</w:t>
      </w:r>
      <w:r>
        <w:rPr>
          <w:rFonts w:hint="eastAsia"/>
          <w:b/>
          <w:bCs/>
        </w:rPr>
        <w:t>生态影响的恢复与补偿措施</w:t>
      </w:r>
    </w:p>
    <w:p w14:paraId="1BF35E23">
      <w:pPr>
        <w:pStyle w:val="41"/>
        <w:bidi w:val="0"/>
      </w:pPr>
      <w:r>
        <w:rPr>
          <w:rFonts w:hint="eastAsia"/>
        </w:rPr>
        <w:t>建设期产生的建筑垃圾及时清运，堆放至固定场所，施工结束后，对施工扰动区域进行植被恢复；工程完工后尽快做好生态环境的恢复工作，尤其是占地处，以尽量减少生境破坏对动物的不利影响。</w:t>
      </w:r>
    </w:p>
    <w:p w14:paraId="626F162A">
      <w:pPr>
        <w:pStyle w:val="41"/>
        <w:bidi w:val="0"/>
        <w:rPr>
          <w:b/>
          <w:bCs/>
        </w:rPr>
      </w:pPr>
      <w:r>
        <w:rPr>
          <w:rFonts w:hint="eastAsia"/>
          <w:b/>
          <w:bCs/>
          <w:lang w:eastAsia="zh-CN"/>
        </w:rPr>
        <w:t>（</w:t>
      </w:r>
      <w:r>
        <w:rPr>
          <w:rFonts w:hint="eastAsia"/>
          <w:b/>
          <w:bCs/>
          <w:lang w:val="en-US" w:eastAsia="zh-CN"/>
        </w:rPr>
        <w:t>3）</w:t>
      </w:r>
      <w:r>
        <w:rPr>
          <w:rFonts w:hint="eastAsia"/>
          <w:b/>
          <w:bCs/>
        </w:rPr>
        <w:t>生态管理措施</w:t>
      </w:r>
    </w:p>
    <w:p w14:paraId="5AB244F7">
      <w:pPr>
        <w:pStyle w:val="41"/>
        <w:bidi w:val="0"/>
      </w:pPr>
      <w:r>
        <w:rPr>
          <w:rFonts w:hint="eastAsia"/>
        </w:rPr>
        <w:t>在工程建设和运行中应加强野生动物管理、保护和监测，在工程管理机构中设置相应的环境保护管理机构，配备专业管理人员，确保工程建设期和开采期中各项野生动物保护政策法规的贯彻以及环保措施落实，负责组织、落实、监督本工程的野生动物保护措施；严格落实野生动物生境污染防治措施，施工生产生活废水处理达标后排放或回用，生活垃圾收集后集中转运，最大程度减少对工程区域附近动物生境的影响；及时恢复占地植被，恢复野生动物原生境；组织建设期环境监测，以确保工程环境保护目标的实现，野生动物的生存不</w:t>
      </w:r>
      <w:r>
        <w:rPr>
          <w:rFonts w:hint="eastAsia"/>
          <w:lang w:eastAsia="zh-CN"/>
        </w:rPr>
        <w:t>受</w:t>
      </w:r>
      <w:r>
        <w:rPr>
          <w:rFonts w:hint="eastAsia"/>
        </w:rPr>
        <w:t>威胁。</w:t>
      </w:r>
    </w:p>
    <w:bookmarkEnd w:id="404"/>
    <w:bookmarkEnd w:id="405"/>
    <w:bookmarkEnd w:id="406"/>
    <w:bookmarkEnd w:id="407"/>
    <w:p w14:paraId="040C8D4D">
      <w:pPr>
        <w:pStyle w:val="41"/>
        <w:bidi w:val="0"/>
        <w:rPr>
          <w:b/>
          <w:bCs/>
        </w:rPr>
      </w:pPr>
      <w:bookmarkStart w:id="408" w:name="_Toc149908955"/>
      <w:bookmarkStart w:id="409" w:name="_Toc168582640"/>
      <w:r>
        <w:rPr>
          <w:rFonts w:hint="eastAsia"/>
          <w:b/>
          <w:bCs/>
          <w:lang w:eastAsia="zh-CN"/>
        </w:rPr>
        <w:t>（</w:t>
      </w:r>
      <w:r>
        <w:rPr>
          <w:rFonts w:hint="eastAsia"/>
          <w:b/>
          <w:bCs/>
          <w:lang w:val="en-US" w:eastAsia="zh-CN"/>
        </w:rPr>
        <w:t>4）</w:t>
      </w:r>
      <w:r>
        <w:rPr>
          <w:rFonts w:hint="eastAsia"/>
          <w:b/>
          <w:bCs/>
        </w:rPr>
        <w:t>重要野生动物的保护措施</w:t>
      </w:r>
      <w:bookmarkEnd w:id="408"/>
      <w:bookmarkEnd w:id="409"/>
    </w:p>
    <w:p w14:paraId="70958714">
      <w:pPr>
        <w:pStyle w:val="41"/>
        <w:bidi w:val="0"/>
      </w:pPr>
      <w:r>
        <w:rPr>
          <w:rFonts w:hint="eastAsia"/>
        </w:rPr>
        <w:t>1）增强施工人员的保护意识，严禁捕猎野生动物。施工人员必须遵守《中华人民共和国野生动物保护法》，严禁在施工区及保护区周边捕猎野生动物，特别是黑眉锦蛇偶在评价区活动的野生保护动物，针对可能出现的捕猎行为，对施工人员制定相关惩罚制度，避免出现施工人员捕猎重点保护动物的现象。</w:t>
      </w:r>
    </w:p>
    <w:p w14:paraId="336C0EBD">
      <w:pPr>
        <w:pStyle w:val="41"/>
        <w:bidi w:val="0"/>
      </w:pPr>
      <w:r>
        <w:rPr>
          <w:rFonts w:hint="eastAsia"/>
        </w:rPr>
        <w:t>2）在施工场地周边张贴黑眉锦蛇的照片进行宣传，当发现珍稀保护野生动物时，应向当地主管部门汇报，并做好记录。施工期间如误伤野生动物，应立即送往当地动物医院进行抢救。</w:t>
      </w:r>
    </w:p>
    <w:p w14:paraId="537E47E5">
      <w:pPr>
        <w:pStyle w:val="41"/>
        <w:bidi w:val="0"/>
      </w:pPr>
      <w:r>
        <w:rPr>
          <w:rFonts w:hint="eastAsia"/>
        </w:rPr>
        <w:t>3）加强保护区宣传与巡护工作，防止人员捕猎珍稀野生动物，如有捕猎现象发生，将依法移交执法部门处理。</w:t>
      </w:r>
    </w:p>
    <w:p w14:paraId="2E98F0DD">
      <w:pPr>
        <w:pStyle w:val="41"/>
        <w:bidi w:val="0"/>
      </w:pPr>
      <w:r>
        <w:t>4</w:t>
      </w:r>
      <w:r>
        <w:rPr>
          <w:rFonts w:hint="eastAsia"/>
        </w:rPr>
        <w:t>）施工方、业主、保护区需共同建立珍稀动物损害的生态修复、生态建设等相关补偿机制。在建设期间，一旦发生因施工人员或工程造成的个体损害、栖息地环境明显恶化等现象，立即启动应急预案，尽可能将损害降至最低。实行谁破坏、谁修复、谁补偿的原则，由破坏者直接进行生态修复并进行补偿，建设单位和施工单位必须做好相关补偿预算，尤其对于主要保护对象的损害情况，需建立更明确细致的补偿机制。</w:t>
      </w:r>
    </w:p>
    <w:p w14:paraId="3C5D0B81">
      <w:pPr>
        <w:pStyle w:val="5"/>
        <w:bidi w:val="0"/>
      </w:pPr>
      <w:bookmarkStart w:id="410" w:name="_Toc159493279"/>
      <w:bookmarkStart w:id="411" w:name="_Toc209112485"/>
      <w:bookmarkStart w:id="412" w:name="_Toc168582641"/>
      <w:bookmarkStart w:id="413" w:name="_Hlk209111211"/>
      <w:r>
        <w:rPr>
          <w:rFonts w:hint="eastAsia"/>
        </w:rPr>
        <w:t>入侵物种的扩散蔓延风险及其防控措施</w:t>
      </w:r>
      <w:bookmarkEnd w:id="410"/>
      <w:bookmarkEnd w:id="411"/>
      <w:bookmarkEnd w:id="412"/>
    </w:p>
    <w:bookmarkEnd w:id="413"/>
    <w:p w14:paraId="588F16B3">
      <w:pPr>
        <w:pStyle w:val="41"/>
        <w:bidi w:val="0"/>
      </w:pPr>
      <w:r>
        <w:rPr>
          <w:rFonts w:hint="eastAsia"/>
        </w:rPr>
        <w:t>项目开展过程中，应</w:t>
      </w:r>
      <w:bookmarkStart w:id="414" w:name="_Hlk209111236"/>
      <w:r>
        <w:rPr>
          <w:rFonts w:hint="eastAsia"/>
        </w:rPr>
        <w:t>加强外来入侵生物危害的宣传教育，</w:t>
      </w:r>
      <w:bookmarkEnd w:id="414"/>
      <w:r>
        <w:rPr>
          <w:rFonts w:hint="eastAsia"/>
        </w:rPr>
        <w:t>向项目开展人员宣传外来入侵植物的危害及传播途径；设置区域常见入侵物种和重点预防的入侵物种的警示牌；禁止项目开展人员和项目开展机械、车辆随意进入项目开展以外的区域，减少异地取土等作业，进行迹地生态恢复时，多采用当地品种进行恢复，减少外来植物入侵的风险。针对区域内的外来物种做专门普查，发现后及时进行清除和处理，防止其扩散。对现有的外来种等，利用工程项目开展的机会，</w:t>
      </w:r>
      <w:bookmarkStart w:id="415" w:name="_Hlk209111252"/>
      <w:r>
        <w:rPr>
          <w:rFonts w:hint="eastAsia"/>
        </w:rPr>
        <w:t>对有种子的植物要现场烧毁，以防种子扩散</w:t>
      </w:r>
      <w:bookmarkEnd w:id="415"/>
      <w:r>
        <w:rPr>
          <w:rFonts w:hint="eastAsia"/>
        </w:rPr>
        <w:t>。</w:t>
      </w:r>
    </w:p>
    <w:p w14:paraId="0466ABC5">
      <w:pPr>
        <w:pStyle w:val="5"/>
        <w:bidi w:val="0"/>
      </w:pPr>
      <w:bookmarkStart w:id="416" w:name="_Toc209112486"/>
      <w:bookmarkStart w:id="417" w:name="_Toc168582642"/>
      <w:bookmarkStart w:id="418" w:name="_Toc149908960"/>
      <w:bookmarkStart w:id="419" w:name="_Toc118735998"/>
      <w:bookmarkStart w:id="420" w:name="_Toc149908957"/>
      <w:r>
        <w:t>生物多样性保护措施</w:t>
      </w:r>
      <w:bookmarkEnd w:id="416"/>
      <w:bookmarkEnd w:id="417"/>
    </w:p>
    <w:p w14:paraId="71D856C4">
      <w:pPr>
        <w:pStyle w:val="41"/>
        <w:bidi w:val="0"/>
      </w:pPr>
      <w:r>
        <w:rPr>
          <w:rFonts w:hint="eastAsia"/>
        </w:rPr>
        <w:t>施工阶段</w:t>
      </w:r>
      <w:r>
        <w:t>注意对生物多样性较丰富的灌草丛</w:t>
      </w:r>
      <w:r>
        <w:rPr>
          <w:rFonts w:hint="eastAsia"/>
        </w:rPr>
        <w:t>、林地</w:t>
      </w:r>
      <w:r>
        <w:t>进行保护，不得破坏项目区域外的植被。加强管理，禁止破坏项目区域外的植被，不得随意捕杀野生动物。</w:t>
      </w:r>
    </w:p>
    <w:p w14:paraId="0639C473">
      <w:pPr>
        <w:pStyle w:val="5"/>
        <w:bidi w:val="0"/>
      </w:pPr>
      <w:bookmarkStart w:id="421" w:name="_Toc168582643"/>
      <w:bookmarkStart w:id="422" w:name="_Toc209112487"/>
      <w:r>
        <w:t>生态景观环境影响减缓措施</w:t>
      </w:r>
      <w:bookmarkEnd w:id="418"/>
      <w:bookmarkEnd w:id="421"/>
      <w:bookmarkEnd w:id="422"/>
    </w:p>
    <w:p w14:paraId="7132183C">
      <w:pPr>
        <w:pStyle w:val="41"/>
        <w:bidi w:val="0"/>
      </w:pPr>
      <w:r>
        <w:rPr>
          <w:rFonts w:hint="eastAsia"/>
        </w:rPr>
        <w:t>（</w:t>
      </w:r>
      <w:r>
        <w:t>1）</w:t>
      </w:r>
      <w:r>
        <w:rPr>
          <w:rFonts w:hint="eastAsia"/>
        </w:rPr>
        <w:t>项目开展</w:t>
      </w:r>
      <w:r>
        <w:t>过程中，文明施工，有序作业，</w:t>
      </w:r>
      <w:r>
        <w:rPr>
          <w:rFonts w:hint="eastAsia"/>
        </w:rPr>
        <w:t>严格控制矿区占地范围</w:t>
      </w:r>
      <w:r>
        <w:t>。</w:t>
      </w:r>
    </w:p>
    <w:p w14:paraId="7A496A0E">
      <w:pPr>
        <w:pStyle w:val="41"/>
        <w:bidi w:val="0"/>
      </w:pPr>
      <w:r>
        <w:t>（2）</w:t>
      </w:r>
      <w:r>
        <w:rPr>
          <w:rFonts w:hint="eastAsia"/>
        </w:rPr>
        <w:t>对矿区范围内的裸露土地</w:t>
      </w:r>
      <w:r>
        <w:t>及时进行</w:t>
      </w:r>
      <w:r>
        <w:rPr>
          <w:rFonts w:hint="eastAsia"/>
        </w:rPr>
        <w:t>植被</w:t>
      </w:r>
      <w:r>
        <w:t>恢复，减少项目</w:t>
      </w:r>
      <w:r>
        <w:rPr>
          <w:rFonts w:hint="eastAsia"/>
        </w:rPr>
        <w:t>开展</w:t>
      </w:r>
      <w:r>
        <w:t>对景观影响。</w:t>
      </w:r>
    </w:p>
    <w:bookmarkEnd w:id="419"/>
    <w:bookmarkEnd w:id="420"/>
    <w:p w14:paraId="6D7685EE">
      <w:pPr>
        <w:pStyle w:val="5"/>
        <w:bidi w:val="0"/>
      </w:pPr>
      <w:bookmarkStart w:id="423" w:name="_Toc118736000"/>
      <w:bookmarkStart w:id="424" w:name="_Toc149908961"/>
      <w:bookmarkStart w:id="425" w:name="_Toc168582644"/>
      <w:bookmarkStart w:id="426" w:name="_Toc209112489"/>
      <w:bookmarkStart w:id="427" w:name="_Hlk209111327"/>
      <w:r>
        <w:t>水土流失减缓措施</w:t>
      </w:r>
      <w:bookmarkEnd w:id="423"/>
      <w:bookmarkEnd w:id="424"/>
      <w:bookmarkEnd w:id="425"/>
      <w:bookmarkEnd w:id="426"/>
    </w:p>
    <w:bookmarkEnd w:id="427"/>
    <w:p w14:paraId="76FCFC8F">
      <w:pPr>
        <w:pStyle w:val="41"/>
        <w:bidi w:val="0"/>
      </w:pPr>
      <w:r>
        <w:t>工程建设生产中，必须坚持</w:t>
      </w:r>
      <w:r>
        <w:rPr>
          <w:rFonts w:hint="eastAsia"/>
        </w:rPr>
        <w:t>“预防为主，防治结合”</w:t>
      </w:r>
      <w:r>
        <w:t>的水土保持工作方针，把预防控制放在水土保持工作的首位，尽可能地减少工程建设造成的水土流失。具体措施为：</w:t>
      </w:r>
    </w:p>
    <w:p w14:paraId="6271F8F3">
      <w:pPr>
        <w:pStyle w:val="41"/>
        <w:bidi w:val="0"/>
      </w:pPr>
      <w:r>
        <w:rPr>
          <w:rFonts w:hint="eastAsia"/>
        </w:rPr>
        <w:t>（1）</w:t>
      </w:r>
      <w:r>
        <w:t>委托有相应资质的单位编制水土保持方案，并完善方案中提出的水土保持防治措施</w:t>
      </w:r>
      <w:r>
        <w:rPr>
          <w:rFonts w:hint="eastAsia"/>
        </w:rPr>
        <w:t>；</w:t>
      </w:r>
    </w:p>
    <w:p w14:paraId="49687DFC">
      <w:pPr>
        <w:pStyle w:val="41"/>
        <w:bidi w:val="0"/>
      </w:pPr>
      <w:r>
        <w:rPr>
          <w:rFonts w:hint="eastAsia"/>
        </w:rPr>
        <w:t>（2）</w:t>
      </w:r>
      <w:r>
        <w:t>建设单位应加强施工现场管理，切实做到文明</w:t>
      </w:r>
      <w:r>
        <w:rPr>
          <w:rFonts w:hint="eastAsia"/>
        </w:rPr>
        <w:t>施工</w:t>
      </w:r>
      <w:r>
        <w:t>，</w:t>
      </w:r>
      <w:r>
        <w:rPr>
          <w:rFonts w:hint="eastAsia"/>
        </w:rPr>
        <w:t>施工</w:t>
      </w:r>
      <w:r>
        <w:t>活动</w:t>
      </w:r>
      <w:bookmarkStart w:id="428" w:name="_Hlk209111358"/>
      <w:r>
        <w:t>严格控制</w:t>
      </w:r>
      <w:bookmarkEnd w:id="428"/>
      <w:r>
        <w:t>在工程用地范围内，尽可能减小占地范围，</w:t>
      </w:r>
      <w:r>
        <w:rPr>
          <w:rFonts w:hint="eastAsia"/>
          <w:lang w:eastAsia="zh-CN"/>
        </w:rPr>
        <w:t>尽可能减少</w:t>
      </w:r>
      <w:r>
        <w:rPr>
          <w:rFonts w:hint="eastAsia"/>
        </w:rPr>
        <w:t>施工活动</w:t>
      </w:r>
      <w:r>
        <w:t>对周边环境的影响</w:t>
      </w:r>
      <w:r>
        <w:rPr>
          <w:rFonts w:hint="eastAsia"/>
        </w:rPr>
        <w:t>；</w:t>
      </w:r>
    </w:p>
    <w:p w14:paraId="48B6021D">
      <w:pPr>
        <w:pStyle w:val="41"/>
        <w:bidi w:val="0"/>
      </w:pPr>
      <w:r>
        <w:rPr>
          <w:rFonts w:hint="eastAsia"/>
        </w:rPr>
        <w:t>（3）</w:t>
      </w:r>
      <w:bookmarkStart w:id="429" w:name="_Hlk209111369"/>
      <w:r>
        <w:t>加强大风天气的洒水抑尘措施以及裸露面的</w:t>
      </w:r>
      <w:r>
        <w:rPr>
          <w:rFonts w:hint="eastAsia"/>
        </w:rPr>
        <w:t>覆盖</w:t>
      </w:r>
      <w:r>
        <w:t>措施</w:t>
      </w:r>
      <w:bookmarkEnd w:id="429"/>
      <w:r>
        <w:t>，以防止</w:t>
      </w:r>
      <w:r>
        <w:rPr>
          <w:rFonts w:hint="eastAsia"/>
        </w:rPr>
        <w:t>建设期</w:t>
      </w:r>
      <w:r>
        <w:t>间水土流失加剧</w:t>
      </w:r>
      <w:r>
        <w:rPr>
          <w:rFonts w:hint="eastAsia"/>
        </w:rPr>
        <w:t>；</w:t>
      </w:r>
    </w:p>
    <w:p w14:paraId="097BFD03">
      <w:pPr>
        <w:pStyle w:val="41"/>
        <w:bidi w:val="0"/>
      </w:pPr>
      <w:r>
        <w:rPr>
          <w:rFonts w:hint="eastAsia"/>
        </w:rPr>
        <w:t>（</w:t>
      </w:r>
      <w:r>
        <w:t>4</w:t>
      </w:r>
      <w:r>
        <w:rPr>
          <w:rFonts w:hint="eastAsia"/>
        </w:rPr>
        <w:t>）</w:t>
      </w:r>
      <w:r>
        <w:t>加强扰动区域生态恢复措施，及时对扰动区域进行生态整治，并对各项生态措施加强管护，确保布置的各项措施发挥其水土流失防治功能。</w:t>
      </w:r>
    </w:p>
    <w:p w14:paraId="3E27EDB2">
      <w:pPr>
        <w:pStyle w:val="4"/>
        <w:bidi w:val="0"/>
      </w:pPr>
      <w:r>
        <w:rPr>
          <w:rFonts w:hint="eastAsia"/>
          <w:lang w:val="en-US" w:eastAsia="zh-CN"/>
        </w:rPr>
        <w:t>生态影响及</w:t>
      </w:r>
      <w:r>
        <w:t>评价结论</w:t>
      </w:r>
      <w:bookmarkEnd w:id="394"/>
    </w:p>
    <w:p w14:paraId="1CD6AB58">
      <w:pPr>
        <w:pStyle w:val="5"/>
        <w:bidi w:val="0"/>
      </w:pPr>
      <w:bookmarkStart w:id="430" w:name="_Toc118058236"/>
      <w:r>
        <w:t>生态现状调查</w:t>
      </w:r>
      <w:bookmarkEnd w:id="430"/>
    </w:p>
    <w:p w14:paraId="2EE7F63C">
      <w:pPr>
        <w:pStyle w:val="41"/>
        <w:bidi w:val="0"/>
      </w:pPr>
      <w:bookmarkStart w:id="431" w:name="_Toc118058237"/>
      <w:r>
        <w:rPr>
          <w:rFonts w:hint="eastAsia"/>
        </w:rPr>
        <w:t>本项目评价范围为</w:t>
      </w:r>
      <w:r>
        <w:rPr>
          <w:rFonts w:hint="eastAsia"/>
          <w:lang w:val="en-US" w:eastAsia="zh-CN"/>
        </w:rPr>
        <w:t>231.98</w:t>
      </w:r>
      <w:r>
        <w:rPr>
          <w:rFonts w:hint="eastAsia"/>
        </w:rPr>
        <w:t>hm</w:t>
      </w:r>
      <w:r>
        <w:rPr>
          <w:rFonts w:hint="eastAsia"/>
          <w:vertAlign w:val="superscript"/>
        </w:rPr>
        <w:t>2</w:t>
      </w:r>
      <w:r>
        <w:rPr>
          <w:rFonts w:hint="eastAsia"/>
        </w:rPr>
        <w:t>，区域土地利用现状类型以</w:t>
      </w:r>
      <w:r>
        <w:rPr>
          <w:rFonts w:hint="eastAsia"/>
          <w:lang w:val="en-US" w:eastAsia="zh-CN"/>
        </w:rPr>
        <w:t>耕地</w:t>
      </w:r>
      <w:r>
        <w:rPr>
          <w:rFonts w:hint="eastAsia"/>
        </w:rPr>
        <w:t>为主，面积占比</w:t>
      </w:r>
      <w:r>
        <w:rPr>
          <w:rFonts w:hint="eastAsia"/>
          <w:lang w:val="en-US" w:eastAsia="zh-CN"/>
        </w:rPr>
        <w:t>为36.19</w:t>
      </w:r>
      <w:r>
        <w:rPr>
          <w:rFonts w:hint="eastAsia"/>
        </w:rPr>
        <w:t>%</w:t>
      </w:r>
      <w:r>
        <w:rPr>
          <w:rFonts w:hint="eastAsia"/>
          <w:lang w:eastAsia="zh-CN"/>
        </w:rPr>
        <w:t>；</w:t>
      </w:r>
      <w:r>
        <w:rPr>
          <w:rFonts w:hint="eastAsia"/>
          <w:lang w:val="en-US" w:eastAsia="zh-CN"/>
        </w:rPr>
        <w:t>其次为林地和工矿仓储用地，面积占比分别为30.77%、24.94%；</w:t>
      </w:r>
      <w:r>
        <w:rPr>
          <w:rFonts w:hint="eastAsia"/>
        </w:rPr>
        <w:t>园地</w:t>
      </w:r>
      <w:r>
        <w:rPr>
          <w:rFonts w:hint="eastAsia"/>
          <w:lang w:eastAsia="zh-CN"/>
        </w:rPr>
        <w:t>、</w:t>
      </w:r>
      <w:r>
        <w:rPr>
          <w:rFonts w:hint="eastAsia"/>
          <w:lang w:val="en-US" w:eastAsia="zh-CN"/>
        </w:rPr>
        <w:t>草地、</w:t>
      </w:r>
      <w:r>
        <w:rPr>
          <w:rFonts w:hint="eastAsia"/>
        </w:rPr>
        <w:t>交通运输用地</w:t>
      </w:r>
      <w:r>
        <w:rPr>
          <w:rFonts w:hint="eastAsia"/>
          <w:lang w:eastAsia="zh-CN"/>
        </w:rPr>
        <w:t>、</w:t>
      </w:r>
      <w:r>
        <w:rPr>
          <w:rFonts w:hint="eastAsia"/>
          <w:lang w:val="en-US" w:eastAsia="zh-CN"/>
        </w:rPr>
        <w:t>水域及水利设施用地</w:t>
      </w:r>
      <w:r>
        <w:rPr>
          <w:rFonts w:hint="eastAsia"/>
        </w:rPr>
        <w:t>面积</w:t>
      </w:r>
      <w:r>
        <w:rPr>
          <w:rFonts w:hint="eastAsia"/>
          <w:lang w:val="en-US" w:eastAsia="zh-CN"/>
        </w:rPr>
        <w:t>均较小，面积</w:t>
      </w:r>
      <w:r>
        <w:rPr>
          <w:rFonts w:hint="eastAsia"/>
        </w:rPr>
        <w:t>占比</w:t>
      </w:r>
      <w:r>
        <w:rPr>
          <w:rFonts w:hint="eastAsia"/>
          <w:lang w:val="en-US" w:eastAsia="zh-CN"/>
        </w:rPr>
        <w:t>依次</w:t>
      </w:r>
      <w:r>
        <w:rPr>
          <w:rFonts w:hint="eastAsia"/>
        </w:rPr>
        <w:t>为</w:t>
      </w:r>
      <w:r>
        <w:rPr>
          <w:rFonts w:hint="eastAsia"/>
          <w:lang w:val="en-US" w:eastAsia="zh-CN"/>
        </w:rPr>
        <w:t>6.03%、0.55%、0.64%、0.88%。</w:t>
      </w:r>
    </w:p>
    <w:p w14:paraId="68162260">
      <w:pPr>
        <w:pStyle w:val="41"/>
        <w:bidi w:val="0"/>
      </w:pPr>
      <w:r>
        <w:rPr>
          <w:rFonts w:hint="eastAsia"/>
        </w:rPr>
        <w:t>评价范围内植被类型以</w:t>
      </w:r>
      <w:r>
        <w:rPr>
          <w:rFonts w:hint="eastAsia"/>
          <w:lang w:val="en-US" w:eastAsia="zh-CN"/>
        </w:rPr>
        <w:t>农业</w:t>
      </w:r>
      <w:r>
        <w:rPr>
          <w:rFonts w:hint="eastAsia"/>
        </w:rPr>
        <w:t>植被最多，面积占比</w:t>
      </w:r>
      <w:r>
        <w:rPr>
          <w:rFonts w:hint="eastAsia"/>
          <w:lang w:val="en-US" w:eastAsia="zh-CN"/>
        </w:rPr>
        <w:t>为35.19</w:t>
      </w:r>
      <w:r>
        <w:t>%</w:t>
      </w:r>
      <w:r>
        <w:rPr>
          <w:rFonts w:hint="eastAsia"/>
        </w:rPr>
        <w:t>，主要由</w:t>
      </w:r>
      <w:r>
        <w:rPr>
          <w:rFonts w:hint="eastAsia"/>
          <w:lang w:val="en-US" w:eastAsia="zh-CN"/>
        </w:rPr>
        <w:t>玉米、红薯等粮食作物组成</w:t>
      </w:r>
      <w:r>
        <w:rPr>
          <w:rFonts w:hint="eastAsia"/>
        </w:rPr>
        <w:t>；</w:t>
      </w:r>
      <w:r>
        <w:rPr>
          <w:rFonts w:hint="eastAsia"/>
          <w:lang w:val="en-US" w:eastAsia="zh-CN"/>
        </w:rPr>
        <w:t>其次为灌丛</w:t>
      </w:r>
      <w:r>
        <w:rPr>
          <w:rFonts w:hint="eastAsia"/>
        </w:rPr>
        <w:t>植被</w:t>
      </w:r>
      <w:r>
        <w:rPr>
          <w:rFonts w:hint="eastAsia"/>
          <w:lang w:eastAsia="zh-CN"/>
        </w:rPr>
        <w:t>，</w:t>
      </w:r>
      <w:r>
        <w:rPr>
          <w:rFonts w:hint="eastAsia"/>
        </w:rPr>
        <w:t>面积占比为</w:t>
      </w:r>
      <w:r>
        <w:rPr>
          <w:rFonts w:hint="eastAsia"/>
          <w:lang w:val="en-US" w:eastAsia="zh-CN"/>
        </w:rPr>
        <w:t>26.02</w:t>
      </w:r>
      <w:r>
        <w:t>%</w:t>
      </w:r>
      <w:r>
        <w:rPr>
          <w:rFonts w:hint="eastAsia"/>
        </w:rPr>
        <w:t>，主要由</w:t>
      </w:r>
      <w:r>
        <w:rPr>
          <w:rFonts w:hint="eastAsia"/>
          <w:lang w:val="en-US" w:eastAsia="zh-CN"/>
        </w:rPr>
        <w:t>锥连栎林</w:t>
      </w:r>
      <w:r>
        <w:rPr>
          <w:rFonts w:hint="eastAsia"/>
        </w:rPr>
        <w:t>组成</w:t>
      </w:r>
      <w:r>
        <w:rPr>
          <w:rFonts w:hint="eastAsia"/>
          <w:lang w:eastAsia="zh-CN"/>
        </w:rPr>
        <w:t>；</w:t>
      </w:r>
      <w:r>
        <w:rPr>
          <w:rFonts w:hint="eastAsia"/>
          <w:lang w:val="en-US" w:eastAsia="zh-CN"/>
        </w:rPr>
        <w:t>森林植被</w:t>
      </w:r>
      <w:r>
        <w:rPr>
          <w:rFonts w:hint="eastAsia"/>
        </w:rPr>
        <w:t>占比为</w:t>
      </w:r>
      <w:r>
        <w:rPr>
          <w:rFonts w:hint="eastAsia"/>
          <w:lang w:val="en-US" w:eastAsia="zh-CN"/>
        </w:rPr>
        <w:t>4.75</w:t>
      </w:r>
      <w:r>
        <w:t>%</w:t>
      </w:r>
      <w:r>
        <w:rPr>
          <w:rFonts w:hint="eastAsia"/>
        </w:rPr>
        <w:t>，主要</w:t>
      </w:r>
      <w:r>
        <w:rPr>
          <w:rFonts w:hint="eastAsia"/>
          <w:lang w:val="en-US" w:eastAsia="zh-CN"/>
        </w:rPr>
        <w:t>由云南松和桉树组成；草本植被主要由拂子茅、艾等组成，面积占比为0.55%</w:t>
      </w:r>
      <w:r>
        <w:rPr>
          <w:rFonts w:hint="eastAsia"/>
        </w:rPr>
        <w:t>；评价范围无植被地段面积占比</w:t>
      </w:r>
      <w:r>
        <w:rPr>
          <w:rFonts w:hint="eastAsia"/>
          <w:lang w:val="en-US" w:eastAsia="zh-CN"/>
        </w:rPr>
        <w:t>25.58</w:t>
      </w:r>
      <w:r>
        <w:t>%</w:t>
      </w:r>
      <w:r>
        <w:rPr>
          <w:rFonts w:hint="eastAsia"/>
          <w:lang w:eastAsia="zh-CN"/>
        </w:rPr>
        <w:t>，</w:t>
      </w:r>
      <w:r>
        <w:rPr>
          <w:rFonts w:hint="eastAsia"/>
          <w:lang w:val="en-US" w:eastAsia="zh-CN"/>
        </w:rPr>
        <w:t>水域面积占比为0.88%</w:t>
      </w:r>
      <w:r>
        <w:rPr>
          <w:rFonts w:hint="eastAsia"/>
        </w:rPr>
        <w:t>。评价区植被平均覆盖度为5</w:t>
      </w:r>
      <w:r>
        <w:rPr>
          <w:rFonts w:hint="eastAsia"/>
          <w:lang w:val="en-US" w:eastAsia="zh-CN"/>
        </w:rPr>
        <w:t>3.00</w:t>
      </w:r>
      <w:r>
        <w:t>%</w:t>
      </w:r>
      <w:r>
        <w:rPr>
          <w:rFonts w:hint="eastAsia"/>
        </w:rPr>
        <w:t>，植被覆盖度一般。评价范围内无珍稀保护植物和名木古树分布。项目评价区内</w:t>
      </w:r>
      <w:r>
        <w:rPr>
          <w:rFonts w:hint="eastAsia"/>
          <w:lang w:eastAsia="zh-CN"/>
        </w:rPr>
        <w:t>未发现</w:t>
      </w:r>
      <w:r>
        <w:rPr>
          <w:rFonts w:hint="eastAsia"/>
        </w:rPr>
        <w:t>珍稀、濒危动物保护动物，同时，由于人类活动频繁，评价区内</w:t>
      </w:r>
      <w:r>
        <w:rPr>
          <w:rFonts w:hint="eastAsia"/>
          <w:lang w:val="en-US" w:eastAsia="zh-CN"/>
        </w:rPr>
        <w:t>陆生野生</w:t>
      </w:r>
      <w:r>
        <w:rPr>
          <w:rFonts w:hint="eastAsia"/>
        </w:rPr>
        <w:t>动物分布较少，</w:t>
      </w:r>
      <w:r>
        <w:rPr>
          <w:rFonts w:hint="eastAsia"/>
          <w:lang w:val="zh-CN"/>
        </w:rPr>
        <w:t>以小型动物为主，几乎难见大型动物。区域内没有大型哺乳动物，仅有较小型的一些种类，以啮齿目为主，其中褐家鼠和</w:t>
      </w:r>
      <w:r>
        <w:rPr>
          <w:rFonts w:hint="eastAsia"/>
          <w:lang w:val="en-US" w:eastAsia="zh-CN"/>
        </w:rPr>
        <w:t>小家</w:t>
      </w:r>
      <w:r>
        <w:rPr>
          <w:rFonts w:hint="eastAsia"/>
          <w:lang w:val="zh-CN"/>
        </w:rPr>
        <w:t>鼠活动频繁。通过野外实地调查和访问，评价区鸟类主要包括麻雀、家燕、喜鹊等。据查阅资料及走访调查，评价区内两栖类动物主要为</w:t>
      </w:r>
      <w:r>
        <w:rPr>
          <w:rFonts w:hint="eastAsia"/>
          <w:lang w:val="en-US" w:eastAsia="zh-CN"/>
        </w:rPr>
        <w:t>中华蟾蜍、沼蛙</w:t>
      </w:r>
      <w:r>
        <w:rPr>
          <w:rFonts w:hint="eastAsia"/>
          <w:lang w:val="zh-CN"/>
        </w:rPr>
        <w:t>等；爬行类动物主要为</w:t>
      </w:r>
      <w:r>
        <w:rPr>
          <w:rFonts w:hint="eastAsia"/>
          <w:lang w:val="en-US" w:eastAsia="zh-CN"/>
        </w:rPr>
        <w:t>中国壁虎、灰鼠蛇</w:t>
      </w:r>
      <w:r>
        <w:rPr>
          <w:rFonts w:hint="eastAsia"/>
          <w:lang w:val="zh-CN"/>
        </w:rPr>
        <w:t>等</w:t>
      </w:r>
      <w:r>
        <w:rPr>
          <w:rFonts w:hint="eastAsia"/>
        </w:rPr>
        <w:t>。</w:t>
      </w:r>
    </w:p>
    <w:p w14:paraId="03CE60E3">
      <w:pPr>
        <w:pStyle w:val="5"/>
        <w:bidi w:val="0"/>
      </w:pPr>
      <w:r>
        <w:t>生态影响预测</w:t>
      </w:r>
      <w:bookmarkEnd w:id="431"/>
      <w:r>
        <w:rPr>
          <w:rFonts w:hint="eastAsia"/>
        </w:rPr>
        <w:t>结论</w:t>
      </w:r>
    </w:p>
    <w:p w14:paraId="62F685BB">
      <w:pPr>
        <w:pStyle w:val="41"/>
        <w:bidi w:val="0"/>
        <w:rPr>
          <w:rFonts w:hint="eastAsia"/>
        </w:rPr>
      </w:pPr>
      <w:r>
        <w:rPr>
          <w:rFonts w:hint="eastAsia"/>
        </w:rPr>
        <w:t>本项目在原有工业场地内布设采场等新建设备，不涉及新增占地。项目的影响主要为项目施工和生产过程中产生的废水、固废、扬尘等使周边植物的生命活动受阻，通过采取废水、固废、废气等措施，施工期和开采期对植物的影响较小。评价区保护动物出没较少，</w:t>
      </w:r>
      <w:bookmarkStart w:id="432" w:name="OLE_LINK84"/>
      <w:bookmarkStart w:id="433" w:name="OLE_LINK83"/>
      <w:r>
        <w:rPr>
          <w:rFonts w:hint="eastAsia"/>
        </w:rPr>
        <w:t>项目</w:t>
      </w:r>
      <w:bookmarkEnd w:id="432"/>
      <w:bookmarkEnd w:id="433"/>
      <w:r>
        <w:rPr>
          <w:rFonts w:hint="eastAsia"/>
        </w:rPr>
        <w:t>未新增占地，不会对野生保护动物造成直接影响。因此，项目对生态环境的影响较小，项目建设是可行的。</w:t>
      </w:r>
    </w:p>
    <w:p w14:paraId="58F44356">
      <w:pPr>
        <w:pStyle w:val="3"/>
        <w:bidi w:val="0"/>
        <w:rPr>
          <w:rFonts w:hint="default" w:ascii="Times New Roman" w:hAnsi="Times New Roman" w:cs="Times New Roman"/>
          <w:color w:val="000000" w:themeColor="text1"/>
          <w:highlight w:val="none"/>
          <w14:textFill>
            <w14:solidFill>
              <w14:schemeClr w14:val="tx1"/>
            </w14:solidFill>
          </w14:textFill>
        </w:rPr>
      </w:pPr>
      <w:bookmarkStart w:id="434" w:name="_Toc32525"/>
      <w:r>
        <w:rPr>
          <w:rFonts w:hint="default" w:ascii="Times New Roman" w:hAnsi="Times New Roman" w:cs="Times New Roman"/>
          <w:color w:val="000000" w:themeColor="text1"/>
          <w:highlight w:val="none"/>
          <w14:textFill>
            <w14:solidFill>
              <w14:schemeClr w14:val="tx1"/>
            </w14:solidFill>
          </w14:textFill>
        </w:rPr>
        <w:t>环境空气影响预测与评价</w:t>
      </w:r>
      <w:bookmarkEnd w:id="434"/>
    </w:p>
    <w:p w14:paraId="0E771972">
      <w:pPr>
        <w:pStyle w:val="4"/>
        <w:bidi w:val="0"/>
        <w:rPr>
          <w:rFonts w:hint="default"/>
        </w:rPr>
      </w:pPr>
      <w:bookmarkStart w:id="435" w:name="_Toc5706"/>
      <w:r>
        <w:rPr>
          <w:rFonts w:hint="default"/>
        </w:rPr>
        <w:t>施工期</w:t>
      </w:r>
      <w:bookmarkEnd w:id="435"/>
      <w:r>
        <w:rPr>
          <w:rFonts w:hint="default"/>
        </w:rPr>
        <w:t>环境空气影响预测与评价</w:t>
      </w:r>
    </w:p>
    <w:p w14:paraId="7B18D9AB">
      <w:pPr>
        <w:pStyle w:val="41"/>
        <w:bidi w:val="0"/>
      </w:pPr>
      <w:r>
        <w:t>本项目</w:t>
      </w:r>
      <w:r>
        <w:rPr>
          <w:rFonts w:hint="eastAsia"/>
        </w:rPr>
        <w:t>在原有</w:t>
      </w:r>
      <w:r>
        <w:rPr>
          <w:rFonts w:hint="eastAsia"/>
          <w:lang w:val="en-US" w:eastAsia="zh-CN"/>
        </w:rPr>
        <w:t>场地</w:t>
      </w:r>
      <w:r>
        <w:rPr>
          <w:rFonts w:hint="eastAsia"/>
        </w:rPr>
        <w:t>内进行</w:t>
      </w:r>
      <w:r>
        <w:rPr>
          <w:rFonts w:hint="eastAsia"/>
          <w:lang w:eastAsia="zh-CN"/>
        </w:rPr>
        <w:t>扩建</w:t>
      </w:r>
      <w:r>
        <w:rPr>
          <w:rFonts w:hint="eastAsia"/>
        </w:rPr>
        <w:t>，</w:t>
      </w:r>
      <w:r>
        <w:t>施工期主要污染物为</w:t>
      </w:r>
      <w:r>
        <w:rPr>
          <w:rFonts w:hint="eastAsia"/>
          <w:lang w:val="en-US" w:eastAsia="zh-CN"/>
        </w:rPr>
        <w:t>部分旧设备拆移</w:t>
      </w:r>
      <w:r>
        <w:rPr>
          <w:rFonts w:hint="eastAsia"/>
        </w:rPr>
        <w:t>、</w:t>
      </w:r>
      <w:r>
        <w:rPr>
          <w:rFonts w:hint="eastAsia"/>
          <w:lang w:val="en-US" w:eastAsia="zh-CN"/>
        </w:rPr>
        <w:t>新设备</w:t>
      </w:r>
      <w:r>
        <w:t>安装</w:t>
      </w:r>
      <w:r>
        <w:rPr>
          <w:rFonts w:hint="eastAsia"/>
        </w:rPr>
        <w:t>、物料搬运、</w:t>
      </w:r>
      <w:r>
        <w:rPr>
          <w:rFonts w:hint="eastAsia"/>
          <w:lang w:val="en-US" w:eastAsia="zh-CN"/>
        </w:rPr>
        <w:t>项目喷淋系统改造、废气收集管道改造</w:t>
      </w:r>
      <w:r>
        <w:rPr>
          <w:rFonts w:hint="eastAsia"/>
        </w:rPr>
        <w:t>施工产生的少量施工扬尘</w:t>
      </w:r>
      <w:r>
        <w:t>，</w:t>
      </w:r>
      <w:r>
        <w:rPr>
          <w:rFonts w:hint="eastAsia"/>
        </w:rPr>
        <w:t>项目</w:t>
      </w:r>
      <w:r>
        <w:t>施工期较短</w:t>
      </w:r>
      <w:r>
        <w:rPr>
          <w:rFonts w:hint="eastAsia"/>
        </w:rPr>
        <w:t>，</w:t>
      </w:r>
      <w:r>
        <w:t>经过自然扩散，对环境影响较小。</w:t>
      </w:r>
      <w:r>
        <w:rPr>
          <w:rFonts w:hint="eastAsia"/>
        </w:rPr>
        <w:t>为减小废气影响，项目施工期物料搬运轻拿轻放，粉状物料集中施工时进行洒水，减少粉尘产生。</w:t>
      </w:r>
    </w:p>
    <w:p w14:paraId="3584A578">
      <w:pPr>
        <w:pStyle w:val="41"/>
        <w:bidi w:val="0"/>
      </w:pPr>
      <w:r>
        <w:t>综上所述，</w:t>
      </w:r>
      <w:r>
        <w:rPr>
          <w:rFonts w:hint="eastAsia"/>
        </w:rPr>
        <w:t>项目施工期较短，施工废气会随着施工期的结束而结束，对周围环境影响较小。施工期大气能达到</w:t>
      </w:r>
      <w:r>
        <w:t>《大气污染物综合排放标准》（GB16297-1996）表2无组织排放监控浓度限值</w:t>
      </w:r>
      <w:r>
        <w:rPr>
          <w:rFonts w:hint="eastAsia"/>
        </w:rPr>
        <w:t>。</w:t>
      </w:r>
    </w:p>
    <w:p w14:paraId="631DE08B">
      <w:pPr>
        <w:pStyle w:val="4"/>
        <w:bidi w:val="0"/>
        <w:rPr>
          <w:rFonts w:hint="default"/>
          <w:lang w:val="en-US" w:eastAsia="zh-CN"/>
        </w:rPr>
      </w:pPr>
      <w:r>
        <w:rPr>
          <w:rFonts w:hint="eastAsia"/>
          <w:lang w:val="en-US" w:eastAsia="zh-CN"/>
        </w:rPr>
        <w:t>运营期</w:t>
      </w:r>
      <w:r>
        <w:rPr>
          <w:rFonts w:hint="default"/>
        </w:rPr>
        <w:t>环境空气影响预测与评价</w:t>
      </w:r>
    </w:p>
    <w:p w14:paraId="0BD639FD">
      <w:pPr>
        <w:pStyle w:val="5"/>
        <w:bidi w:val="0"/>
      </w:pPr>
      <w:r>
        <w:t>污染源分析</w:t>
      </w:r>
    </w:p>
    <w:p w14:paraId="2944A95D">
      <w:pPr>
        <w:pStyle w:val="41"/>
        <w:bidi w:val="0"/>
      </w:pPr>
      <w:r>
        <w:rPr>
          <w:rFonts w:hint="eastAsia"/>
          <w:lang w:val="en-US" w:eastAsia="zh-CN"/>
        </w:rPr>
        <w:t>项目</w:t>
      </w:r>
      <w:r>
        <w:t>扩建后，矿山生产期废气污染物产生途径与现状一致，即生产期废气主要来自露天采区、运输道路、各类堆场及</w:t>
      </w:r>
      <w:r>
        <w:rPr>
          <w:rFonts w:hint="eastAsia"/>
          <w:lang w:val="en-US" w:eastAsia="zh-CN"/>
        </w:rPr>
        <w:t>加工区</w:t>
      </w:r>
      <w:r>
        <w:t>等</w:t>
      </w:r>
      <w:r>
        <w:rPr>
          <w:rFonts w:hint="eastAsia"/>
          <w:lang w:val="en-US" w:eastAsia="zh-CN"/>
        </w:rPr>
        <w:t>产生的扬尘污染</w:t>
      </w:r>
      <w:r>
        <w:t>以及燃油机械尾气。</w:t>
      </w:r>
    </w:p>
    <w:p w14:paraId="1C8F7F9A">
      <w:pPr>
        <w:pStyle w:val="41"/>
        <w:bidi w:val="0"/>
        <w:rPr>
          <w:rFonts w:hint="default"/>
          <w:lang w:val="en-US" w:eastAsia="zh-CN"/>
        </w:rPr>
      </w:pPr>
      <w:r>
        <w:rPr>
          <w:rFonts w:hint="eastAsia"/>
          <w:lang w:val="en-US" w:eastAsia="zh-CN"/>
        </w:rPr>
        <w:t>项目属于扩建项目，主要通过更换设备来实现扩产目的，原项目与扩建项目产生的粉尘影响无法完全分开，本次评价以扩建后整体项目的源强进行影响分析及评价。</w:t>
      </w:r>
    </w:p>
    <w:p w14:paraId="3BBA2FBA">
      <w:pPr>
        <w:pStyle w:val="5"/>
        <w:bidi w:val="0"/>
      </w:pPr>
      <w:r>
        <w:t>粉尘影响预测与评价</w:t>
      </w:r>
    </w:p>
    <w:p w14:paraId="209F375D">
      <w:pPr>
        <w:pStyle w:val="41"/>
        <w:bidi w:val="0"/>
        <w:rPr>
          <w:rFonts w:hint="default"/>
          <w:b/>
          <w:bCs/>
        </w:rPr>
      </w:pPr>
      <w:r>
        <w:rPr>
          <w:rFonts w:hint="eastAsia"/>
          <w:b/>
          <w:bCs/>
          <w:lang w:val="en-US" w:eastAsia="zh-CN"/>
        </w:rPr>
        <w:t>（1）</w:t>
      </w:r>
      <w:r>
        <w:rPr>
          <w:rFonts w:hint="default"/>
          <w:b/>
          <w:bCs/>
        </w:rPr>
        <w:t>估算模式</w:t>
      </w:r>
    </w:p>
    <w:p w14:paraId="4F5509EB">
      <w:pPr>
        <w:pStyle w:val="41"/>
        <w:bidi w:val="0"/>
        <w:rPr>
          <w:rFonts w:hint="default"/>
        </w:rPr>
      </w:pPr>
      <w:r>
        <w:rPr>
          <w:rFonts w:hint="default"/>
        </w:rPr>
        <w:t>根据</w:t>
      </w:r>
      <w:r>
        <w:rPr>
          <w:rFonts w:hint="eastAsia"/>
          <w:lang w:eastAsia="zh-CN"/>
        </w:rPr>
        <w:t>《</w:t>
      </w:r>
      <w:r>
        <w:rPr>
          <w:rFonts w:hint="default"/>
        </w:rPr>
        <w:t>环境影响评价技术导则大气环境》HJ2.2-2018要求</w:t>
      </w:r>
      <w:r>
        <w:rPr>
          <w:rFonts w:hint="eastAsia"/>
          <w:lang w:eastAsia="zh-CN"/>
        </w:rPr>
        <w:t>，</w:t>
      </w:r>
      <w:r>
        <w:rPr>
          <w:rFonts w:hint="default"/>
        </w:rPr>
        <w:t>本次评价采用AERSCREEN进行估算</w:t>
      </w:r>
      <w:r>
        <w:rPr>
          <w:rFonts w:hint="eastAsia"/>
          <w:lang w:eastAsia="zh-CN"/>
        </w:rPr>
        <w:t>，</w:t>
      </w:r>
      <w:r>
        <w:rPr>
          <w:rFonts w:hint="default"/>
        </w:rPr>
        <w:t>该估算模式为国家环境保护部工程评估中心环境质量模拟重点实验室提供。</w:t>
      </w:r>
    </w:p>
    <w:p w14:paraId="3C2A8A45">
      <w:pPr>
        <w:pStyle w:val="41"/>
        <w:bidi w:val="0"/>
        <w:rPr>
          <w:rFonts w:hint="default"/>
          <w:b/>
          <w:bCs/>
        </w:rPr>
      </w:pPr>
      <w:r>
        <w:rPr>
          <w:rFonts w:hint="eastAsia"/>
          <w:b/>
          <w:bCs/>
          <w:lang w:val="en-US" w:eastAsia="zh-CN"/>
        </w:rPr>
        <w:t>（2）</w:t>
      </w:r>
      <w:r>
        <w:rPr>
          <w:rFonts w:hint="default"/>
          <w:b/>
          <w:bCs/>
        </w:rPr>
        <w:t>估算模型参数</w:t>
      </w:r>
    </w:p>
    <w:p w14:paraId="1882BAB5">
      <w:pPr>
        <w:pStyle w:val="41"/>
        <w:bidi w:val="0"/>
        <w:rPr>
          <w:rFonts w:hint="default"/>
        </w:rPr>
      </w:pPr>
      <w:r>
        <w:rPr>
          <w:rFonts w:hint="default"/>
        </w:rPr>
        <w:t>项目估算模型参数见下表。</w:t>
      </w:r>
    </w:p>
    <w:p w14:paraId="262B306E">
      <w:pPr>
        <w:pStyle w:val="45"/>
        <w:bidi w:val="0"/>
        <w:rPr>
          <w:rFonts w:hint="default"/>
        </w:rPr>
      </w:pPr>
      <w:r>
        <w:rPr>
          <w:rFonts w:hint="default"/>
        </w:rPr>
        <w:t>表</w:t>
      </w:r>
      <w:r>
        <w:rPr>
          <w:rFonts w:hint="eastAsia"/>
          <w:lang w:val="en-US" w:eastAsia="zh-CN"/>
        </w:rPr>
        <w:t xml:space="preserve">6.2-1  </w:t>
      </w:r>
      <w:r>
        <w:rPr>
          <w:rFonts w:hint="default"/>
        </w:rPr>
        <w:t>估算模型参数</w:t>
      </w:r>
    </w:p>
    <w:tbl>
      <w:tblPr>
        <w:tblStyle w:val="34"/>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07"/>
        <w:gridCol w:w="3769"/>
        <w:gridCol w:w="2751"/>
      </w:tblGrid>
      <w:tr w14:paraId="2E22D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5776" w:type="dxa"/>
            <w:gridSpan w:val="2"/>
            <w:vAlign w:val="center"/>
          </w:tcPr>
          <w:p w14:paraId="27100F93">
            <w:pPr>
              <w:pStyle w:val="43"/>
              <w:bidi w:val="0"/>
            </w:pPr>
            <w:r>
              <w:t>参数</w:t>
            </w:r>
          </w:p>
        </w:tc>
        <w:tc>
          <w:tcPr>
            <w:tcW w:w="2751" w:type="dxa"/>
            <w:vAlign w:val="center"/>
          </w:tcPr>
          <w:p w14:paraId="4A83AF10">
            <w:pPr>
              <w:pStyle w:val="43"/>
              <w:bidi w:val="0"/>
            </w:pPr>
            <w:r>
              <w:t>取值</w:t>
            </w:r>
          </w:p>
        </w:tc>
      </w:tr>
      <w:tr w14:paraId="7B4FA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restart"/>
            <w:vAlign w:val="center"/>
          </w:tcPr>
          <w:p w14:paraId="7BDD5F7C">
            <w:pPr>
              <w:pStyle w:val="43"/>
              <w:bidi w:val="0"/>
            </w:pPr>
            <w:r>
              <w:t>城市/农村选项</w:t>
            </w:r>
          </w:p>
        </w:tc>
        <w:tc>
          <w:tcPr>
            <w:tcW w:w="3769" w:type="dxa"/>
            <w:vAlign w:val="center"/>
          </w:tcPr>
          <w:p w14:paraId="632E220B">
            <w:pPr>
              <w:pStyle w:val="43"/>
              <w:bidi w:val="0"/>
            </w:pPr>
            <w:r>
              <w:t>城市/农村</w:t>
            </w:r>
          </w:p>
        </w:tc>
        <w:tc>
          <w:tcPr>
            <w:tcW w:w="2751" w:type="dxa"/>
            <w:vAlign w:val="center"/>
          </w:tcPr>
          <w:p w14:paraId="0D0A12A0">
            <w:pPr>
              <w:pStyle w:val="43"/>
              <w:bidi w:val="0"/>
            </w:pPr>
            <w:r>
              <w:t>农村</w:t>
            </w:r>
          </w:p>
        </w:tc>
      </w:tr>
      <w:tr w14:paraId="41435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continue"/>
            <w:vAlign w:val="center"/>
          </w:tcPr>
          <w:p w14:paraId="7B6F497C">
            <w:pPr>
              <w:pStyle w:val="43"/>
              <w:bidi w:val="0"/>
            </w:pPr>
          </w:p>
        </w:tc>
        <w:tc>
          <w:tcPr>
            <w:tcW w:w="3769" w:type="dxa"/>
            <w:vAlign w:val="center"/>
          </w:tcPr>
          <w:p w14:paraId="5AC993B3">
            <w:pPr>
              <w:pStyle w:val="43"/>
              <w:bidi w:val="0"/>
            </w:pPr>
            <w:r>
              <w:t>人口数</w:t>
            </w:r>
            <w:r>
              <w:rPr>
                <w:rFonts w:hint="eastAsia"/>
                <w:lang w:eastAsia="zh-CN"/>
              </w:rPr>
              <w:t>（</w:t>
            </w:r>
            <w:r>
              <w:t>城市人口数</w:t>
            </w:r>
            <w:r>
              <w:rPr>
                <w:rFonts w:hint="eastAsia"/>
                <w:lang w:eastAsia="zh-CN"/>
              </w:rPr>
              <w:t>）</w:t>
            </w:r>
          </w:p>
        </w:tc>
        <w:tc>
          <w:tcPr>
            <w:tcW w:w="2751" w:type="dxa"/>
            <w:vAlign w:val="center"/>
          </w:tcPr>
          <w:p w14:paraId="6F968BD2">
            <w:pPr>
              <w:pStyle w:val="43"/>
              <w:bidi w:val="0"/>
            </w:pPr>
            <w:r>
              <w:t>/</w:t>
            </w:r>
          </w:p>
        </w:tc>
      </w:tr>
    </w:tbl>
    <w:p w14:paraId="336553AD">
      <w:pPr>
        <w:pStyle w:val="43"/>
        <w:bidi w:val="0"/>
        <w:sectPr>
          <w:headerReference r:id="rId8" w:type="default"/>
          <w:footerReference r:id="rId9" w:type="default"/>
          <w:pgSz w:w="11907" w:h="16840"/>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tbl>
      <w:tblPr>
        <w:tblStyle w:val="34"/>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07"/>
        <w:gridCol w:w="3769"/>
        <w:gridCol w:w="2751"/>
      </w:tblGrid>
      <w:tr w14:paraId="33419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5776" w:type="dxa"/>
            <w:gridSpan w:val="2"/>
            <w:vAlign w:val="center"/>
          </w:tcPr>
          <w:p w14:paraId="66E98046">
            <w:pPr>
              <w:pStyle w:val="43"/>
              <w:bidi w:val="0"/>
            </w:pPr>
            <w:r>
              <w:t>最高环境温度</w:t>
            </w:r>
          </w:p>
        </w:tc>
        <w:tc>
          <w:tcPr>
            <w:tcW w:w="2751" w:type="dxa"/>
            <w:vAlign w:val="center"/>
          </w:tcPr>
          <w:p w14:paraId="390B9193">
            <w:pPr>
              <w:pStyle w:val="43"/>
              <w:bidi w:val="0"/>
            </w:pPr>
            <w:r>
              <w:t>34.9</w:t>
            </w:r>
          </w:p>
        </w:tc>
      </w:tr>
      <w:tr w14:paraId="09687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5776" w:type="dxa"/>
            <w:gridSpan w:val="2"/>
            <w:vAlign w:val="center"/>
          </w:tcPr>
          <w:p w14:paraId="6948AAD6">
            <w:pPr>
              <w:pStyle w:val="43"/>
              <w:bidi w:val="0"/>
            </w:pPr>
            <w:r>
              <w:t>最低环境温度</w:t>
            </w:r>
          </w:p>
        </w:tc>
        <w:tc>
          <w:tcPr>
            <w:tcW w:w="2751" w:type="dxa"/>
            <w:vAlign w:val="center"/>
          </w:tcPr>
          <w:p w14:paraId="1323B99A">
            <w:pPr>
              <w:pStyle w:val="43"/>
              <w:bidi w:val="0"/>
            </w:pPr>
            <w:r>
              <w:t>-7.8</w:t>
            </w:r>
          </w:p>
        </w:tc>
      </w:tr>
      <w:tr w14:paraId="256DD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5776" w:type="dxa"/>
            <w:gridSpan w:val="2"/>
            <w:vAlign w:val="center"/>
          </w:tcPr>
          <w:p w14:paraId="17EDFD84">
            <w:pPr>
              <w:pStyle w:val="43"/>
              <w:bidi w:val="0"/>
            </w:pPr>
            <w:r>
              <w:t>土地利用类型</w:t>
            </w:r>
          </w:p>
        </w:tc>
        <w:tc>
          <w:tcPr>
            <w:tcW w:w="2751" w:type="dxa"/>
            <w:vAlign w:val="center"/>
          </w:tcPr>
          <w:p w14:paraId="0D002C80">
            <w:pPr>
              <w:pStyle w:val="43"/>
              <w:bidi w:val="0"/>
            </w:pPr>
            <w:r>
              <w:t>农田</w:t>
            </w:r>
          </w:p>
        </w:tc>
      </w:tr>
      <w:tr w14:paraId="1A29D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5776" w:type="dxa"/>
            <w:gridSpan w:val="2"/>
            <w:vAlign w:val="center"/>
          </w:tcPr>
          <w:p w14:paraId="5757817A">
            <w:pPr>
              <w:pStyle w:val="43"/>
              <w:bidi w:val="0"/>
            </w:pPr>
            <w:r>
              <w:t>区域湿度条件</w:t>
            </w:r>
          </w:p>
        </w:tc>
        <w:tc>
          <w:tcPr>
            <w:tcW w:w="2751" w:type="dxa"/>
            <w:vAlign w:val="center"/>
          </w:tcPr>
          <w:p w14:paraId="6896467A">
            <w:pPr>
              <w:pStyle w:val="43"/>
              <w:bidi w:val="0"/>
            </w:pPr>
            <w:r>
              <w:t>潮湿</w:t>
            </w:r>
          </w:p>
        </w:tc>
      </w:tr>
      <w:tr w14:paraId="40AF8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restart"/>
            <w:vAlign w:val="center"/>
          </w:tcPr>
          <w:p w14:paraId="1666C716">
            <w:pPr>
              <w:pStyle w:val="43"/>
              <w:bidi w:val="0"/>
            </w:pPr>
            <w:r>
              <w:t>是否考虑地形</w:t>
            </w:r>
          </w:p>
        </w:tc>
        <w:tc>
          <w:tcPr>
            <w:tcW w:w="3769" w:type="dxa"/>
            <w:vAlign w:val="center"/>
          </w:tcPr>
          <w:p w14:paraId="4736625A">
            <w:pPr>
              <w:pStyle w:val="43"/>
              <w:bidi w:val="0"/>
            </w:pPr>
            <w:r>
              <w:t>考虑地形</w:t>
            </w:r>
          </w:p>
        </w:tc>
        <w:tc>
          <w:tcPr>
            <w:tcW w:w="2751" w:type="dxa"/>
            <w:vAlign w:val="center"/>
          </w:tcPr>
          <w:p w14:paraId="7D11059E">
            <w:pPr>
              <w:pStyle w:val="43"/>
              <w:bidi w:val="0"/>
            </w:pPr>
            <w:r>
              <w:t>是</w:t>
            </w:r>
          </w:p>
        </w:tc>
      </w:tr>
      <w:tr w14:paraId="12A24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continue"/>
            <w:vAlign w:val="center"/>
          </w:tcPr>
          <w:p w14:paraId="1D8AF55D">
            <w:pPr>
              <w:pStyle w:val="43"/>
              <w:bidi w:val="0"/>
            </w:pPr>
          </w:p>
        </w:tc>
        <w:tc>
          <w:tcPr>
            <w:tcW w:w="3769" w:type="dxa"/>
            <w:vAlign w:val="center"/>
          </w:tcPr>
          <w:p w14:paraId="7966B772">
            <w:pPr>
              <w:pStyle w:val="43"/>
              <w:bidi w:val="0"/>
            </w:pPr>
            <w:r>
              <w:t>地形数据分辨率</w:t>
            </w:r>
            <w:r>
              <w:rPr>
                <w:rFonts w:hint="eastAsia"/>
                <w:lang w:eastAsia="zh-CN"/>
              </w:rPr>
              <w:t>（</w:t>
            </w:r>
            <w:r>
              <w:t>m</w:t>
            </w:r>
            <w:r>
              <w:rPr>
                <w:rFonts w:hint="eastAsia"/>
                <w:lang w:eastAsia="zh-CN"/>
              </w:rPr>
              <w:t>）</w:t>
            </w:r>
          </w:p>
        </w:tc>
        <w:tc>
          <w:tcPr>
            <w:tcW w:w="2751" w:type="dxa"/>
            <w:vAlign w:val="center"/>
          </w:tcPr>
          <w:p w14:paraId="088C4B8F">
            <w:pPr>
              <w:pStyle w:val="43"/>
              <w:bidi w:val="0"/>
            </w:pPr>
            <w:r>
              <w:t>90</w:t>
            </w:r>
          </w:p>
        </w:tc>
      </w:tr>
      <w:tr w14:paraId="44504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restart"/>
            <w:vAlign w:val="center"/>
          </w:tcPr>
          <w:p w14:paraId="7B4C8555">
            <w:pPr>
              <w:pStyle w:val="43"/>
              <w:bidi w:val="0"/>
            </w:pPr>
            <w:r>
              <w:t>是否考虑岸线熏烟</w:t>
            </w:r>
          </w:p>
        </w:tc>
        <w:tc>
          <w:tcPr>
            <w:tcW w:w="3769" w:type="dxa"/>
            <w:vAlign w:val="center"/>
          </w:tcPr>
          <w:p w14:paraId="2BA6FDCB">
            <w:pPr>
              <w:pStyle w:val="43"/>
              <w:bidi w:val="0"/>
            </w:pPr>
            <w:r>
              <w:t>考虑岸线熏烟</w:t>
            </w:r>
          </w:p>
        </w:tc>
        <w:tc>
          <w:tcPr>
            <w:tcW w:w="2751" w:type="dxa"/>
            <w:vAlign w:val="center"/>
          </w:tcPr>
          <w:p w14:paraId="5C0380B3">
            <w:pPr>
              <w:pStyle w:val="43"/>
              <w:bidi w:val="0"/>
            </w:pPr>
            <w:r>
              <w:t>否</w:t>
            </w:r>
          </w:p>
        </w:tc>
      </w:tr>
      <w:tr w14:paraId="60AB7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continue"/>
            <w:vAlign w:val="center"/>
          </w:tcPr>
          <w:p w14:paraId="762B83FC">
            <w:pPr>
              <w:pStyle w:val="43"/>
              <w:bidi w:val="0"/>
            </w:pPr>
          </w:p>
        </w:tc>
        <w:tc>
          <w:tcPr>
            <w:tcW w:w="3769" w:type="dxa"/>
            <w:vAlign w:val="center"/>
          </w:tcPr>
          <w:p w14:paraId="7BD77DAA">
            <w:pPr>
              <w:pStyle w:val="43"/>
              <w:bidi w:val="0"/>
            </w:pPr>
            <w:r>
              <w:t>岸线距离/m</w:t>
            </w:r>
          </w:p>
        </w:tc>
        <w:tc>
          <w:tcPr>
            <w:tcW w:w="2751" w:type="dxa"/>
            <w:vAlign w:val="center"/>
          </w:tcPr>
          <w:p w14:paraId="79A368F0">
            <w:pPr>
              <w:pStyle w:val="43"/>
              <w:bidi w:val="0"/>
            </w:pPr>
            <w:r>
              <w:t>/</w:t>
            </w:r>
          </w:p>
        </w:tc>
      </w:tr>
      <w:tr w14:paraId="2C9D0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2007" w:type="dxa"/>
            <w:vMerge w:val="continue"/>
            <w:vAlign w:val="center"/>
          </w:tcPr>
          <w:p w14:paraId="7F983616">
            <w:pPr>
              <w:pStyle w:val="43"/>
              <w:bidi w:val="0"/>
            </w:pPr>
          </w:p>
        </w:tc>
        <w:tc>
          <w:tcPr>
            <w:tcW w:w="3769" w:type="dxa"/>
            <w:vAlign w:val="center"/>
          </w:tcPr>
          <w:p w14:paraId="1EA516C6">
            <w:pPr>
              <w:pStyle w:val="43"/>
              <w:bidi w:val="0"/>
            </w:pPr>
            <w:r>
              <w:t>岸线方向/°</w:t>
            </w:r>
          </w:p>
        </w:tc>
        <w:tc>
          <w:tcPr>
            <w:tcW w:w="2751" w:type="dxa"/>
            <w:vAlign w:val="center"/>
          </w:tcPr>
          <w:p w14:paraId="0B1890EB">
            <w:pPr>
              <w:pStyle w:val="43"/>
              <w:bidi w:val="0"/>
            </w:pPr>
            <w:r>
              <w:t>/</w:t>
            </w:r>
          </w:p>
        </w:tc>
      </w:tr>
    </w:tbl>
    <w:p w14:paraId="49247766">
      <w:pPr>
        <w:pStyle w:val="41"/>
        <w:bidi w:val="0"/>
        <w:rPr>
          <w:rFonts w:hint="default"/>
          <w:b/>
          <w:bCs/>
        </w:rPr>
      </w:pPr>
      <w:r>
        <w:rPr>
          <w:rFonts w:hint="eastAsia"/>
          <w:b/>
          <w:bCs/>
          <w:lang w:eastAsia="zh-CN"/>
        </w:rPr>
        <w:t>（</w:t>
      </w:r>
      <w:r>
        <w:rPr>
          <w:rFonts w:hint="eastAsia"/>
          <w:b/>
          <w:bCs/>
          <w:lang w:val="en-US" w:eastAsia="zh-CN"/>
        </w:rPr>
        <w:t>3）</w:t>
      </w:r>
      <w:r>
        <w:rPr>
          <w:rFonts w:hint="default"/>
          <w:b/>
          <w:bCs/>
        </w:rPr>
        <w:t>污染源强</w:t>
      </w:r>
    </w:p>
    <w:p w14:paraId="23BB9656">
      <w:pPr>
        <w:pStyle w:val="41"/>
        <w:bidi w:val="0"/>
        <w:rPr>
          <w:rFonts w:hint="default"/>
        </w:rPr>
      </w:pPr>
      <w:r>
        <w:rPr>
          <w:rFonts w:hint="default"/>
        </w:rPr>
        <w:t>本项目运营期颗粒物主要来自</w:t>
      </w:r>
      <w:r>
        <w:rPr>
          <w:rFonts w:hint="eastAsia"/>
          <w:lang w:val="en-US" w:eastAsia="zh-CN"/>
        </w:rPr>
        <w:t>加工区布袋除尘系统排气筒，以及</w:t>
      </w:r>
      <w:r>
        <w:rPr>
          <w:rFonts w:hint="default"/>
        </w:rPr>
        <w:t>场地（</w:t>
      </w:r>
      <w:r>
        <w:rPr>
          <w:rFonts w:hint="eastAsia"/>
          <w:lang w:val="en-US" w:eastAsia="zh-CN"/>
        </w:rPr>
        <w:t>加工区及堆料场</w:t>
      </w:r>
      <w:r>
        <w:rPr>
          <w:rFonts w:hint="default"/>
        </w:rPr>
        <w:t>、</w:t>
      </w:r>
      <w:r>
        <w:rPr>
          <w:rFonts w:hint="eastAsia"/>
          <w:lang w:val="en-US" w:eastAsia="zh-CN"/>
        </w:rPr>
        <w:t>弃渣场、表土堆场、矿区</w:t>
      </w:r>
      <w:r>
        <w:rPr>
          <w:rFonts w:hint="default"/>
        </w:rPr>
        <w:t>）扬尘、运输道路扬尘</w:t>
      </w:r>
      <w:r>
        <w:rPr>
          <w:rFonts w:hint="eastAsia"/>
          <w:lang w:eastAsia="zh-CN"/>
        </w:rPr>
        <w:t>，</w:t>
      </w:r>
      <w:r>
        <w:rPr>
          <w:rFonts w:hint="default"/>
        </w:rPr>
        <w:t>本评价将</w:t>
      </w:r>
      <w:r>
        <w:rPr>
          <w:rFonts w:hint="eastAsia"/>
          <w:lang w:val="en-US" w:eastAsia="zh-CN"/>
        </w:rPr>
        <w:t>加工区排气筒作为点源，其他无组织排放以厂界无组织</w:t>
      </w:r>
      <w:r>
        <w:rPr>
          <w:rFonts w:hint="default"/>
        </w:rPr>
        <w:t>作为面源进行预测。</w:t>
      </w:r>
    </w:p>
    <w:p w14:paraId="6AAD1C2E">
      <w:pPr>
        <w:pStyle w:val="41"/>
        <w:bidi w:val="0"/>
        <w:rPr>
          <w:rFonts w:hint="default"/>
        </w:rPr>
      </w:pPr>
      <w:r>
        <w:rPr>
          <w:rFonts w:hint="eastAsia"/>
          <w:lang w:val="en-US" w:eastAsia="zh-CN"/>
        </w:rPr>
        <w:t>本项目</w:t>
      </w:r>
      <w:r>
        <w:rPr>
          <w:rFonts w:hint="default"/>
        </w:rPr>
        <w:t>源强参数详见下表所示。</w:t>
      </w:r>
    </w:p>
    <w:p w14:paraId="1708D00C">
      <w:pPr>
        <w:pStyle w:val="45"/>
        <w:bidi w:val="0"/>
        <w:rPr>
          <w:rFonts w:hint="default"/>
          <w:lang w:val="en-US" w:eastAsia="zh-CN"/>
        </w:rPr>
      </w:pPr>
      <w:r>
        <w:rPr>
          <w:rFonts w:hint="eastAsia"/>
          <w:lang w:val="en-US" w:eastAsia="zh-CN"/>
        </w:rPr>
        <w:t>表6.2-3  DA001排气筒点源参数表</w:t>
      </w:r>
    </w:p>
    <w:tbl>
      <w:tblPr>
        <w:tblStyle w:val="34"/>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4"/>
        <w:gridCol w:w="1213"/>
        <w:gridCol w:w="1108"/>
        <w:gridCol w:w="898"/>
        <w:gridCol w:w="812"/>
        <w:gridCol w:w="812"/>
        <w:gridCol w:w="864"/>
        <w:gridCol w:w="953"/>
        <w:gridCol w:w="1035"/>
      </w:tblGrid>
      <w:tr w14:paraId="28DDB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restart"/>
            <w:vAlign w:val="center"/>
          </w:tcPr>
          <w:p w14:paraId="62C2D920">
            <w:pPr>
              <w:pStyle w:val="43"/>
              <w:bidi w:val="0"/>
              <w:rPr>
                <w:b/>
                <w:bCs/>
              </w:rPr>
            </w:pPr>
            <w:r>
              <w:rPr>
                <w:b/>
                <w:bCs/>
              </w:rPr>
              <w:t>污染源名称</w:t>
            </w:r>
          </w:p>
        </w:tc>
        <w:tc>
          <w:tcPr>
            <w:tcW w:w="0" w:type="dxa"/>
            <w:gridSpan w:val="2"/>
            <w:vAlign w:val="center"/>
          </w:tcPr>
          <w:p w14:paraId="7A8EA431">
            <w:pPr>
              <w:pStyle w:val="43"/>
              <w:bidi w:val="0"/>
              <w:rPr>
                <w:b/>
                <w:bCs/>
              </w:rPr>
            </w:pPr>
            <w:r>
              <w:rPr>
                <w:b/>
                <w:bCs/>
              </w:rPr>
              <w:t>排气筒底部中心坐标</w:t>
            </w:r>
            <w:r>
              <w:rPr>
                <w:rFonts w:hint="eastAsia"/>
                <w:b/>
                <w:bCs/>
                <w:lang w:eastAsia="zh-CN"/>
              </w:rPr>
              <w:t>（</w:t>
            </w:r>
            <w:r>
              <w:rPr>
                <w:b/>
                <w:bCs/>
              </w:rPr>
              <w:t>°</w:t>
            </w:r>
            <w:r>
              <w:rPr>
                <w:rFonts w:hint="eastAsia"/>
                <w:b/>
                <w:bCs/>
                <w:lang w:eastAsia="zh-CN"/>
              </w:rPr>
              <w:t>）</w:t>
            </w:r>
          </w:p>
        </w:tc>
        <w:tc>
          <w:tcPr>
            <w:tcW w:w="0" w:type="dxa"/>
            <w:vMerge w:val="restart"/>
            <w:vAlign w:val="center"/>
          </w:tcPr>
          <w:p w14:paraId="1E027B58">
            <w:pPr>
              <w:pStyle w:val="43"/>
              <w:bidi w:val="0"/>
              <w:rPr>
                <w:b/>
                <w:bCs/>
              </w:rPr>
            </w:pPr>
            <w:r>
              <w:rPr>
                <w:b/>
                <w:bCs/>
              </w:rPr>
              <w:t>排气筒底部</w:t>
            </w:r>
            <w:r>
              <w:rPr>
                <w:rFonts w:hint="eastAsia"/>
                <w:b/>
                <w:bCs/>
                <w:lang w:eastAsia="zh-CN"/>
              </w:rPr>
              <w:t>海拔（</w:t>
            </w:r>
            <w:r>
              <w:rPr>
                <w:b/>
                <w:bCs/>
              </w:rPr>
              <w:t>m</w:t>
            </w:r>
            <w:r>
              <w:rPr>
                <w:rFonts w:hint="eastAsia"/>
                <w:b/>
                <w:bCs/>
                <w:lang w:eastAsia="zh-CN"/>
              </w:rPr>
              <w:t>）</w:t>
            </w:r>
          </w:p>
        </w:tc>
        <w:tc>
          <w:tcPr>
            <w:tcW w:w="0" w:type="dxa"/>
            <w:gridSpan w:val="4"/>
            <w:vAlign w:val="center"/>
          </w:tcPr>
          <w:p w14:paraId="25FEDB8C">
            <w:pPr>
              <w:pStyle w:val="43"/>
              <w:bidi w:val="0"/>
              <w:rPr>
                <w:b/>
                <w:bCs/>
              </w:rPr>
            </w:pPr>
            <w:r>
              <w:rPr>
                <w:b/>
                <w:bCs/>
              </w:rPr>
              <w:t>排气筒参数</w:t>
            </w:r>
          </w:p>
        </w:tc>
        <w:tc>
          <w:tcPr>
            <w:tcW w:w="0" w:type="dxa"/>
            <w:vAlign w:val="center"/>
          </w:tcPr>
          <w:p w14:paraId="7B549F3C">
            <w:pPr>
              <w:pStyle w:val="43"/>
              <w:bidi w:val="0"/>
              <w:rPr>
                <w:b/>
                <w:bCs/>
              </w:rPr>
            </w:pPr>
            <w:r>
              <w:rPr>
                <w:b/>
                <w:bCs/>
              </w:rPr>
              <w:t>污染物排放速率</w:t>
            </w:r>
            <w:r>
              <w:rPr>
                <w:rFonts w:hint="eastAsia"/>
                <w:b/>
                <w:bCs/>
                <w:lang w:eastAsia="zh-CN"/>
              </w:rPr>
              <w:t>（</w:t>
            </w:r>
            <w:r>
              <w:rPr>
                <w:b/>
                <w:bCs/>
              </w:rPr>
              <w:t>kg/h</w:t>
            </w:r>
            <w:r>
              <w:rPr>
                <w:rFonts w:hint="eastAsia"/>
                <w:b/>
                <w:bCs/>
                <w:lang w:eastAsia="zh-CN"/>
              </w:rPr>
              <w:t>）</w:t>
            </w:r>
          </w:p>
        </w:tc>
      </w:tr>
      <w:tr w14:paraId="0369C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Merge w:val="continue"/>
            <w:vAlign w:val="center"/>
          </w:tcPr>
          <w:p w14:paraId="14C0EC06">
            <w:pPr>
              <w:pStyle w:val="43"/>
              <w:bidi w:val="0"/>
              <w:rPr>
                <w:b/>
                <w:bCs/>
              </w:rPr>
            </w:pPr>
          </w:p>
        </w:tc>
        <w:tc>
          <w:tcPr>
            <w:tcW w:w="0" w:type="dxa"/>
            <w:vAlign w:val="center"/>
          </w:tcPr>
          <w:p w14:paraId="3CB461BB">
            <w:pPr>
              <w:pStyle w:val="43"/>
              <w:bidi w:val="0"/>
              <w:rPr>
                <w:b/>
                <w:bCs/>
              </w:rPr>
            </w:pPr>
            <w:r>
              <w:rPr>
                <w:b/>
                <w:bCs/>
              </w:rPr>
              <w:t>经度</w:t>
            </w:r>
          </w:p>
        </w:tc>
        <w:tc>
          <w:tcPr>
            <w:tcW w:w="0" w:type="dxa"/>
            <w:vAlign w:val="center"/>
          </w:tcPr>
          <w:p w14:paraId="05D0D882">
            <w:pPr>
              <w:pStyle w:val="43"/>
              <w:bidi w:val="0"/>
              <w:rPr>
                <w:b/>
                <w:bCs/>
              </w:rPr>
            </w:pPr>
            <w:r>
              <w:rPr>
                <w:b/>
                <w:bCs/>
              </w:rPr>
              <w:t>纬度</w:t>
            </w:r>
          </w:p>
        </w:tc>
        <w:tc>
          <w:tcPr>
            <w:tcW w:w="0" w:type="dxa"/>
            <w:vMerge w:val="continue"/>
            <w:vAlign w:val="center"/>
          </w:tcPr>
          <w:p w14:paraId="5D3ECBAF">
            <w:pPr>
              <w:pStyle w:val="43"/>
              <w:bidi w:val="0"/>
              <w:rPr>
                <w:b/>
                <w:bCs/>
              </w:rPr>
            </w:pPr>
          </w:p>
        </w:tc>
        <w:tc>
          <w:tcPr>
            <w:tcW w:w="0" w:type="dxa"/>
            <w:vAlign w:val="center"/>
          </w:tcPr>
          <w:p w14:paraId="3547B0D0">
            <w:pPr>
              <w:pStyle w:val="43"/>
              <w:bidi w:val="0"/>
              <w:rPr>
                <w:b/>
                <w:bCs/>
              </w:rPr>
            </w:pPr>
            <w:r>
              <w:rPr>
                <w:b/>
                <w:bCs/>
              </w:rPr>
              <w:t>高度</w:t>
            </w:r>
            <w:r>
              <w:rPr>
                <w:rFonts w:hint="eastAsia"/>
                <w:b/>
                <w:bCs/>
                <w:lang w:eastAsia="zh-CN"/>
              </w:rPr>
              <w:t>（</w:t>
            </w:r>
            <w:r>
              <w:rPr>
                <w:b/>
                <w:bCs/>
              </w:rPr>
              <w:t>m</w:t>
            </w:r>
            <w:r>
              <w:rPr>
                <w:rFonts w:hint="eastAsia"/>
                <w:b/>
                <w:bCs/>
                <w:lang w:eastAsia="zh-CN"/>
              </w:rPr>
              <w:t>）</w:t>
            </w:r>
          </w:p>
        </w:tc>
        <w:tc>
          <w:tcPr>
            <w:tcW w:w="0" w:type="dxa"/>
            <w:vAlign w:val="center"/>
          </w:tcPr>
          <w:p w14:paraId="31C23E0E">
            <w:pPr>
              <w:pStyle w:val="43"/>
              <w:bidi w:val="0"/>
              <w:rPr>
                <w:b/>
                <w:bCs/>
              </w:rPr>
            </w:pPr>
            <w:r>
              <w:rPr>
                <w:b/>
                <w:bCs/>
              </w:rPr>
              <w:t>内径</w:t>
            </w:r>
            <w:r>
              <w:rPr>
                <w:rFonts w:hint="eastAsia"/>
                <w:b/>
                <w:bCs/>
                <w:lang w:eastAsia="zh-CN"/>
              </w:rPr>
              <w:t>（</w:t>
            </w:r>
            <w:r>
              <w:rPr>
                <w:b/>
                <w:bCs/>
              </w:rPr>
              <w:t>m</w:t>
            </w:r>
            <w:r>
              <w:rPr>
                <w:rFonts w:hint="eastAsia"/>
                <w:b/>
                <w:bCs/>
                <w:lang w:eastAsia="zh-CN"/>
              </w:rPr>
              <w:t>）</w:t>
            </w:r>
          </w:p>
        </w:tc>
        <w:tc>
          <w:tcPr>
            <w:tcW w:w="0" w:type="dxa"/>
            <w:vAlign w:val="center"/>
          </w:tcPr>
          <w:p w14:paraId="40130898">
            <w:pPr>
              <w:pStyle w:val="43"/>
              <w:bidi w:val="0"/>
              <w:rPr>
                <w:b/>
                <w:bCs/>
              </w:rPr>
            </w:pPr>
            <w:r>
              <w:rPr>
                <w:b/>
                <w:bCs/>
              </w:rPr>
              <w:t>温度</w:t>
            </w:r>
            <w:r>
              <w:rPr>
                <w:rFonts w:hint="eastAsia"/>
                <w:b/>
                <w:bCs/>
                <w:lang w:eastAsia="zh-CN"/>
              </w:rPr>
              <w:t>（</w:t>
            </w:r>
            <w:r>
              <w:rPr>
                <w:b/>
                <w:bCs/>
              </w:rPr>
              <w:t>℃</w:t>
            </w:r>
            <w:r>
              <w:rPr>
                <w:rFonts w:hint="eastAsia"/>
                <w:b/>
                <w:bCs/>
                <w:lang w:eastAsia="zh-CN"/>
              </w:rPr>
              <w:t>）</w:t>
            </w:r>
          </w:p>
        </w:tc>
        <w:tc>
          <w:tcPr>
            <w:tcW w:w="0" w:type="dxa"/>
            <w:vAlign w:val="center"/>
          </w:tcPr>
          <w:p w14:paraId="65CC102E">
            <w:pPr>
              <w:pStyle w:val="43"/>
              <w:bidi w:val="0"/>
              <w:rPr>
                <w:b/>
                <w:bCs/>
              </w:rPr>
            </w:pPr>
            <w:r>
              <w:rPr>
                <w:b/>
                <w:bCs/>
              </w:rPr>
              <w:t>流速</w:t>
            </w:r>
            <w:r>
              <w:rPr>
                <w:rFonts w:hint="eastAsia"/>
                <w:b/>
                <w:bCs/>
                <w:lang w:eastAsia="zh-CN"/>
              </w:rPr>
              <w:t>（</w:t>
            </w:r>
            <w:r>
              <w:rPr>
                <w:b/>
                <w:bCs/>
              </w:rPr>
              <w:t>m/s</w:t>
            </w:r>
            <w:r>
              <w:rPr>
                <w:rFonts w:hint="eastAsia"/>
                <w:b/>
                <w:bCs/>
                <w:lang w:eastAsia="zh-CN"/>
              </w:rPr>
              <w:t>）</w:t>
            </w:r>
          </w:p>
        </w:tc>
        <w:tc>
          <w:tcPr>
            <w:tcW w:w="0" w:type="dxa"/>
            <w:vAlign w:val="center"/>
          </w:tcPr>
          <w:p w14:paraId="7EBE9669">
            <w:pPr>
              <w:pStyle w:val="43"/>
              <w:bidi w:val="0"/>
              <w:rPr>
                <w:b/>
                <w:bCs/>
              </w:rPr>
            </w:pPr>
            <w:r>
              <w:rPr>
                <w:b/>
                <w:bCs/>
              </w:rPr>
              <w:t>PM</w:t>
            </w:r>
            <w:r>
              <w:rPr>
                <w:b/>
                <w:bCs/>
                <w:vertAlign w:val="subscript"/>
              </w:rPr>
              <w:t>10</w:t>
            </w:r>
          </w:p>
        </w:tc>
      </w:tr>
      <w:tr w14:paraId="436FB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0" w:type="dxa"/>
            <w:vAlign w:val="center"/>
          </w:tcPr>
          <w:p w14:paraId="5C9FB604">
            <w:pPr>
              <w:pStyle w:val="43"/>
              <w:bidi w:val="0"/>
            </w:pPr>
            <w:r>
              <w:t>DA001</w:t>
            </w:r>
          </w:p>
        </w:tc>
        <w:tc>
          <w:tcPr>
            <w:tcW w:w="0" w:type="dxa"/>
            <w:vAlign w:val="center"/>
          </w:tcPr>
          <w:p w14:paraId="72784AB8">
            <w:pPr>
              <w:pStyle w:val="43"/>
              <w:bidi w:val="0"/>
            </w:pPr>
            <w:r>
              <w:t>104.299786</w:t>
            </w:r>
          </w:p>
        </w:tc>
        <w:tc>
          <w:tcPr>
            <w:tcW w:w="0" w:type="dxa"/>
            <w:vAlign w:val="center"/>
          </w:tcPr>
          <w:p w14:paraId="1A512351">
            <w:pPr>
              <w:pStyle w:val="43"/>
              <w:bidi w:val="0"/>
            </w:pPr>
            <w:r>
              <w:t>23.679104</w:t>
            </w:r>
          </w:p>
        </w:tc>
        <w:tc>
          <w:tcPr>
            <w:tcW w:w="0" w:type="dxa"/>
            <w:vAlign w:val="center"/>
          </w:tcPr>
          <w:p w14:paraId="5961C80C">
            <w:pPr>
              <w:pStyle w:val="43"/>
              <w:bidi w:val="0"/>
            </w:pPr>
            <w:r>
              <w:t>1566.00</w:t>
            </w:r>
          </w:p>
        </w:tc>
        <w:tc>
          <w:tcPr>
            <w:tcW w:w="0" w:type="dxa"/>
            <w:vAlign w:val="center"/>
          </w:tcPr>
          <w:p w14:paraId="2DEC7D33">
            <w:pPr>
              <w:pStyle w:val="43"/>
              <w:bidi w:val="0"/>
            </w:pPr>
            <w:r>
              <w:t>15.00</w:t>
            </w:r>
          </w:p>
        </w:tc>
        <w:tc>
          <w:tcPr>
            <w:tcW w:w="0" w:type="dxa"/>
            <w:vAlign w:val="center"/>
          </w:tcPr>
          <w:p w14:paraId="40FE07BC">
            <w:pPr>
              <w:pStyle w:val="43"/>
              <w:bidi w:val="0"/>
            </w:pPr>
            <w:r>
              <w:t>1.00</w:t>
            </w:r>
          </w:p>
        </w:tc>
        <w:tc>
          <w:tcPr>
            <w:tcW w:w="0" w:type="dxa"/>
            <w:vAlign w:val="center"/>
          </w:tcPr>
          <w:p w14:paraId="11E18523">
            <w:pPr>
              <w:pStyle w:val="43"/>
              <w:bidi w:val="0"/>
            </w:pPr>
            <w:r>
              <w:t>20.00</w:t>
            </w:r>
          </w:p>
        </w:tc>
        <w:tc>
          <w:tcPr>
            <w:tcW w:w="0" w:type="dxa"/>
            <w:vAlign w:val="center"/>
          </w:tcPr>
          <w:p w14:paraId="170624AF">
            <w:pPr>
              <w:pStyle w:val="43"/>
              <w:bidi w:val="0"/>
            </w:pPr>
            <w:r>
              <w:t>7.10</w:t>
            </w:r>
          </w:p>
        </w:tc>
        <w:tc>
          <w:tcPr>
            <w:tcW w:w="0" w:type="dxa"/>
            <w:vAlign w:val="center"/>
          </w:tcPr>
          <w:p w14:paraId="3A2EAE36">
            <w:pPr>
              <w:pStyle w:val="43"/>
              <w:bidi w:val="0"/>
            </w:pPr>
            <w:r>
              <w:t>0.2300</w:t>
            </w:r>
          </w:p>
        </w:tc>
      </w:tr>
    </w:tbl>
    <w:p w14:paraId="22726E69">
      <w:pPr>
        <w:pStyle w:val="45"/>
        <w:bidi w:val="0"/>
        <w:rPr>
          <w:rFonts w:hint="default"/>
        </w:rPr>
      </w:pPr>
      <w:r>
        <w:rPr>
          <w:rFonts w:hint="default"/>
        </w:rPr>
        <w:t>表</w:t>
      </w:r>
      <w:r>
        <w:rPr>
          <w:rFonts w:hint="eastAsia"/>
          <w:lang w:val="en-US" w:eastAsia="zh-CN"/>
        </w:rPr>
        <w:t>6.2</w:t>
      </w:r>
      <w:r>
        <w:rPr>
          <w:rFonts w:hint="default"/>
        </w:rPr>
        <w:t>-</w:t>
      </w:r>
      <w:r>
        <w:rPr>
          <w:rFonts w:hint="eastAsia"/>
          <w:lang w:val="en-US" w:eastAsia="zh-CN"/>
        </w:rPr>
        <w:t xml:space="preserve">4  </w:t>
      </w:r>
      <w:r>
        <w:rPr>
          <w:rFonts w:hint="default"/>
        </w:rPr>
        <w:t>TSP矩形面源参数</w:t>
      </w:r>
    </w:p>
    <w:tbl>
      <w:tblPr>
        <w:tblStyle w:val="34"/>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76"/>
        <w:gridCol w:w="1176"/>
        <w:gridCol w:w="1224"/>
        <w:gridCol w:w="1288"/>
        <w:gridCol w:w="993"/>
        <w:gridCol w:w="1115"/>
        <w:gridCol w:w="862"/>
        <w:gridCol w:w="993"/>
      </w:tblGrid>
      <w:tr w14:paraId="7BDBA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76" w:type="dxa"/>
            <w:vMerge w:val="restart"/>
            <w:vAlign w:val="center"/>
          </w:tcPr>
          <w:p w14:paraId="6368B9A2">
            <w:pPr>
              <w:pStyle w:val="43"/>
              <w:bidi w:val="0"/>
              <w:rPr>
                <w:b/>
                <w:bCs/>
              </w:rPr>
            </w:pPr>
            <w:r>
              <w:rPr>
                <w:b/>
                <w:bCs/>
              </w:rPr>
              <w:t>污染源名称</w:t>
            </w:r>
          </w:p>
        </w:tc>
        <w:tc>
          <w:tcPr>
            <w:tcW w:w="2400" w:type="dxa"/>
            <w:gridSpan w:val="2"/>
            <w:vAlign w:val="center"/>
          </w:tcPr>
          <w:p w14:paraId="6D528D85">
            <w:pPr>
              <w:pStyle w:val="43"/>
              <w:bidi w:val="0"/>
              <w:rPr>
                <w:b/>
                <w:bCs/>
              </w:rPr>
            </w:pPr>
            <w:r>
              <w:rPr>
                <w:b/>
                <w:bCs/>
              </w:rPr>
              <w:t>坐标</w:t>
            </w:r>
            <w:r>
              <w:rPr>
                <w:rFonts w:hint="eastAsia"/>
                <w:b/>
                <w:bCs/>
                <w:lang w:eastAsia="zh-CN"/>
              </w:rPr>
              <w:t>（</w:t>
            </w:r>
            <w:r>
              <w:rPr>
                <w:b/>
                <w:bCs/>
              </w:rPr>
              <w:t>°</w:t>
            </w:r>
            <w:r>
              <w:rPr>
                <w:rFonts w:hint="eastAsia"/>
                <w:b/>
                <w:bCs/>
                <w:lang w:eastAsia="zh-CN"/>
              </w:rPr>
              <w:t>）</w:t>
            </w:r>
          </w:p>
        </w:tc>
        <w:tc>
          <w:tcPr>
            <w:tcW w:w="1288" w:type="dxa"/>
            <w:vMerge w:val="restart"/>
            <w:vAlign w:val="center"/>
          </w:tcPr>
          <w:p w14:paraId="69A3CD83">
            <w:pPr>
              <w:pStyle w:val="43"/>
              <w:bidi w:val="0"/>
              <w:rPr>
                <w:b/>
                <w:bCs/>
              </w:rPr>
            </w:pPr>
            <w:r>
              <w:rPr>
                <w:rFonts w:hint="eastAsia"/>
                <w:b/>
                <w:bCs/>
                <w:lang w:eastAsia="zh-CN"/>
              </w:rPr>
              <w:t>海拔（</w:t>
            </w:r>
            <w:r>
              <w:rPr>
                <w:b/>
                <w:bCs/>
              </w:rPr>
              <w:t>m</w:t>
            </w:r>
            <w:r>
              <w:rPr>
                <w:rFonts w:hint="eastAsia"/>
                <w:b/>
                <w:bCs/>
                <w:lang w:eastAsia="zh-CN"/>
              </w:rPr>
              <w:t>）</w:t>
            </w:r>
          </w:p>
        </w:tc>
        <w:tc>
          <w:tcPr>
            <w:tcW w:w="2970" w:type="dxa"/>
            <w:gridSpan w:val="3"/>
            <w:vAlign w:val="center"/>
          </w:tcPr>
          <w:p w14:paraId="649DF6C6">
            <w:pPr>
              <w:pStyle w:val="43"/>
              <w:bidi w:val="0"/>
              <w:rPr>
                <w:b/>
                <w:bCs/>
              </w:rPr>
            </w:pPr>
            <w:r>
              <w:rPr>
                <w:b/>
                <w:bCs/>
              </w:rPr>
              <w:t>矩形面源</w:t>
            </w:r>
          </w:p>
        </w:tc>
        <w:tc>
          <w:tcPr>
            <w:tcW w:w="993" w:type="dxa"/>
            <w:vAlign w:val="center"/>
          </w:tcPr>
          <w:p w14:paraId="486EBC69">
            <w:pPr>
              <w:pStyle w:val="43"/>
              <w:bidi w:val="0"/>
              <w:rPr>
                <w:b/>
                <w:bCs/>
              </w:rPr>
            </w:pPr>
            <w:r>
              <w:rPr>
                <w:b/>
                <w:bCs/>
              </w:rPr>
              <w:t>污染物排放速率</w:t>
            </w:r>
            <w:r>
              <w:rPr>
                <w:rFonts w:hint="eastAsia"/>
                <w:b/>
                <w:bCs/>
                <w:lang w:eastAsia="zh-CN"/>
              </w:rPr>
              <w:t>（</w:t>
            </w:r>
            <w:r>
              <w:rPr>
                <w:b/>
                <w:bCs/>
              </w:rPr>
              <w:t>kg/h</w:t>
            </w:r>
            <w:r>
              <w:rPr>
                <w:rFonts w:hint="eastAsia"/>
                <w:b/>
                <w:bCs/>
                <w:lang w:eastAsia="zh-CN"/>
              </w:rPr>
              <w:t>）</w:t>
            </w:r>
          </w:p>
        </w:tc>
      </w:tr>
      <w:tr w14:paraId="36F3A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76" w:type="dxa"/>
            <w:vMerge w:val="continue"/>
            <w:vAlign w:val="center"/>
          </w:tcPr>
          <w:p w14:paraId="6BDAFE24">
            <w:pPr>
              <w:pStyle w:val="43"/>
              <w:bidi w:val="0"/>
              <w:rPr>
                <w:b/>
                <w:bCs/>
              </w:rPr>
            </w:pPr>
          </w:p>
        </w:tc>
        <w:tc>
          <w:tcPr>
            <w:tcW w:w="1176" w:type="dxa"/>
            <w:vAlign w:val="center"/>
          </w:tcPr>
          <w:p w14:paraId="1B866489">
            <w:pPr>
              <w:pStyle w:val="43"/>
              <w:bidi w:val="0"/>
              <w:rPr>
                <w:b/>
                <w:bCs/>
              </w:rPr>
            </w:pPr>
            <w:r>
              <w:rPr>
                <w:b/>
                <w:bCs/>
              </w:rPr>
              <w:t>经度</w:t>
            </w:r>
          </w:p>
        </w:tc>
        <w:tc>
          <w:tcPr>
            <w:tcW w:w="1224" w:type="dxa"/>
            <w:vAlign w:val="center"/>
          </w:tcPr>
          <w:p w14:paraId="56F81227">
            <w:pPr>
              <w:pStyle w:val="43"/>
              <w:bidi w:val="0"/>
              <w:rPr>
                <w:b/>
                <w:bCs/>
              </w:rPr>
            </w:pPr>
            <w:r>
              <w:rPr>
                <w:b/>
                <w:bCs/>
              </w:rPr>
              <w:t>纬度</w:t>
            </w:r>
          </w:p>
        </w:tc>
        <w:tc>
          <w:tcPr>
            <w:tcW w:w="1288" w:type="dxa"/>
            <w:vMerge w:val="continue"/>
            <w:vAlign w:val="center"/>
          </w:tcPr>
          <w:p w14:paraId="013D84A5">
            <w:pPr>
              <w:pStyle w:val="43"/>
              <w:bidi w:val="0"/>
              <w:rPr>
                <w:b/>
                <w:bCs/>
              </w:rPr>
            </w:pPr>
          </w:p>
        </w:tc>
        <w:tc>
          <w:tcPr>
            <w:tcW w:w="993" w:type="dxa"/>
            <w:vAlign w:val="center"/>
          </w:tcPr>
          <w:p w14:paraId="7B4C5DD6">
            <w:pPr>
              <w:pStyle w:val="43"/>
              <w:bidi w:val="0"/>
              <w:rPr>
                <w:b/>
                <w:bCs/>
              </w:rPr>
            </w:pPr>
            <w:r>
              <w:rPr>
                <w:b/>
                <w:bCs/>
              </w:rPr>
              <w:t>长度</w:t>
            </w:r>
            <w:r>
              <w:rPr>
                <w:rFonts w:hint="eastAsia"/>
                <w:b/>
                <w:bCs/>
                <w:lang w:eastAsia="zh-CN"/>
              </w:rPr>
              <w:t>（</w:t>
            </w:r>
            <w:r>
              <w:rPr>
                <w:b/>
                <w:bCs/>
              </w:rPr>
              <w:t>m</w:t>
            </w:r>
            <w:r>
              <w:rPr>
                <w:rFonts w:hint="eastAsia"/>
                <w:b/>
                <w:bCs/>
                <w:lang w:eastAsia="zh-CN"/>
              </w:rPr>
              <w:t>）</w:t>
            </w:r>
          </w:p>
        </w:tc>
        <w:tc>
          <w:tcPr>
            <w:tcW w:w="1115" w:type="dxa"/>
            <w:vAlign w:val="center"/>
          </w:tcPr>
          <w:p w14:paraId="7791F7F8">
            <w:pPr>
              <w:pStyle w:val="43"/>
              <w:bidi w:val="0"/>
              <w:rPr>
                <w:b/>
                <w:bCs/>
              </w:rPr>
            </w:pPr>
            <w:r>
              <w:rPr>
                <w:b/>
                <w:bCs/>
              </w:rPr>
              <w:t>宽度</w:t>
            </w:r>
            <w:r>
              <w:rPr>
                <w:rFonts w:hint="eastAsia"/>
                <w:b/>
                <w:bCs/>
                <w:lang w:eastAsia="zh-CN"/>
              </w:rPr>
              <w:t>（</w:t>
            </w:r>
            <w:r>
              <w:rPr>
                <w:b/>
                <w:bCs/>
              </w:rPr>
              <w:t>m</w:t>
            </w:r>
            <w:r>
              <w:rPr>
                <w:rFonts w:hint="eastAsia"/>
                <w:b/>
                <w:bCs/>
                <w:lang w:eastAsia="zh-CN"/>
              </w:rPr>
              <w:t>）</w:t>
            </w:r>
          </w:p>
        </w:tc>
        <w:tc>
          <w:tcPr>
            <w:tcW w:w="862" w:type="dxa"/>
            <w:vAlign w:val="center"/>
          </w:tcPr>
          <w:p w14:paraId="00274352">
            <w:pPr>
              <w:pStyle w:val="43"/>
              <w:bidi w:val="0"/>
              <w:rPr>
                <w:b/>
                <w:bCs/>
              </w:rPr>
            </w:pPr>
            <w:r>
              <w:rPr>
                <w:b/>
                <w:bCs/>
              </w:rPr>
              <w:t>有效高度</w:t>
            </w:r>
            <w:r>
              <w:rPr>
                <w:rFonts w:hint="eastAsia"/>
                <w:b/>
                <w:bCs/>
                <w:lang w:eastAsia="zh-CN"/>
              </w:rPr>
              <w:t>（</w:t>
            </w:r>
            <w:r>
              <w:rPr>
                <w:b/>
                <w:bCs/>
              </w:rPr>
              <w:t>m</w:t>
            </w:r>
            <w:r>
              <w:rPr>
                <w:rFonts w:hint="eastAsia"/>
                <w:b/>
                <w:bCs/>
                <w:lang w:eastAsia="zh-CN"/>
              </w:rPr>
              <w:t>）</w:t>
            </w:r>
          </w:p>
        </w:tc>
        <w:tc>
          <w:tcPr>
            <w:tcW w:w="993" w:type="dxa"/>
            <w:vAlign w:val="center"/>
          </w:tcPr>
          <w:p w14:paraId="6CE5D3F3">
            <w:pPr>
              <w:pStyle w:val="43"/>
              <w:bidi w:val="0"/>
              <w:rPr>
                <w:b/>
                <w:bCs/>
              </w:rPr>
            </w:pPr>
            <w:r>
              <w:rPr>
                <w:b/>
                <w:bCs/>
              </w:rPr>
              <w:t>TSP</w:t>
            </w:r>
          </w:p>
        </w:tc>
      </w:tr>
      <w:tr w14:paraId="59C61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7" w:hRule="atLeast"/>
        </w:trPr>
        <w:tc>
          <w:tcPr>
            <w:tcW w:w="876" w:type="dxa"/>
            <w:vAlign w:val="center"/>
          </w:tcPr>
          <w:p w14:paraId="0DAF5829">
            <w:pPr>
              <w:pStyle w:val="43"/>
              <w:bidi w:val="0"/>
            </w:pPr>
            <w:r>
              <w:t>厂界无组织</w:t>
            </w:r>
          </w:p>
        </w:tc>
        <w:tc>
          <w:tcPr>
            <w:tcW w:w="1176" w:type="dxa"/>
            <w:vAlign w:val="center"/>
          </w:tcPr>
          <w:p w14:paraId="05C4BE2D">
            <w:pPr>
              <w:pStyle w:val="43"/>
              <w:bidi w:val="0"/>
            </w:pPr>
            <w:r>
              <w:t>104.302461</w:t>
            </w:r>
          </w:p>
        </w:tc>
        <w:tc>
          <w:tcPr>
            <w:tcW w:w="1224" w:type="dxa"/>
            <w:vAlign w:val="center"/>
          </w:tcPr>
          <w:p w14:paraId="6F40FA30">
            <w:pPr>
              <w:pStyle w:val="43"/>
              <w:bidi w:val="0"/>
            </w:pPr>
            <w:r>
              <w:t>23.687351</w:t>
            </w:r>
          </w:p>
        </w:tc>
        <w:tc>
          <w:tcPr>
            <w:tcW w:w="1288" w:type="dxa"/>
            <w:vAlign w:val="center"/>
          </w:tcPr>
          <w:p w14:paraId="5F30BD24">
            <w:pPr>
              <w:pStyle w:val="43"/>
              <w:bidi w:val="0"/>
            </w:pPr>
            <w:r>
              <w:t>1658.00</w:t>
            </w:r>
          </w:p>
        </w:tc>
        <w:tc>
          <w:tcPr>
            <w:tcW w:w="993" w:type="dxa"/>
            <w:vAlign w:val="center"/>
          </w:tcPr>
          <w:p w14:paraId="1D6D065A">
            <w:pPr>
              <w:pStyle w:val="43"/>
              <w:bidi w:val="0"/>
            </w:pPr>
            <w:r>
              <w:t>695.86</w:t>
            </w:r>
          </w:p>
        </w:tc>
        <w:tc>
          <w:tcPr>
            <w:tcW w:w="1115" w:type="dxa"/>
            <w:vAlign w:val="center"/>
          </w:tcPr>
          <w:p w14:paraId="44789E1B">
            <w:pPr>
              <w:pStyle w:val="43"/>
              <w:bidi w:val="0"/>
            </w:pPr>
            <w:r>
              <w:t>1192.96</w:t>
            </w:r>
          </w:p>
        </w:tc>
        <w:tc>
          <w:tcPr>
            <w:tcW w:w="862" w:type="dxa"/>
            <w:vAlign w:val="center"/>
          </w:tcPr>
          <w:p w14:paraId="2D1A5D86">
            <w:pPr>
              <w:pStyle w:val="43"/>
              <w:bidi w:val="0"/>
            </w:pPr>
            <w:r>
              <w:t>10.00</w:t>
            </w:r>
          </w:p>
        </w:tc>
        <w:tc>
          <w:tcPr>
            <w:tcW w:w="993" w:type="dxa"/>
            <w:vAlign w:val="center"/>
          </w:tcPr>
          <w:p w14:paraId="53D5098A">
            <w:pPr>
              <w:pStyle w:val="43"/>
              <w:bidi w:val="0"/>
            </w:pPr>
            <w:r>
              <w:t>2.6800</w:t>
            </w:r>
          </w:p>
        </w:tc>
      </w:tr>
    </w:tbl>
    <w:p w14:paraId="3F6EC3C1">
      <w:pPr>
        <w:pStyle w:val="45"/>
        <w:bidi w:val="0"/>
        <w:rPr>
          <w:rFonts w:hint="default"/>
        </w:rPr>
      </w:pPr>
      <w:r>
        <w:rPr>
          <w:rFonts w:hint="default"/>
        </w:rPr>
        <w:t>表</w:t>
      </w:r>
      <w:r>
        <w:rPr>
          <w:rFonts w:hint="eastAsia"/>
          <w:lang w:val="en-US" w:eastAsia="zh-CN"/>
        </w:rPr>
        <w:t>6.2</w:t>
      </w:r>
      <w:r>
        <w:rPr>
          <w:rFonts w:hint="default"/>
        </w:rPr>
        <w:t>-</w:t>
      </w:r>
      <w:r>
        <w:rPr>
          <w:rFonts w:hint="eastAsia"/>
          <w:lang w:val="en-US" w:eastAsia="zh-CN"/>
        </w:rPr>
        <w:t xml:space="preserve">5 </w:t>
      </w:r>
      <w:r>
        <w:rPr>
          <w:rFonts w:hint="default"/>
        </w:rPr>
        <w:t>TSP</w:t>
      </w:r>
      <w:r>
        <w:rPr>
          <w:rFonts w:hint="eastAsia"/>
          <w:lang w:val="en-US" w:eastAsia="zh-CN"/>
        </w:rPr>
        <w:t>等效</w:t>
      </w:r>
      <w:r>
        <w:rPr>
          <w:rFonts w:hint="default"/>
        </w:rPr>
        <w:t>面源参数</w:t>
      </w:r>
    </w:p>
    <w:tbl>
      <w:tblPr>
        <w:tblStyle w:val="34"/>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16"/>
        <w:gridCol w:w="1201"/>
        <w:gridCol w:w="1364"/>
        <w:gridCol w:w="810"/>
        <w:gridCol w:w="930"/>
        <w:gridCol w:w="795"/>
        <w:gridCol w:w="765"/>
        <w:gridCol w:w="870"/>
        <w:gridCol w:w="976"/>
      </w:tblGrid>
      <w:tr w14:paraId="0B940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800" w:hRule="atLeast"/>
        </w:trPr>
        <w:tc>
          <w:tcPr>
            <w:tcW w:w="816" w:type="dxa"/>
            <w:vMerge w:val="restart"/>
            <w:vAlign w:val="center"/>
          </w:tcPr>
          <w:p w14:paraId="42AC2B8A">
            <w:pPr>
              <w:pStyle w:val="43"/>
              <w:bidi w:val="0"/>
              <w:rPr>
                <w:b/>
                <w:bCs/>
              </w:rPr>
            </w:pPr>
            <w:r>
              <w:rPr>
                <w:b/>
                <w:bCs/>
              </w:rPr>
              <w:t>污染源名称</w:t>
            </w:r>
          </w:p>
        </w:tc>
        <w:tc>
          <w:tcPr>
            <w:tcW w:w="2565" w:type="dxa"/>
            <w:gridSpan w:val="2"/>
            <w:vAlign w:val="center"/>
          </w:tcPr>
          <w:p w14:paraId="2E24C590">
            <w:pPr>
              <w:pStyle w:val="43"/>
              <w:bidi w:val="0"/>
              <w:rPr>
                <w:b/>
                <w:bCs/>
              </w:rPr>
            </w:pPr>
            <w:r>
              <w:rPr>
                <w:b/>
                <w:bCs/>
              </w:rPr>
              <w:t>中心点坐标</w:t>
            </w:r>
            <w:r>
              <w:rPr>
                <w:rFonts w:hint="eastAsia"/>
                <w:b/>
                <w:bCs/>
                <w:lang w:eastAsia="zh-CN"/>
              </w:rPr>
              <w:t>（</w:t>
            </w:r>
            <w:r>
              <w:rPr>
                <w:b/>
                <w:bCs/>
              </w:rPr>
              <w:t>°</w:t>
            </w:r>
            <w:r>
              <w:rPr>
                <w:rFonts w:hint="eastAsia"/>
                <w:b/>
                <w:bCs/>
                <w:lang w:eastAsia="zh-CN"/>
              </w:rPr>
              <w:t>）</w:t>
            </w:r>
          </w:p>
        </w:tc>
        <w:tc>
          <w:tcPr>
            <w:tcW w:w="810" w:type="dxa"/>
            <w:vMerge w:val="restart"/>
            <w:vAlign w:val="center"/>
          </w:tcPr>
          <w:p w14:paraId="4E906D48">
            <w:pPr>
              <w:pStyle w:val="43"/>
              <w:bidi w:val="0"/>
              <w:rPr>
                <w:b/>
                <w:bCs/>
              </w:rPr>
            </w:pPr>
            <w:r>
              <w:rPr>
                <w:rFonts w:hint="eastAsia"/>
                <w:b/>
                <w:bCs/>
                <w:lang w:eastAsia="zh-CN"/>
              </w:rPr>
              <w:t>海拔（</w:t>
            </w:r>
            <w:r>
              <w:rPr>
                <w:b/>
                <w:bCs/>
              </w:rPr>
              <w:t>m</w:t>
            </w:r>
            <w:r>
              <w:rPr>
                <w:rFonts w:hint="eastAsia"/>
                <w:b/>
                <w:bCs/>
                <w:lang w:eastAsia="zh-CN"/>
              </w:rPr>
              <w:t>）</w:t>
            </w:r>
          </w:p>
        </w:tc>
        <w:tc>
          <w:tcPr>
            <w:tcW w:w="930" w:type="dxa"/>
            <w:vMerge w:val="restart"/>
            <w:vAlign w:val="center"/>
          </w:tcPr>
          <w:p w14:paraId="0B6F9B91">
            <w:pPr>
              <w:pStyle w:val="43"/>
              <w:bidi w:val="0"/>
              <w:rPr>
                <w:b/>
                <w:bCs/>
              </w:rPr>
            </w:pPr>
            <w:r>
              <w:rPr>
                <w:b/>
                <w:bCs/>
              </w:rPr>
              <w:t>面源有效排放高度</w:t>
            </w:r>
            <w:r>
              <w:rPr>
                <w:rFonts w:hint="eastAsia"/>
                <w:b/>
                <w:bCs/>
                <w:lang w:eastAsia="zh-CN"/>
              </w:rPr>
              <w:t>（</w:t>
            </w:r>
            <w:r>
              <w:rPr>
                <w:b/>
                <w:bCs/>
              </w:rPr>
              <w:t>m</w:t>
            </w:r>
            <w:r>
              <w:rPr>
                <w:rFonts w:hint="eastAsia"/>
                <w:b/>
                <w:bCs/>
                <w:lang w:eastAsia="zh-CN"/>
              </w:rPr>
              <w:t>）</w:t>
            </w:r>
          </w:p>
        </w:tc>
        <w:tc>
          <w:tcPr>
            <w:tcW w:w="795" w:type="dxa"/>
            <w:vMerge w:val="restart"/>
            <w:vAlign w:val="center"/>
          </w:tcPr>
          <w:p w14:paraId="4772BDD7">
            <w:pPr>
              <w:pStyle w:val="43"/>
              <w:bidi w:val="0"/>
              <w:rPr>
                <w:b/>
                <w:bCs/>
              </w:rPr>
            </w:pPr>
            <w:r>
              <w:rPr>
                <w:b/>
                <w:bCs/>
              </w:rPr>
              <w:t>初始垂向扩散参数</w:t>
            </w:r>
            <w:r>
              <w:rPr>
                <w:rFonts w:hint="eastAsia"/>
                <w:b/>
                <w:bCs/>
                <w:lang w:eastAsia="zh-CN"/>
              </w:rPr>
              <w:t>（</w:t>
            </w:r>
            <w:r>
              <w:rPr>
                <w:b/>
                <w:bCs/>
              </w:rPr>
              <w:t>m</w:t>
            </w:r>
            <w:r>
              <w:rPr>
                <w:rFonts w:hint="eastAsia"/>
                <w:b/>
                <w:bCs/>
                <w:lang w:eastAsia="zh-CN"/>
              </w:rPr>
              <w:t>）</w:t>
            </w:r>
          </w:p>
        </w:tc>
        <w:tc>
          <w:tcPr>
            <w:tcW w:w="765" w:type="dxa"/>
            <w:vMerge w:val="restart"/>
            <w:vAlign w:val="center"/>
          </w:tcPr>
          <w:p w14:paraId="58AD79B8">
            <w:pPr>
              <w:pStyle w:val="43"/>
              <w:bidi w:val="0"/>
              <w:rPr>
                <w:b/>
                <w:bCs/>
              </w:rPr>
            </w:pPr>
            <w:r>
              <w:rPr>
                <w:b/>
                <w:bCs/>
              </w:rPr>
              <w:t>圆形面源半径</w:t>
            </w:r>
            <w:r>
              <w:rPr>
                <w:rFonts w:hint="eastAsia"/>
                <w:b/>
                <w:bCs/>
                <w:lang w:eastAsia="zh-CN"/>
              </w:rPr>
              <w:t>（</w:t>
            </w:r>
            <w:r>
              <w:rPr>
                <w:b/>
                <w:bCs/>
              </w:rPr>
              <w:t>m</w:t>
            </w:r>
            <w:r>
              <w:rPr>
                <w:rFonts w:hint="eastAsia"/>
                <w:b/>
                <w:bCs/>
                <w:lang w:eastAsia="zh-CN"/>
              </w:rPr>
              <w:t>）</w:t>
            </w:r>
          </w:p>
        </w:tc>
        <w:tc>
          <w:tcPr>
            <w:tcW w:w="870" w:type="dxa"/>
            <w:vMerge w:val="restart"/>
            <w:vAlign w:val="center"/>
          </w:tcPr>
          <w:p w14:paraId="6ECEE697">
            <w:pPr>
              <w:pStyle w:val="43"/>
              <w:bidi w:val="0"/>
              <w:rPr>
                <w:b/>
                <w:bCs/>
              </w:rPr>
            </w:pPr>
            <w:r>
              <w:rPr>
                <w:b/>
                <w:bCs/>
              </w:rPr>
              <w:t>近圆形面源的顶点或边的个数</w:t>
            </w:r>
          </w:p>
        </w:tc>
        <w:tc>
          <w:tcPr>
            <w:tcW w:w="976" w:type="dxa"/>
            <w:vAlign w:val="center"/>
          </w:tcPr>
          <w:p w14:paraId="4C9875A1">
            <w:pPr>
              <w:pStyle w:val="43"/>
              <w:bidi w:val="0"/>
              <w:rPr>
                <w:b/>
                <w:bCs/>
              </w:rPr>
            </w:pPr>
            <w:r>
              <w:rPr>
                <w:b/>
                <w:bCs/>
              </w:rPr>
              <w:t>污染物排放速率</w:t>
            </w:r>
            <w:r>
              <w:rPr>
                <w:rFonts w:hint="eastAsia"/>
                <w:b/>
                <w:bCs/>
                <w:lang w:eastAsia="zh-CN"/>
              </w:rPr>
              <w:t>（</w:t>
            </w:r>
            <w:r>
              <w:rPr>
                <w:b/>
                <w:bCs/>
              </w:rPr>
              <w:t>kg/h</w:t>
            </w:r>
            <w:r>
              <w:rPr>
                <w:rFonts w:hint="eastAsia"/>
                <w:b/>
                <w:bCs/>
                <w:lang w:eastAsia="zh-CN"/>
              </w:rPr>
              <w:t>）</w:t>
            </w:r>
          </w:p>
        </w:tc>
      </w:tr>
      <w:tr w14:paraId="37CEC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trPr>
        <w:tc>
          <w:tcPr>
            <w:tcW w:w="816" w:type="dxa"/>
            <w:vMerge w:val="continue"/>
            <w:vAlign w:val="center"/>
          </w:tcPr>
          <w:p w14:paraId="18FDC246">
            <w:pPr>
              <w:pStyle w:val="43"/>
              <w:bidi w:val="0"/>
              <w:rPr>
                <w:b/>
                <w:bCs/>
              </w:rPr>
            </w:pPr>
          </w:p>
        </w:tc>
        <w:tc>
          <w:tcPr>
            <w:tcW w:w="1201" w:type="dxa"/>
            <w:vAlign w:val="center"/>
          </w:tcPr>
          <w:p w14:paraId="58082B54">
            <w:pPr>
              <w:pStyle w:val="43"/>
              <w:bidi w:val="0"/>
              <w:rPr>
                <w:b/>
                <w:bCs/>
              </w:rPr>
            </w:pPr>
            <w:r>
              <w:rPr>
                <w:b/>
                <w:bCs/>
              </w:rPr>
              <w:t>经度</w:t>
            </w:r>
          </w:p>
        </w:tc>
        <w:tc>
          <w:tcPr>
            <w:tcW w:w="1364" w:type="dxa"/>
            <w:vAlign w:val="center"/>
          </w:tcPr>
          <w:p w14:paraId="7AF4CD66">
            <w:pPr>
              <w:pStyle w:val="43"/>
              <w:bidi w:val="0"/>
              <w:rPr>
                <w:b/>
                <w:bCs/>
              </w:rPr>
            </w:pPr>
            <w:r>
              <w:rPr>
                <w:b/>
                <w:bCs/>
              </w:rPr>
              <w:t>纬度</w:t>
            </w:r>
          </w:p>
        </w:tc>
        <w:tc>
          <w:tcPr>
            <w:tcW w:w="810" w:type="dxa"/>
            <w:vMerge w:val="continue"/>
            <w:vAlign w:val="center"/>
          </w:tcPr>
          <w:p w14:paraId="1EBF5707">
            <w:pPr>
              <w:pStyle w:val="43"/>
              <w:bidi w:val="0"/>
              <w:rPr>
                <w:b/>
                <w:bCs/>
              </w:rPr>
            </w:pPr>
          </w:p>
        </w:tc>
        <w:tc>
          <w:tcPr>
            <w:tcW w:w="930" w:type="dxa"/>
            <w:vMerge w:val="continue"/>
            <w:vAlign w:val="center"/>
          </w:tcPr>
          <w:p w14:paraId="63012BF5">
            <w:pPr>
              <w:pStyle w:val="43"/>
              <w:bidi w:val="0"/>
              <w:rPr>
                <w:b/>
                <w:bCs/>
              </w:rPr>
            </w:pPr>
          </w:p>
        </w:tc>
        <w:tc>
          <w:tcPr>
            <w:tcW w:w="795" w:type="dxa"/>
            <w:vMerge w:val="continue"/>
            <w:vAlign w:val="center"/>
          </w:tcPr>
          <w:p w14:paraId="64BC6654">
            <w:pPr>
              <w:pStyle w:val="43"/>
              <w:bidi w:val="0"/>
              <w:rPr>
                <w:b/>
                <w:bCs/>
              </w:rPr>
            </w:pPr>
          </w:p>
        </w:tc>
        <w:tc>
          <w:tcPr>
            <w:tcW w:w="765" w:type="dxa"/>
            <w:vMerge w:val="continue"/>
            <w:vAlign w:val="center"/>
          </w:tcPr>
          <w:p w14:paraId="7EE37B78">
            <w:pPr>
              <w:pStyle w:val="43"/>
              <w:bidi w:val="0"/>
              <w:rPr>
                <w:b/>
                <w:bCs/>
              </w:rPr>
            </w:pPr>
          </w:p>
        </w:tc>
        <w:tc>
          <w:tcPr>
            <w:tcW w:w="870" w:type="dxa"/>
            <w:vMerge w:val="continue"/>
            <w:vAlign w:val="center"/>
          </w:tcPr>
          <w:p w14:paraId="45DD8ADA">
            <w:pPr>
              <w:pStyle w:val="43"/>
              <w:bidi w:val="0"/>
              <w:rPr>
                <w:b/>
                <w:bCs/>
              </w:rPr>
            </w:pPr>
          </w:p>
        </w:tc>
        <w:tc>
          <w:tcPr>
            <w:tcW w:w="976" w:type="dxa"/>
            <w:vAlign w:val="center"/>
          </w:tcPr>
          <w:p w14:paraId="5A449508">
            <w:pPr>
              <w:pStyle w:val="43"/>
              <w:bidi w:val="0"/>
              <w:rPr>
                <w:b/>
                <w:bCs/>
              </w:rPr>
            </w:pPr>
            <w:r>
              <w:rPr>
                <w:b/>
                <w:bCs/>
              </w:rPr>
              <w:t>TSP</w:t>
            </w:r>
          </w:p>
        </w:tc>
      </w:tr>
      <w:tr w14:paraId="772C6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0" w:hRule="atLeast"/>
        </w:trPr>
        <w:tc>
          <w:tcPr>
            <w:tcW w:w="816" w:type="dxa"/>
            <w:vAlign w:val="center"/>
          </w:tcPr>
          <w:p w14:paraId="3A1BBFE8">
            <w:pPr>
              <w:pStyle w:val="43"/>
              <w:bidi w:val="0"/>
            </w:pPr>
            <w:r>
              <w:t>圆形面源</w:t>
            </w:r>
          </w:p>
        </w:tc>
        <w:tc>
          <w:tcPr>
            <w:tcW w:w="1201" w:type="dxa"/>
            <w:vAlign w:val="center"/>
          </w:tcPr>
          <w:p w14:paraId="162689F6">
            <w:pPr>
              <w:pStyle w:val="43"/>
              <w:bidi w:val="0"/>
            </w:pPr>
            <w:r>
              <w:t>104.301972</w:t>
            </w:r>
          </w:p>
        </w:tc>
        <w:tc>
          <w:tcPr>
            <w:tcW w:w="1364" w:type="dxa"/>
            <w:vAlign w:val="center"/>
          </w:tcPr>
          <w:p w14:paraId="17319238">
            <w:pPr>
              <w:pStyle w:val="43"/>
              <w:bidi w:val="0"/>
            </w:pPr>
            <w:r>
              <w:t>23.682042</w:t>
            </w:r>
          </w:p>
        </w:tc>
        <w:tc>
          <w:tcPr>
            <w:tcW w:w="810" w:type="dxa"/>
            <w:vAlign w:val="center"/>
          </w:tcPr>
          <w:p w14:paraId="29438978">
            <w:pPr>
              <w:pStyle w:val="43"/>
              <w:bidi w:val="0"/>
            </w:pPr>
            <w:r>
              <w:t>1610.00</w:t>
            </w:r>
          </w:p>
        </w:tc>
        <w:tc>
          <w:tcPr>
            <w:tcW w:w="930" w:type="dxa"/>
            <w:vAlign w:val="center"/>
          </w:tcPr>
          <w:p w14:paraId="2D430195">
            <w:pPr>
              <w:pStyle w:val="43"/>
              <w:bidi w:val="0"/>
            </w:pPr>
            <w:r>
              <w:t>10.00</w:t>
            </w:r>
          </w:p>
        </w:tc>
        <w:tc>
          <w:tcPr>
            <w:tcW w:w="795" w:type="dxa"/>
            <w:vAlign w:val="center"/>
          </w:tcPr>
          <w:p w14:paraId="4CFBBAFF">
            <w:pPr>
              <w:pStyle w:val="43"/>
              <w:bidi w:val="0"/>
            </w:pPr>
            <w:r>
              <w:t>4.65</w:t>
            </w:r>
          </w:p>
        </w:tc>
        <w:tc>
          <w:tcPr>
            <w:tcW w:w="765" w:type="dxa"/>
            <w:vAlign w:val="center"/>
          </w:tcPr>
          <w:p w14:paraId="3D4C8903">
            <w:pPr>
              <w:pStyle w:val="43"/>
              <w:bidi w:val="0"/>
            </w:pPr>
            <w:r>
              <w:t>498.46</w:t>
            </w:r>
          </w:p>
        </w:tc>
        <w:tc>
          <w:tcPr>
            <w:tcW w:w="870" w:type="dxa"/>
            <w:vAlign w:val="center"/>
          </w:tcPr>
          <w:p w14:paraId="0755446C">
            <w:pPr>
              <w:pStyle w:val="43"/>
              <w:bidi w:val="0"/>
            </w:pPr>
            <w:r>
              <w:t>20</w:t>
            </w:r>
          </w:p>
        </w:tc>
        <w:tc>
          <w:tcPr>
            <w:tcW w:w="976" w:type="dxa"/>
            <w:vAlign w:val="center"/>
          </w:tcPr>
          <w:p w14:paraId="255D2D4A">
            <w:pPr>
              <w:pStyle w:val="43"/>
              <w:bidi w:val="0"/>
            </w:pPr>
            <w:r>
              <w:t>1.2000</w:t>
            </w:r>
          </w:p>
        </w:tc>
      </w:tr>
    </w:tbl>
    <w:p w14:paraId="4572EA65">
      <w:pPr>
        <w:pStyle w:val="41"/>
        <w:bidi w:val="0"/>
        <w:rPr>
          <w:rFonts w:hint="eastAsia"/>
          <w:b/>
          <w:bCs/>
          <w:color w:val="000000" w:themeColor="text1"/>
          <w:highlight w:val="none"/>
          <w:lang w:eastAsia="zh-CN"/>
          <w14:textFill>
            <w14:solidFill>
              <w14:schemeClr w14:val="tx1"/>
            </w14:solidFill>
          </w14:textFill>
        </w:rPr>
      </w:pPr>
    </w:p>
    <w:p w14:paraId="3AED1A22">
      <w:pPr>
        <w:pStyle w:val="41"/>
        <w:bidi w:val="0"/>
        <w:rPr>
          <w:rFonts w:hint="default"/>
          <w:b/>
          <w:bCs/>
        </w:rPr>
      </w:pPr>
      <w:r>
        <w:rPr>
          <w:rFonts w:hint="eastAsia"/>
          <w:b/>
          <w:bCs/>
          <w:color w:val="000000" w:themeColor="text1"/>
          <w:highlight w:val="none"/>
          <w:lang w:eastAsia="zh-CN"/>
          <w14:textFill>
            <w14:solidFill>
              <w14:schemeClr w14:val="tx1"/>
            </w14:solidFill>
          </w14:textFill>
        </w:rPr>
        <w:t>（</w:t>
      </w:r>
      <w:r>
        <w:rPr>
          <w:rFonts w:hint="eastAsia"/>
          <w:b/>
          <w:bCs/>
          <w:lang w:val="en-US" w:eastAsia="zh-CN"/>
        </w:rPr>
        <w:t>4）</w:t>
      </w:r>
      <w:r>
        <w:rPr>
          <w:rFonts w:hint="default"/>
          <w:b/>
          <w:bCs/>
        </w:rPr>
        <w:t>估算结果</w:t>
      </w:r>
    </w:p>
    <w:p w14:paraId="7171F0D8">
      <w:pPr>
        <w:pStyle w:val="41"/>
        <w:bidi w:val="0"/>
        <w:rPr>
          <w:rFonts w:hint="default"/>
        </w:rPr>
      </w:pPr>
      <w:r>
        <w:rPr>
          <w:rFonts w:hint="default"/>
        </w:rPr>
        <w:t>采用估算模式预测情况详见下表。</w:t>
      </w:r>
    </w:p>
    <w:p w14:paraId="571FD6D4">
      <w:pPr>
        <w:pStyle w:val="45"/>
        <w:bidi w:val="0"/>
        <w:rPr>
          <w:rFonts w:hint="default"/>
        </w:rPr>
      </w:pPr>
      <w:r>
        <w:rPr>
          <w:rFonts w:hint="default"/>
        </w:rPr>
        <w:t>表</w:t>
      </w:r>
      <w:r>
        <w:rPr>
          <w:rFonts w:hint="eastAsia"/>
          <w:lang w:val="en-US" w:eastAsia="zh-CN"/>
        </w:rPr>
        <w:t>6.2-6</w:t>
      </w:r>
      <w:r>
        <w:rPr>
          <w:rFonts w:hint="default"/>
        </w:rPr>
        <w:t xml:space="preserve"> 颗粒物估算模式计算结果一览表</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1"/>
        <w:gridCol w:w="974"/>
        <w:gridCol w:w="1496"/>
        <w:gridCol w:w="1284"/>
        <w:gridCol w:w="1271"/>
        <w:gridCol w:w="1138"/>
        <w:gridCol w:w="1089"/>
      </w:tblGrid>
      <w:tr w14:paraId="63926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80" w:type="dxa"/>
            <w:vAlign w:val="center"/>
          </w:tcPr>
          <w:p w14:paraId="5B616A0D">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排放源</w:t>
            </w:r>
          </w:p>
        </w:tc>
        <w:tc>
          <w:tcPr>
            <w:tcW w:w="973" w:type="dxa"/>
            <w:vAlign w:val="center"/>
          </w:tcPr>
          <w:p w14:paraId="49BFE973">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污染物</w:t>
            </w:r>
          </w:p>
        </w:tc>
        <w:tc>
          <w:tcPr>
            <w:tcW w:w="1494" w:type="dxa"/>
            <w:vAlign w:val="center"/>
          </w:tcPr>
          <w:p w14:paraId="6079C0F8">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最大落地浓</w:t>
            </w:r>
          </w:p>
          <w:p w14:paraId="1B560294">
            <w:pPr>
              <w:pStyle w:val="43"/>
              <w:bidi w:val="0"/>
              <w:rPr>
                <w:rFonts w:hint="eastAsia" w:eastAsia="宋体"/>
                <w:b/>
                <w:bCs/>
                <w:color w:val="000000" w:themeColor="text1"/>
                <w:highlight w:val="none"/>
                <w:lang w:eastAsia="zh-CN"/>
                <w14:textFill>
                  <w14:solidFill>
                    <w14:schemeClr w14:val="tx1"/>
                  </w14:solidFill>
                </w14:textFill>
              </w:rPr>
            </w:pPr>
            <w:r>
              <w:rPr>
                <w:rFonts w:hint="default"/>
                <w:b/>
                <w:bCs/>
                <w:color w:val="000000" w:themeColor="text1"/>
                <w:highlight w:val="none"/>
                <w14:textFill>
                  <w14:solidFill>
                    <w14:schemeClr w14:val="tx1"/>
                  </w14:solidFill>
                </w14:textFill>
              </w:rPr>
              <w:t>度</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μ</w:t>
            </w:r>
            <w:r>
              <w:rPr>
                <w:rFonts w:hint="default"/>
                <w:b/>
                <w:bCs/>
                <w:color w:val="000000" w:themeColor="text1"/>
                <w:highlight w:val="none"/>
                <w14:textFill>
                  <w14:solidFill>
                    <w14:schemeClr w14:val="tx1"/>
                  </w14:solidFill>
                </w14:textFill>
              </w:rPr>
              <w:t>g/</w:t>
            </w:r>
            <w:r>
              <w:rPr>
                <w:rFonts w:hint="eastAsia"/>
                <w:b/>
                <w:bCs/>
                <w:color w:val="000000" w:themeColor="text1"/>
                <w:highlight w:val="none"/>
                <w:lang w:eastAsia="zh-CN"/>
                <w14:textFill>
                  <w14:solidFill>
                    <w14:schemeClr w14:val="tx1"/>
                  </w14:solidFill>
                </w14:textFill>
              </w:rPr>
              <w:t>m</w:t>
            </w:r>
            <w:r>
              <w:rPr>
                <w:rFonts w:hint="eastAsia"/>
                <w:b/>
                <w:bCs/>
                <w:color w:val="000000" w:themeColor="text1"/>
                <w:highlight w:val="none"/>
                <w:vertAlign w:val="superscript"/>
                <w:lang w:eastAsia="zh-CN"/>
                <w14:textFill>
                  <w14:solidFill>
                    <w14:schemeClr w14:val="tx1"/>
                  </w14:solidFill>
                </w14:textFill>
              </w:rPr>
              <w:t>3</w:t>
            </w:r>
            <w:r>
              <w:rPr>
                <w:rFonts w:hint="eastAsia"/>
                <w:b/>
                <w:bCs/>
                <w:color w:val="000000" w:themeColor="text1"/>
                <w:highlight w:val="none"/>
                <w:lang w:eastAsia="zh-CN"/>
                <w14:textFill>
                  <w14:solidFill>
                    <w14:schemeClr w14:val="tx1"/>
                  </w14:solidFill>
                </w14:textFill>
              </w:rPr>
              <w:t>）</w:t>
            </w:r>
          </w:p>
        </w:tc>
        <w:tc>
          <w:tcPr>
            <w:tcW w:w="1282" w:type="dxa"/>
            <w:vAlign w:val="center"/>
          </w:tcPr>
          <w:p w14:paraId="4386E9BB">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出现距离</w:t>
            </w:r>
          </w:p>
          <w:p w14:paraId="4D30358D">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（m</w:t>
            </w:r>
            <w:r>
              <w:rPr>
                <w:rFonts w:hint="eastAsia"/>
                <w:b/>
                <w:bCs/>
                <w:color w:val="000000" w:themeColor="text1"/>
                <w:highlight w:val="none"/>
                <w:lang w:eastAsia="zh-CN"/>
                <w14:textFill>
                  <w14:solidFill>
                    <w14:schemeClr w14:val="tx1"/>
                  </w14:solidFill>
                </w14:textFill>
              </w:rPr>
              <w:t>)</w:t>
            </w:r>
          </w:p>
        </w:tc>
        <w:tc>
          <w:tcPr>
            <w:tcW w:w="1269" w:type="dxa"/>
            <w:vAlign w:val="center"/>
          </w:tcPr>
          <w:p w14:paraId="0E01A01F">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占标率</w:t>
            </w:r>
          </w:p>
          <w:p w14:paraId="356FD6AF">
            <w:pPr>
              <w:pStyle w:val="43"/>
              <w:bidi w:val="0"/>
              <w:rPr>
                <w:rFonts w:hint="eastAsia" w:eastAsia="宋体"/>
                <w:b/>
                <w:bCs/>
                <w:color w:val="000000" w:themeColor="text1"/>
                <w:highlight w:val="none"/>
                <w:lang w:eastAsia="zh-CN"/>
                <w14:textFill>
                  <w14:solidFill>
                    <w14:schemeClr w14:val="tx1"/>
                  </w14:solidFill>
                </w14:textFill>
              </w:rPr>
            </w:pPr>
            <w:r>
              <w:rPr>
                <w:rFonts w:hint="default"/>
                <w:b/>
                <w:bCs/>
                <w:color w:val="000000" w:themeColor="text1"/>
                <w:highlight w:val="none"/>
                <w14:textFill>
                  <w14:solidFill>
                    <w14:schemeClr w14:val="tx1"/>
                  </w14:solidFill>
                </w14:textFill>
              </w:rPr>
              <w:t>Pmax</w:t>
            </w:r>
            <w:r>
              <w:rPr>
                <w:rFonts w:hint="eastAsia"/>
                <w:b/>
                <w:bCs/>
                <w:color w:val="000000" w:themeColor="text1"/>
                <w:highlight w:val="none"/>
                <w:lang w:eastAsia="zh-CN"/>
                <w14:textFill>
                  <w14:solidFill>
                    <w14:schemeClr w14:val="tx1"/>
                  </w14:solidFill>
                </w14:textFill>
              </w:rPr>
              <w:t>（</w:t>
            </w:r>
            <w:r>
              <w:rPr>
                <w:rFonts w:hint="default"/>
                <w:b/>
                <w:bCs/>
                <w:color w:val="000000" w:themeColor="text1"/>
                <w:highlight w:val="none"/>
                <w14:textFill>
                  <w14:solidFill>
                    <w14:schemeClr w14:val="tx1"/>
                  </w14:solidFill>
                </w14:textFill>
              </w:rPr>
              <w:t>%</w:t>
            </w:r>
            <w:r>
              <w:rPr>
                <w:rFonts w:hint="eastAsia"/>
                <w:b/>
                <w:bCs/>
                <w:color w:val="000000" w:themeColor="text1"/>
                <w:highlight w:val="none"/>
                <w:lang w:eastAsia="zh-CN"/>
                <w14:textFill>
                  <w14:solidFill>
                    <w14:schemeClr w14:val="tx1"/>
                  </w14:solidFill>
                </w14:textFill>
              </w:rPr>
              <w:t>)</w:t>
            </w:r>
          </w:p>
        </w:tc>
        <w:tc>
          <w:tcPr>
            <w:tcW w:w="1137" w:type="dxa"/>
            <w:vAlign w:val="center"/>
          </w:tcPr>
          <w:p w14:paraId="71C2B5CF">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D</w:t>
            </w:r>
            <w:r>
              <w:rPr>
                <w:rFonts w:hint="default"/>
                <w:b/>
                <w:bCs/>
                <w:color w:val="000000" w:themeColor="text1"/>
                <w:highlight w:val="none"/>
                <w:vertAlign w:val="subscript"/>
                <w14:textFill>
                  <w14:solidFill>
                    <w14:schemeClr w14:val="tx1"/>
                  </w14:solidFill>
                </w14:textFill>
              </w:rPr>
              <w:t>10</w:t>
            </w:r>
            <w:r>
              <w:rPr>
                <w:rFonts w:hint="eastAsia"/>
                <w:b/>
                <w:bCs/>
                <w:color w:val="000000" w:themeColor="text1"/>
                <w:highlight w:val="none"/>
                <w:vertAlign w:val="subscript"/>
                <w:lang w:val="en-US" w:eastAsia="zh-CN"/>
                <w14:textFill>
                  <w14:solidFill>
                    <w14:schemeClr w14:val="tx1"/>
                  </w14:solidFill>
                </w14:textFill>
              </w:rPr>
              <w:t>%</w:t>
            </w:r>
            <w:r>
              <w:rPr>
                <w:rFonts w:hint="default"/>
                <w:b/>
                <w:bCs/>
                <w:color w:val="000000" w:themeColor="text1"/>
                <w:highlight w:val="none"/>
                <w14:textFill>
                  <w14:solidFill>
                    <w14:schemeClr w14:val="tx1"/>
                  </w14:solidFill>
                </w14:textFill>
              </w:rPr>
              <w:t>（m</w:t>
            </w:r>
            <w:r>
              <w:rPr>
                <w:rFonts w:hint="eastAsia"/>
                <w:b/>
                <w:bCs/>
                <w:color w:val="000000" w:themeColor="text1"/>
                <w:highlight w:val="none"/>
                <w:lang w:eastAsia="zh-CN"/>
                <w14:textFill>
                  <w14:solidFill>
                    <w14:schemeClr w14:val="tx1"/>
                  </w14:solidFill>
                </w14:textFill>
              </w:rPr>
              <w:t>)</w:t>
            </w:r>
          </w:p>
        </w:tc>
        <w:tc>
          <w:tcPr>
            <w:tcW w:w="1088" w:type="dxa"/>
            <w:vAlign w:val="center"/>
          </w:tcPr>
          <w:p w14:paraId="4E9592B6">
            <w:pPr>
              <w:pStyle w:val="43"/>
              <w:bidi w:val="0"/>
              <w:rPr>
                <w:rFonts w:hint="default"/>
                <w:b/>
                <w:bCs/>
                <w:color w:val="000000" w:themeColor="text1"/>
                <w:highlight w:val="none"/>
                <w14:textFill>
                  <w14:solidFill>
                    <w14:schemeClr w14:val="tx1"/>
                  </w14:solidFill>
                </w14:textFill>
              </w:rPr>
            </w:pPr>
            <w:r>
              <w:rPr>
                <w:rFonts w:hint="default"/>
                <w:b/>
                <w:bCs/>
                <w:color w:val="000000" w:themeColor="text1"/>
                <w:highlight w:val="none"/>
                <w14:textFill>
                  <w14:solidFill>
                    <w14:schemeClr w14:val="tx1"/>
                  </w14:solidFill>
                </w14:textFill>
              </w:rPr>
              <w:t>评价等级</w:t>
            </w:r>
          </w:p>
        </w:tc>
      </w:tr>
      <w:tr w14:paraId="54D9D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80" w:type="dxa"/>
            <w:shd w:val="clear" w:color="auto" w:fill="auto"/>
            <w:vAlign w:val="center"/>
          </w:tcPr>
          <w:p w14:paraId="6A91A073">
            <w:pPr>
              <w:pStyle w:val="43"/>
              <w:bidi w:val="0"/>
              <w:ind w:firstLine="0" w:firstLineChars="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DA001排气筒</w:t>
            </w:r>
          </w:p>
        </w:tc>
        <w:tc>
          <w:tcPr>
            <w:tcW w:w="973" w:type="dxa"/>
            <w:vAlign w:val="center"/>
          </w:tcPr>
          <w:p w14:paraId="793B6168">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TSP</w:t>
            </w:r>
          </w:p>
        </w:tc>
        <w:tc>
          <w:tcPr>
            <w:tcW w:w="1494" w:type="dxa"/>
            <w:shd w:val="clear" w:color="auto" w:fill="auto"/>
            <w:vAlign w:val="center"/>
          </w:tcPr>
          <w:p w14:paraId="179ADFC6">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8.23</w:t>
            </w:r>
          </w:p>
        </w:tc>
        <w:tc>
          <w:tcPr>
            <w:tcW w:w="1282" w:type="dxa"/>
            <w:shd w:val="clear" w:color="auto" w:fill="auto"/>
            <w:vAlign w:val="center"/>
          </w:tcPr>
          <w:p w14:paraId="2AA5BC79">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23</w:t>
            </w:r>
          </w:p>
        </w:tc>
        <w:tc>
          <w:tcPr>
            <w:tcW w:w="1269" w:type="dxa"/>
            <w:vAlign w:val="center"/>
          </w:tcPr>
          <w:p w14:paraId="59CFDE74">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0.91</w:t>
            </w:r>
          </w:p>
        </w:tc>
        <w:tc>
          <w:tcPr>
            <w:tcW w:w="1137" w:type="dxa"/>
            <w:vAlign w:val="center"/>
          </w:tcPr>
          <w:p w14:paraId="5920887A">
            <w:pPr>
              <w:pStyle w:val="43"/>
              <w:bidi w:val="0"/>
              <w:rPr>
                <w:rFonts w:hint="default"/>
                <w:color w:val="000000" w:themeColor="text1"/>
                <w:highlight w:val="none"/>
                <w14:textFill>
                  <w14:solidFill>
                    <w14:schemeClr w14:val="tx1"/>
                  </w14:solidFill>
                </w14:textFill>
              </w:rPr>
            </w:pPr>
            <w:r>
              <w:rPr>
                <w:rFonts w:hint="default"/>
                <w:color w:val="000000" w:themeColor="text1"/>
                <w:highlight w:val="none"/>
                <w:lang w:val="en-US" w:eastAsia="zh-CN"/>
                <w14:textFill>
                  <w14:solidFill>
                    <w14:schemeClr w14:val="tx1"/>
                  </w14:solidFill>
                </w14:textFill>
              </w:rPr>
              <w:t>0</w:t>
            </w:r>
          </w:p>
        </w:tc>
        <w:tc>
          <w:tcPr>
            <w:tcW w:w="1088" w:type="dxa"/>
            <w:vAlign w:val="center"/>
          </w:tcPr>
          <w:p w14:paraId="551C062A">
            <w:pPr>
              <w:pStyle w:val="43"/>
              <w:bidi w:val="0"/>
              <w:rPr>
                <w:rFonts w:hint="default"/>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二级</w:t>
            </w:r>
          </w:p>
        </w:tc>
      </w:tr>
      <w:tr w14:paraId="26196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80" w:type="dxa"/>
            <w:shd w:val="clear" w:color="auto" w:fill="auto"/>
            <w:vAlign w:val="center"/>
          </w:tcPr>
          <w:p w14:paraId="59F14AF5">
            <w:pPr>
              <w:pStyle w:val="43"/>
              <w:bidi w:val="0"/>
              <w:ind w:firstLine="0" w:firstLineChars="0"/>
              <w:rPr>
                <w:rFonts w:hint="default"/>
                <w:color w:val="000000" w:themeColor="text1"/>
                <w:highlight w:val="none"/>
                <w:lang w:val="en-US" w:eastAsia="zh-CN"/>
                <w14:textFill>
                  <w14:solidFill>
                    <w14:schemeClr w14:val="tx1"/>
                  </w14:solidFill>
                </w14:textFill>
              </w:rPr>
            </w:pPr>
            <w:r>
              <w:t>圆形面源</w:t>
            </w:r>
          </w:p>
        </w:tc>
        <w:tc>
          <w:tcPr>
            <w:tcW w:w="973" w:type="dxa"/>
            <w:vAlign w:val="center"/>
          </w:tcPr>
          <w:p w14:paraId="212A40BD">
            <w:pPr>
              <w:pStyle w:val="43"/>
              <w:bidi w:val="0"/>
              <w:rPr>
                <w:rFonts w:hint="default"/>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TSP</w:t>
            </w:r>
          </w:p>
        </w:tc>
        <w:tc>
          <w:tcPr>
            <w:tcW w:w="1494" w:type="dxa"/>
            <w:shd w:val="clear" w:color="auto" w:fill="auto"/>
            <w:vAlign w:val="center"/>
          </w:tcPr>
          <w:p w14:paraId="43C3414A">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38.65</w:t>
            </w:r>
          </w:p>
        </w:tc>
        <w:tc>
          <w:tcPr>
            <w:tcW w:w="1282" w:type="dxa"/>
            <w:shd w:val="clear" w:color="auto" w:fill="auto"/>
            <w:vAlign w:val="center"/>
          </w:tcPr>
          <w:p w14:paraId="554E849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108</w:t>
            </w:r>
          </w:p>
        </w:tc>
        <w:tc>
          <w:tcPr>
            <w:tcW w:w="1269" w:type="dxa"/>
            <w:vAlign w:val="center"/>
          </w:tcPr>
          <w:p w14:paraId="4C33E4E7">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4.29</w:t>
            </w:r>
          </w:p>
        </w:tc>
        <w:tc>
          <w:tcPr>
            <w:tcW w:w="1137" w:type="dxa"/>
            <w:shd w:val="clear" w:color="auto" w:fill="auto"/>
            <w:vAlign w:val="center"/>
          </w:tcPr>
          <w:p w14:paraId="6C0D3650">
            <w:pPr>
              <w:pStyle w:val="43"/>
              <w:bidi w:val="0"/>
              <w:ind w:firstLine="0" w:firstLineChars="0"/>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0</w:t>
            </w:r>
          </w:p>
        </w:tc>
        <w:tc>
          <w:tcPr>
            <w:tcW w:w="1088" w:type="dxa"/>
            <w:shd w:val="clear" w:color="auto" w:fill="auto"/>
            <w:vAlign w:val="center"/>
          </w:tcPr>
          <w:p w14:paraId="225D4532">
            <w:pPr>
              <w:pStyle w:val="43"/>
              <w:bidi w:val="0"/>
              <w:ind w:firstLine="0" w:firstLineChars="0"/>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二级</w:t>
            </w:r>
          </w:p>
        </w:tc>
      </w:tr>
    </w:tbl>
    <w:p w14:paraId="3D42C71F">
      <w:pPr>
        <w:pStyle w:val="41"/>
        <w:bidi w:val="0"/>
        <w:rPr>
          <w:rFonts w:hint="default"/>
        </w:rPr>
      </w:pPr>
      <w:r>
        <w:rPr>
          <w:rFonts w:hint="default"/>
        </w:rPr>
        <w:t>由上表可知</w:t>
      </w:r>
      <w:r>
        <w:rPr>
          <w:rFonts w:hint="eastAsia"/>
          <w:lang w:eastAsia="zh-CN"/>
        </w:rPr>
        <w:t>，</w:t>
      </w:r>
      <w:r>
        <w:rPr>
          <w:rFonts w:hint="default"/>
        </w:rPr>
        <w:t>本项目Pmax最大值出现为</w:t>
      </w:r>
      <w:r>
        <w:rPr>
          <w:rFonts w:hint="eastAsia"/>
          <w:lang w:val="en-US" w:eastAsia="zh-CN"/>
        </w:rPr>
        <w:t>厂界无组织排放源</w:t>
      </w:r>
      <w:r>
        <w:rPr>
          <w:rFonts w:hint="eastAsia"/>
          <w:lang w:eastAsia="zh-CN"/>
        </w:rPr>
        <w:t>，</w:t>
      </w:r>
      <w:r>
        <w:rPr>
          <w:rFonts w:hint="default"/>
        </w:rPr>
        <w:t>Pmax值为</w:t>
      </w:r>
      <w:r>
        <w:rPr>
          <w:rFonts w:hint="eastAsia"/>
          <w:lang w:val="en-US" w:eastAsia="zh-CN"/>
        </w:rPr>
        <w:t>4.29</w:t>
      </w:r>
      <w:r>
        <w:rPr>
          <w:rFonts w:hint="default"/>
        </w:rPr>
        <w:t>%</w:t>
      </w:r>
      <w:r>
        <w:rPr>
          <w:rFonts w:hint="eastAsia"/>
          <w:lang w:eastAsia="zh-CN"/>
        </w:rPr>
        <w:t>，</w:t>
      </w:r>
      <w:r>
        <w:rPr>
          <w:rFonts w:hint="default"/>
        </w:rPr>
        <w:t>Cmax为</w:t>
      </w:r>
      <w:r>
        <w:rPr>
          <w:rFonts w:hint="eastAsia"/>
          <w:lang w:val="en-US" w:eastAsia="zh-CN"/>
        </w:rPr>
        <w:t>38.65</w:t>
      </w:r>
      <w:r>
        <w:rPr>
          <w:rFonts w:hint="default"/>
        </w:rPr>
        <w:t>mg/</w:t>
      </w:r>
      <w:r>
        <w:rPr>
          <w:rFonts w:hint="eastAsia"/>
          <w:lang w:eastAsia="zh-CN"/>
        </w:rPr>
        <w:t>m</w:t>
      </w:r>
      <w:r>
        <w:rPr>
          <w:rFonts w:hint="eastAsia"/>
          <w:vertAlign w:val="superscript"/>
          <w:lang w:eastAsia="zh-CN"/>
        </w:rPr>
        <w:t>3</w:t>
      </w:r>
      <w:r>
        <w:rPr>
          <w:rFonts w:hint="eastAsia"/>
          <w:lang w:eastAsia="zh-CN"/>
        </w:rPr>
        <w:t>，</w:t>
      </w:r>
      <w:r>
        <w:rPr>
          <w:rFonts w:hint="default"/>
        </w:rPr>
        <w:t>根据</w:t>
      </w:r>
      <w:r>
        <w:rPr>
          <w:rFonts w:hint="eastAsia"/>
          <w:lang w:eastAsia="zh-CN"/>
        </w:rPr>
        <w:t>《</w:t>
      </w:r>
      <w:r>
        <w:rPr>
          <w:rFonts w:hint="default"/>
        </w:rPr>
        <w:t>环境影响评价技术导则大气环境》</w:t>
      </w:r>
      <w:r>
        <w:rPr>
          <w:rFonts w:hint="eastAsia"/>
          <w:lang w:eastAsia="zh-CN"/>
        </w:rPr>
        <w:t>（</w:t>
      </w:r>
      <w:r>
        <w:rPr>
          <w:rFonts w:hint="default"/>
        </w:rPr>
        <w:t>HJ2.2-2018</w:t>
      </w:r>
      <w:r>
        <w:rPr>
          <w:rFonts w:hint="eastAsia"/>
          <w:lang w:eastAsia="zh-CN"/>
        </w:rPr>
        <w:t>）</w:t>
      </w:r>
      <w:r>
        <w:rPr>
          <w:rFonts w:hint="default"/>
        </w:rPr>
        <w:t>分级判据</w:t>
      </w:r>
      <w:r>
        <w:rPr>
          <w:rFonts w:hint="eastAsia"/>
          <w:lang w:eastAsia="zh-CN"/>
        </w:rPr>
        <w:t>，</w:t>
      </w:r>
      <w:r>
        <w:rPr>
          <w:rFonts w:hint="default"/>
        </w:rPr>
        <w:t>确定本项目大气环境影响评价工作等级为二级</w:t>
      </w:r>
      <w:r>
        <w:rPr>
          <w:rFonts w:hint="eastAsia"/>
          <w:lang w:eastAsia="zh-CN"/>
        </w:rPr>
        <w:t>，</w:t>
      </w:r>
      <w:r>
        <w:rPr>
          <w:rFonts w:hint="default"/>
        </w:rPr>
        <w:t>不进行进一步预测和评价</w:t>
      </w:r>
      <w:r>
        <w:rPr>
          <w:rFonts w:hint="eastAsia"/>
          <w:lang w:eastAsia="zh-CN"/>
        </w:rPr>
        <w:t>，</w:t>
      </w:r>
      <w:r>
        <w:rPr>
          <w:rFonts w:hint="default"/>
        </w:rPr>
        <w:t>只对污染物排放量进行核算。评价范围为采场为中心</w:t>
      </w:r>
      <w:r>
        <w:rPr>
          <w:rFonts w:hint="eastAsia"/>
          <w:lang w:eastAsia="zh-CN"/>
        </w:rPr>
        <w:t>，</w:t>
      </w:r>
      <w:r>
        <w:rPr>
          <w:rFonts w:hint="default"/>
        </w:rPr>
        <w:t>边长为5km的矩形区域。</w:t>
      </w:r>
    </w:p>
    <w:p w14:paraId="65C50CDB">
      <w:pPr>
        <w:pStyle w:val="41"/>
        <w:bidi w:val="0"/>
        <w:rPr>
          <w:rFonts w:hint="default"/>
          <w:b/>
          <w:bCs/>
        </w:rPr>
      </w:pPr>
      <w:r>
        <w:rPr>
          <w:rFonts w:hint="eastAsia"/>
          <w:b/>
          <w:bCs/>
          <w:lang w:eastAsia="zh-CN"/>
        </w:rPr>
        <w:t>（</w:t>
      </w:r>
      <w:r>
        <w:rPr>
          <w:rFonts w:hint="eastAsia"/>
          <w:b/>
          <w:bCs/>
          <w:lang w:val="en-US" w:eastAsia="zh-CN"/>
        </w:rPr>
        <w:t>5）</w:t>
      </w:r>
      <w:r>
        <w:rPr>
          <w:rFonts w:hint="default"/>
          <w:b/>
          <w:bCs/>
        </w:rPr>
        <w:t>结果分析</w:t>
      </w:r>
    </w:p>
    <w:p w14:paraId="5BB85C2E">
      <w:pPr>
        <w:pStyle w:val="41"/>
        <w:bidi w:val="0"/>
        <w:rPr>
          <w:rFonts w:hint="default"/>
          <w:highlight w:val="none"/>
        </w:rPr>
      </w:pPr>
      <w:r>
        <w:rPr>
          <w:rFonts w:hint="default"/>
          <w:highlight w:val="none"/>
        </w:rPr>
        <w:t>根据估算结果可知</w:t>
      </w:r>
      <w:r>
        <w:rPr>
          <w:rFonts w:hint="eastAsia"/>
          <w:highlight w:val="none"/>
          <w:lang w:eastAsia="zh-CN"/>
        </w:rPr>
        <w:t>，</w:t>
      </w:r>
      <w:r>
        <w:rPr>
          <w:rFonts w:hint="default"/>
          <w:highlight w:val="none"/>
        </w:rPr>
        <w:t>本项目Pmax最大值出现为</w:t>
      </w:r>
      <w:r>
        <w:rPr>
          <w:rFonts w:hint="eastAsia"/>
          <w:highlight w:val="none"/>
          <w:lang w:val="en-US" w:eastAsia="zh-CN"/>
        </w:rPr>
        <w:t>无组织等效圆形面源排放源</w:t>
      </w:r>
      <w:r>
        <w:rPr>
          <w:rFonts w:hint="eastAsia"/>
          <w:highlight w:val="none"/>
          <w:lang w:eastAsia="zh-CN"/>
        </w:rPr>
        <w:t>，</w:t>
      </w:r>
      <w:r>
        <w:rPr>
          <w:rFonts w:hint="default"/>
          <w:highlight w:val="none"/>
        </w:rPr>
        <w:t>Pmax值为</w:t>
      </w:r>
      <w:r>
        <w:rPr>
          <w:rFonts w:hint="eastAsia"/>
          <w:highlight w:val="none"/>
          <w:lang w:val="en-US" w:eastAsia="zh-CN"/>
        </w:rPr>
        <w:t>4.29</w:t>
      </w:r>
      <w:r>
        <w:rPr>
          <w:rFonts w:hint="default"/>
          <w:highlight w:val="none"/>
        </w:rPr>
        <w:t>%</w:t>
      </w:r>
      <w:r>
        <w:rPr>
          <w:rFonts w:hint="eastAsia"/>
          <w:highlight w:val="none"/>
          <w:lang w:eastAsia="zh-CN"/>
        </w:rPr>
        <w:t>，</w:t>
      </w:r>
      <w:r>
        <w:rPr>
          <w:rFonts w:hint="default"/>
          <w:highlight w:val="none"/>
        </w:rPr>
        <w:t>Cmax为</w:t>
      </w:r>
      <w:r>
        <w:rPr>
          <w:rFonts w:hint="eastAsia"/>
          <w:highlight w:val="none"/>
          <w:lang w:val="en-US" w:eastAsia="zh-CN"/>
        </w:rPr>
        <w:t>38.65</w:t>
      </w:r>
      <w:r>
        <w:rPr>
          <w:rFonts w:hint="default"/>
          <w:highlight w:val="none"/>
        </w:rPr>
        <w:t>mg/</w:t>
      </w:r>
      <w:r>
        <w:rPr>
          <w:rFonts w:hint="eastAsia"/>
          <w:highlight w:val="none"/>
          <w:lang w:eastAsia="zh-CN"/>
        </w:rPr>
        <w:t>m</w:t>
      </w:r>
      <w:r>
        <w:rPr>
          <w:rFonts w:hint="eastAsia"/>
          <w:highlight w:val="none"/>
          <w:vertAlign w:val="superscript"/>
          <w:lang w:eastAsia="zh-CN"/>
        </w:rPr>
        <w:t>3</w:t>
      </w:r>
      <w:r>
        <w:rPr>
          <w:rFonts w:hint="default"/>
          <w:highlight w:val="none"/>
        </w:rPr>
        <w:t>。估算模式已考虑了最不利的气象条件</w:t>
      </w:r>
      <w:r>
        <w:rPr>
          <w:rFonts w:hint="eastAsia"/>
          <w:highlight w:val="none"/>
          <w:lang w:eastAsia="zh-CN"/>
        </w:rPr>
        <w:t>，</w:t>
      </w:r>
      <w:r>
        <w:rPr>
          <w:rFonts w:hint="default"/>
          <w:highlight w:val="none"/>
        </w:rPr>
        <w:t>分析预测结果表明</w:t>
      </w:r>
      <w:r>
        <w:rPr>
          <w:rFonts w:hint="eastAsia"/>
          <w:highlight w:val="none"/>
          <w:lang w:eastAsia="zh-CN"/>
        </w:rPr>
        <w:t>，</w:t>
      </w:r>
      <w:r>
        <w:rPr>
          <w:rFonts w:hint="default"/>
          <w:highlight w:val="none"/>
        </w:rPr>
        <w:t>只要在采取相应抑尘措施后</w:t>
      </w:r>
      <w:r>
        <w:rPr>
          <w:rFonts w:hint="eastAsia"/>
          <w:highlight w:val="none"/>
          <w:lang w:eastAsia="zh-CN"/>
        </w:rPr>
        <w:t>，</w:t>
      </w:r>
      <w:r>
        <w:rPr>
          <w:rFonts w:hint="default"/>
          <w:highlight w:val="none"/>
        </w:rPr>
        <w:t>项目</w:t>
      </w:r>
      <w:r>
        <w:rPr>
          <w:rFonts w:hint="eastAsia"/>
          <w:highlight w:val="none"/>
          <w:lang w:val="en-US" w:eastAsia="zh-CN"/>
        </w:rPr>
        <w:t>各区域产生的</w:t>
      </w:r>
      <w:r>
        <w:rPr>
          <w:rFonts w:hint="default"/>
          <w:highlight w:val="none"/>
        </w:rPr>
        <w:t>颗粒物对周围大气环境质量影响较小。</w:t>
      </w:r>
    </w:p>
    <w:p w14:paraId="2C2799BC">
      <w:pPr>
        <w:pStyle w:val="41"/>
        <w:bidi w:val="0"/>
        <w:rPr>
          <w:rFonts w:hint="default"/>
          <w:highlight w:val="none"/>
        </w:rPr>
      </w:pPr>
      <w:r>
        <w:rPr>
          <w:rFonts w:hint="default"/>
          <w:highlight w:val="none"/>
        </w:rPr>
        <w:t>本项目</w:t>
      </w:r>
      <w:r>
        <w:rPr>
          <w:rFonts w:hint="eastAsia"/>
          <w:highlight w:val="none"/>
          <w:lang w:val="en-US" w:eastAsia="zh-CN"/>
        </w:rPr>
        <w:t>周围的</w:t>
      </w:r>
      <w:r>
        <w:rPr>
          <w:rFonts w:hint="default"/>
          <w:highlight w:val="none"/>
        </w:rPr>
        <w:t>环境空气保护目标</w:t>
      </w:r>
      <w:r>
        <w:rPr>
          <w:rFonts w:hint="eastAsia"/>
          <w:highlight w:val="none"/>
          <w:lang w:val="en-US" w:eastAsia="zh-CN"/>
        </w:rPr>
        <w:t>距离破碎站、露天采场</w:t>
      </w:r>
      <w:r>
        <w:rPr>
          <w:rFonts w:hint="default"/>
          <w:highlight w:val="none"/>
        </w:rPr>
        <w:t>距离较远</w:t>
      </w:r>
      <w:r>
        <w:rPr>
          <w:rFonts w:hint="eastAsia"/>
          <w:highlight w:val="none"/>
          <w:lang w:eastAsia="zh-CN"/>
        </w:rPr>
        <w:t>，</w:t>
      </w:r>
      <w:r>
        <w:rPr>
          <w:rFonts w:hint="default"/>
          <w:highlight w:val="none"/>
        </w:rPr>
        <w:t>且之间有山体、林地相隔</w:t>
      </w:r>
      <w:r>
        <w:rPr>
          <w:rFonts w:hint="eastAsia"/>
          <w:highlight w:val="none"/>
          <w:lang w:eastAsia="zh-CN"/>
        </w:rPr>
        <w:t>，</w:t>
      </w:r>
      <w:r>
        <w:rPr>
          <w:rFonts w:hint="default"/>
          <w:highlight w:val="none"/>
        </w:rPr>
        <w:t>项目产生的扬尘、粉尘无组织排放</w:t>
      </w:r>
      <w:r>
        <w:rPr>
          <w:rFonts w:hint="eastAsia"/>
          <w:highlight w:val="none"/>
          <w:lang w:eastAsia="zh-CN"/>
        </w:rPr>
        <w:t>，</w:t>
      </w:r>
      <w:r>
        <w:rPr>
          <w:rFonts w:hint="default"/>
          <w:highlight w:val="none"/>
        </w:rPr>
        <w:t>经自然沉降、阻隔后对</w:t>
      </w:r>
      <w:r>
        <w:rPr>
          <w:rFonts w:hint="eastAsia"/>
          <w:highlight w:val="none"/>
          <w:lang w:val="en-US" w:eastAsia="zh-CN"/>
        </w:rPr>
        <w:t>环境敏感目标</w:t>
      </w:r>
      <w:r>
        <w:rPr>
          <w:rFonts w:hint="default"/>
          <w:highlight w:val="none"/>
        </w:rPr>
        <w:t>影响较小。</w:t>
      </w:r>
    </w:p>
    <w:p w14:paraId="6FD4EE1E">
      <w:pPr>
        <w:pStyle w:val="5"/>
        <w:bidi w:val="0"/>
        <w:rPr>
          <w:rFonts w:hint="default"/>
          <w:color w:val="000000" w:themeColor="text1"/>
          <w:highlight w:val="none"/>
          <w14:textFill>
            <w14:solidFill>
              <w14:schemeClr w14:val="tx1"/>
            </w14:solidFill>
          </w14:textFill>
        </w:rPr>
      </w:pPr>
      <w:bookmarkStart w:id="436" w:name="7.1.2其他废气影响分析"/>
      <w:bookmarkEnd w:id="436"/>
      <w:bookmarkStart w:id="437" w:name="_bookmark110"/>
      <w:bookmarkEnd w:id="437"/>
      <w:r>
        <w:rPr>
          <w:rFonts w:hint="default"/>
          <w:color w:val="000000" w:themeColor="text1"/>
          <w:highlight w:val="none"/>
          <w14:textFill>
            <w14:solidFill>
              <w14:schemeClr w14:val="tx1"/>
            </w14:solidFill>
          </w14:textFill>
        </w:rPr>
        <w:t>其他废气影响分析</w:t>
      </w:r>
    </w:p>
    <w:p w14:paraId="7903D55E">
      <w:pPr>
        <w:pStyle w:val="41"/>
        <w:bidi w:val="0"/>
        <w:rPr>
          <w:rFonts w:hint="default"/>
        </w:rPr>
      </w:pPr>
      <w:r>
        <w:rPr>
          <w:rFonts w:hint="default"/>
        </w:rPr>
        <w:t>矿山开采过程除粉尘污染外</w:t>
      </w:r>
      <w:r>
        <w:rPr>
          <w:rFonts w:hint="eastAsia"/>
          <w:lang w:eastAsia="zh-CN"/>
        </w:rPr>
        <w:t>，</w:t>
      </w:r>
      <w:r>
        <w:rPr>
          <w:rFonts w:hint="default"/>
        </w:rPr>
        <w:t>还会产生少量的爆破废气</w:t>
      </w:r>
      <w:r>
        <w:rPr>
          <w:rFonts w:hint="eastAsia"/>
          <w:lang w:eastAsia="zh-CN"/>
        </w:rPr>
        <w:t>、</w:t>
      </w:r>
      <w:r>
        <w:rPr>
          <w:rFonts w:hint="default"/>
        </w:rPr>
        <w:t>机械车辆排放尾气</w:t>
      </w:r>
      <w:r>
        <w:rPr>
          <w:rFonts w:hint="eastAsia"/>
          <w:lang w:eastAsia="zh-CN"/>
        </w:rPr>
        <w:t>、</w:t>
      </w:r>
      <w:r>
        <w:rPr>
          <w:rFonts w:hint="eastAsia"/>
          <w:lang w:val="en-US" w:eastAsia="zh-CN"/>
        </w:rPr>
        <w:t>食堂油烟及少量污水处理产生的异味气体</w:t>
      </w:r>
      <w:r>
        <w:rPr>
          <w:rFonts w:hint="default"/>
        </w:rPr>
        <w:t>。</w:t>
      </w:r>
    </w:p>
    <w:p w14:paraId="1EFCF6E1">
      <w:pPr>
        <w:pStyle w:val="41"/>
        <w:bidi w:val="0"/>
        <w:rPr>
          <w:rFonts w:hint="default"/>
        </w:rPr>
      </w:pPr>
      <w:r>
        <w:rPr>
          <w:rFonts w:hint="default"/>
        </w:rPr>
        <w:t>①爆破废气</w:t>
      </w:r>
    </w:p>
    <w:p w14:paraId="629936C9">
      <w:pPr>
        <w:pStyle w:val="41"/>
        <w:bidi w:val="0"/>
        <w:rPr>
          <w:rFonts w:hint="default"/>
        </w:rPr>
      </w:pPr>
      <w:r>
        <w:rPr>
          <w:rFonts w:hint="default"/>
        </w:rPr>
        <w:t>项目矿山爆破时炮烟中有NOx、CO及水蒸气产生</w:t>
      </w:r>
      <w:r>
        <w:rPr>
          <w:rFonts w:hint="eastAsia"/>
          <w:lang w:eastAsia="zh-CN"/>
        </w:rPr>
        <w:t>，</w:t>
      </w:r>
      <w:r>
        <w:rPr>
          <w:rFonts w:hint="default"/>
        </w:rPr>
        <w:t>根据工程分析</w:t>
      </w:r>
      <w:r>
        <w:rPr>
          <w:rFonts w:hint="eastAsia"/>
          <w:lang w:eastAsia="zh-CN"/>
        </w:rPr>
        <w:t>，</w:t>
      </w:r>
      <w:r>
        <w:rPr>
          <w:rFonts w:hint="default"/>
        </w:rPr>
        <w:t>本项目</w:t>
      </w:r>
      <w:r>
        <w:rPr>
          <w:rFonts w:hint="eastAsia"/>
          <w:lang w:val="en-US" w:eastAsia="zh-CN"/>
        </w:rPr>
        <w:t>采场</w:t>
      </w:r>
      <w:r>
        <w:rPr>
          <w:rFonts w:hint="default"/>
        </w:rPr>
        <w:t>爆破采用</w:t>
      </w:r>
      <w:r>
        <w:rPr>
          <w:rFonts w:hint="eastAsia"/>
          <w:lang w:val="en-US" w:eastAsia="zh-CN"/>
        </w:rPr>
        <w:t>钻孔</w:t>
      </w:r>
      <w:r>
        <w:rPr>
          <w:rFonts w:hint="default"/>
        </w:rPr>
        <w:t>爆破</w:t>
      </w:r>
      <w:r>
        <w:rPr>
          <w:rFonts w:hint="eastAsia"/>
          <w:lang w:eastAsia="zh-CN"/>
        </w:rPr>
        <w:t>，</w:t>
      </w:r>
      <w:r>
        <w:rPr>
          <w:rFonts w:hint="default"/>
        </w:rPr>
        <w:t>钻孔过程为湿式钻孔</w:t>
      </w:r>
      <w:r>
        <w:rPr>
          <w:rFonts w:hint="eastAsia"/>
          <w:lang w:eastAsia="zh-CN"/>
        </w:rPr>
        <w:t>，</w:t>
      </w:r>
      <w:r>
        <w:rPr>
          <w:rFonts w:hint="default"/>
        </w:rPr>
        <w:t>以增加岩矿的湿度。项目爆破频次为1次/周</w:t>
      </w:r>
      <w:r>
        <w:rPr>
          <w:rFonts w:hint="eastAsia"/>
          <w:lang w:eastAsia="zh-CN"/>
        </w:rPr>
        <w:t>，</w:t>
      </w:r>
      <w:r>
        <w:rPr>
          <w:rFonts w:hint="default"/>
        </w:rPr>
        <w:t>采用乳化炸药</w:t>
      </w:r>
      <w:r>
        <w:rPr>
          <w:rFonts w:hint="eastAsia"/>
          <w:lang w:eastAsia="zh-CN"/>
        </w:rPr>
        <w:t>，产生</w:t>
      </w:r>
      <w:r>
        <w:rPr>
          <w:rFonts w:hint="default"/>
        </w:rPr>
        <w:t>的粉尘和NOx、CO较少。</w:t>
      </w:r>
      <w:r>
        <w:rPr>
          <w:rFonts w:hint="eastAsia"/>
          <w:lang w:val="en-US" w:eastAsia="zh-CN"/>
        </w:rPr>
        <w:t>爆破后及时采用雾炮机进行洒水降尘，且</w:t>
      </w:r>
      <w:r>
        <w:rPr>
          <w:rFonts w:hint="default"/>
        </w:rPr>
        <w:t>项目</w:t>
      </w:r>
      <w:r>
        <w:rPr>
          <w:rFonts w:hint="eastAsia"/>
          <w:lang w:val="en-US" w:eastAsia="zh-CN"/>
        </w:rPr>
        <w:t>矿区</w:t>
      </w:r>
      <w:r>
        <w:rPr>
          <w:rFonts w:hint="default"/>
        </w:rPr>
        <w:t>空气自然流通较好</w:t>
      </w:r>
      <w:r>
        <w:rPr>
          <w:rFonts w:hint="eastAsia"/>
          <w:lang w:eastAsia="zh-CN"/>
        </w:rPr>
        <w:t>，</w:t>
      </w:r>
      <w:r>
        <w:rPr>
          <w:rFonts w:hint="default"/>
        </w:rPr>
        <w:t>爆破废气</w:t>
      </w:r>
      <w:r>
        <w:rPr>
          <w:rFonts w:hint="eastAsia"/>
          <w:lang w:val="en-US" w:eastAsia="zh-CN"/>
        </w:rPr>
        <w:t>经洒水降尘、大气稀释扩散</w:t>
      </w:r>
      <w:r>
        <w:rPr>
          <w:rFonts w:hint="default"/>
        </w:rPr>
        <w:t>后对周围环境影响</w:t>
      </w:r>
      <w:r>
        <w:rPr>
          <w:rFonts w:hint="eastAsia"/>
          <w:lang w:val="en-US" w:eastAsia="zh-CN"/>
        </w:rPr>
        <w:t>较小</w:t>
      </w:r>
      <w:r>
        <w:rPr>
          <w:rFonts w:hint="default"/>
        </w:rPr>
        <w:t>。</w:t>
      </w:r>
    </w:p>
    <w:p w14:paraId="4B229815">
      <w:pPr>
        <w:pStyle w:val="41"/>
        <w:bidi w:val="0"/>
        <w:rPr>
          <w:rFonts w:hint="default"/>
        </w:rPr>
      </w:pPr>
      <w:r>
        <w:rPr>
          <w:rFonts w:hint="default"/>
        </w:rPr>
        <w:t>②汽车尾气</w:t>
      </w:r>
    </w:p>
    <w:p w14:paraId="065F5D53">
      <w:pPr>
        <w:pStyle w:val="41"/>
        <w:bidi w:val="0"/>
        <w:rPr>
          <w:rFonts w:hint="default"/>
        </w:rPr>
      </w:pPr>
      <w:r>
        <w:rPr>
          <w:rFonts w:hint="default"/>
        </w:rPr>
        <w:t>此外运输车辆及挖机产生的尾气中主要污染物为CO、NOx、碳氢化合物等。由于排放量不大</w:t>
      </w:r>
      <w:r>
        <w:rPr>
          <w:rFonts w:hint="eastAsia"/>
          <w:lang w:eastAsia="zh-CN"/>
        </w:rPr>
        <w:t>，</w:t>
      </w:r>
      <w:r>
        <w:rPr>
          <w:rFonts w:hint="default"/>
        </w:rPr>
        <w:t>且项目作业范围相对较大</w:t>
      </w:r>
      <w:r>
        <w:rPr>
          <w:rFonts w:hint="eastAsia"/>
          <w:lang w:eastAsia="zh-CN"/>
        </w:rPr>
        <w:t>，</w:t>
      </w:r>
      <w:r>
        <w:rPr>
          <w:rFonts w:hint="default"/>
        </w:rPr>
        <w:t>大气环境容量大</w:t>
      </w:r>
      <w:r>
        <w:rPr>
          <w:rFonts w:hint="eastAsia"/>
          <w:lang w:eastAsia="zh-CN"/>
        </w:rPr>
        <w:t>，</w:t>
      </w:r>
      <w:r>
        <w:rPr>
          <w:rFonts w:hint="default"/>
        </w:rPr>
        <w:t>周围扩散较好</w:t>
      </w:r>
      <w:r>
        <w:rPr>
          <w:rFonts w:hint="eastAsia"/>
          <w:lang w:eastAsia="zh-CN"/>
        </w:rPr>
        <w:t>，</w:t>
      </w:r>
      <w:r>
        <w:rPr>
          <w:rFonts w:hint="default"/>
        </w:rPr>
        <w:t>在空气环境中</w:t>
      </w:r>
      <w:r>
        <w:rPr>
          <w:rFonts w:hint="eastAsia"/>
          <w:lang w:eastAsia="zh-CN"/>
        </w:rPr>
        <w:t>经过</w:t>
      </w:r>
      <w:r>
        <w:rPr>
          <w:rFonts w:hint="default"/>
        </w:rPr>
        <w:t>一定的距离自然扩散降解后</w:t>
      </w:r>
      <w:r>
        <w:rPr>
          <w:rFonts w:hint="eastAsia"/>
          <w:lang w:eastAsia="zh-CN"/>
        </w:rPr>
        <w:t>，</w:t>
      </w:r>
      <w:r>
        <w:rPr>
          <w:rFonts w:hint="default"/>
        </w:rPr>
        <w:t>对评价区域空气质量影响</w:t>
      </w:r>
      <w:r>
        <w:rPr>
          <w:rFonts w:hint="eastAsia"/>
          <w:lang w:val="en-US" w:eastAsia="zh-CN"/>
        </w:rPr>
        <w:t>较小</w:t>
      </w:r>
      <w:r>
        <w:rPr>
          <w:rFonts w:hint="default"/>
        </w:rPr>
        <w:t>。</w:t>
      </w:r>
    </w:p>
    <w:p w14:paraId="43875631">
      <w:pPr>
        <w:pStyle w:val="41"/>
        <w:bidi w:val="0"/>
        <w:rPr>
          <w:rFonts w:hint="default"/>
          <w:lang w:val="en-US" w:eastAsia="zh-CN"/>
        </w:rPr>
      </w:pPr>
      <w:r>
        <w:rPr>
          <w:rFonts w:hint="eastAsia"/>
          <w:lang w:val="en-US" w:eastAsia="zh-CN"/>
        </w:rPr>
        <w:t>③异味</w:t>
      </w:r>
    </w:p>
    <w:p w14:paraId="747FB248">
      <w:pPr>
        <w:pStyle w:val="41"/>
        <w:bidi w:val="0"/>
        <w:rPr>
          <w:rFonts w:hint="default"/>
          <w:highlight w:val="none"/>
          <w:lang w:val="en-US"/>
        </w:rPr>
      </w:pPr>
      <w:r>
        <w:rPr>
          <w:rFonts w:hint="default"/>
          <w:highlight w:val="none"/>
          <w:lang w:val="en-US" w:eastAsia="zh-CN"/>
        </w:rPr>
        <w:t>项目</w:t>
      </w:r>
      <w:r>
        <w:rPr>
          <w:rFonts w:hint="eastAsia"/>
          <w:highlight w:val="none"/>
          <w:lang w:val="en-US" w:eastAsia="zh-CN"/>
        </w:rPr>
        <w:t>粪便收集池、垃圾桶</w:t>
      </w:r>
      <w:r>
        <w:rPr>
          <w:rFonts w:hint="default"/>
          <w:highlight w:val="none"/>
          <w:lang w:val="en-US" w:eastAsia="zh-CN"/>
        </w:rPr>
        <w:t>运行过程会产生少量的恶臭气体（主要为臭气浓度），以无组织的方式排入周围大气环境中。产生异味较少，通过及时清掏</w:t>
      </w:r>
      <w:r>
        <w:rPr>
          <w:rFonts w:hint="eastAsia"/>
          <w:highlight w:val="none"/>
          <w:lang w:val="en-US" w:eastAsia="zh-CN"/>
        </w:rPr>
        <w:t>粪污收集池</w:t>
      </w:r>
      <w:r>
        <w:rPr>
          <w:rFonts w:hint="default"/>
          <w:highlight w:val="none"/>
          <w:lang w:val="en-US" w:eastAsia="zh-CN"/>
        </w:rPr>
        <w:t>、</w:t>
      </w:r>
      <w:r>
        <w:rPr>
          <w:rFonts w:hint="eastAsia"/>
          <w:highlight w:val="none"/>
          <w:lang w:val="en-US" w:eastAsia="zh-CN"/>
        </w:rPr>
        <w:t>及时清运生活垃圾</w:t>
      </w:r>
      <w:r>
        <w:rPr>
          <w:rFonts w:hint="default"/>
          <w:highlight w:val="none"/>
          <w:lang w:val="en-US" w:eastAsia="zh-CN"/>
        </w:rPr>
        <w:t>后可减少恶臭气体的产生及排放</w:t>
      </w:r>
      <w:r>
        <w:rPr>
          <w:rFonts w:hint="eastAsia"/>
          <w:highlight w:val="none"/>
          <w:lang w:val="en-US" w:eastAsia="zh-CN"/>
        </w:rPr>
        <w:t>。生活区空气自然流通较好，场地开阔，且四周植被丰富，经大气稀释、植被吸收净化后异味对环境空气影响可接受。</w:t>
      </w:r>
    </w:p>
    <w:p w14:paraId="3220F244">
      <w:pPr>
        <w:pStyle w:val="5"/>
        <w:bidi w:val="0"/>
        <w:rPr>
          <w:rFonts w:hint="default"/>
          <w:color w:val="000000" w:themeColor="text1"/>
          <w:highlight w:val="none"/>
          <w14:textFill>
            <w14:solidFill>
              <w14:schemeClr w14:val="tx1"/>
            </w14:solidFill>
          </w14:textFill>
        </w:rPr>
      </w:pPr>
      <w:bookmarkStart w:id="438" w:name="_bookmark111"/>
      <w:bookmarkEnd w:id="438"/>
      <w:bookmarkStart w:id="439" w:name="7.1.3大气防护距离计算"/>
      <w:bookmarkEnd w:id="439"/>
      <w:r>
        <w:rPr>
          <w:rFonts w:hint="default"/>
          <w:color w:val="000000" w:themeColor="text1"/>
          <w:highlight w:val="none"/>
          <w14:textFill>
            <w14:solidFill>
              <w14:schemeClr w14:val="tx1"/>
            </w14:solidFill>
          </w14:textFill>
        </w:rPr>
        <w:t>大气防护距离计算</w:t>
      </w:r>
    </w:p>
    <w:p w14:paraId="2F0FAB42">
      <w:pPr>
        <w:pStyle w:val="41"/>
        <w:bidi w:val="0"/>
        <w:rPr>
          <w:rFonts w:hint="default"/>
        </w:rPr>
      </w:pPr>
      <w:r>
        <w:rPr>
          <w:rFonts w:hint="default"/>
        </w:rPr>
        <w:t>本项目大气评价等级定为二级</w:t>
      </w:r>
      <w:r>
        <w:rPr>
          <w:rFonts w:hint="eastAsia"/>
          <w:lang w:eastAsia="zh-CN"/>
        </w:rPr>
        <w:t>，</w:t>
      </w:r>
      <w:r>
        <w:rPr>
          <w:rFonts w:hint="default"/>
        </w:rPr>
        <w:t>按照</w:t>
      </w:r>
      <w:r>
        <w:rPr>
          <w:rFonts w:hint="eastAsia"/>
          <w:lang w:eastAsia="zh-CN"/>
        </w:rPr>
        <w:t>《</w:t>
      </w:r>
      <w:r>
        <w:rPr>
          <w:rFonts w:hint="default"/>
        </w:rPr>
        <w:t>环境影响评价技术导则大气环境》（HJ2.2-2018）规定要求</w:t>
      </w:r>
      <w:r>
        <w:rPr>
          <w:rFonts w:hint="eastAsia"/>
          <w:lang w:eastAsia="zh-CN"/>
        </w:rPr>
        <w:t>，</w:t>
      </w:r>
      <w:r>
        <w:rPr>
          <w:rFonts w:hint="default"/>
        </w:rPr>
        <w:t>本项目厂界无组织排放的TSP浓度值均达到环境空气质量标准》</w:t>
      </w:r>
      <w:r>
        <w:rPr>
          <w:rFonts w:hint="default"/>
          <w:lang w:eastAsia="zh-CN"/>
        </w:rPr>
        <w:t>（</w:t>
      </w:r>
      <w:r>
        <w:rPr>
          <w:rFonts w:hint="default"/>
        </w:rPr>
        <w:t>GB3095-</w:t>
      </w:r>
      <w:r>
        <w:rPr>
          <w:rFonts w:hint="eastAsia"/>
          <w:lang w:eastAsia="zh-CN"/>
        </w:rPr>
        <w:t>2026</w:t>
      </w:r>
      <w:r>
        <w:rPr>
          <w:rFonts w:hint="default"/>
          <w:lang w:val="en-US" w:eastAsia="zh-CN"/>
        </w:rPr>
        <w:t>）</w:t>
      </w:r>
      <w:r>
        <w:rPr>
          <w:rFonts w:hint="eastAsia"/>
          <w:lang w:val="en-US" w:eastAsia="zh-CN"/>
        </w:rPr>
        <w:t>过渡阶段</w:t>
      </w:r>
      <w:r>
        <w:rPr>
          <w:rFonts w:hint="default"/>
          <w:lang w:val="en-US" w:eastAsia="zh-CN"/>
        </w:rPr>
        <w:t>浓度限值</w:t>
      </w:r>
      <w:r>
        <w:rPr>
          <w:rFonts w:hint="eastAsia"/>
          <w:lang w:eastAsia="zh-CN"/>
        </w:rPr>
        <w:t>，</w:t>
      </w:r>
      <w:r>
        <w:rPr>
          <w:rFonts w:hint="default"/>
        </w:rPr>
        <w:t>故无需计算大气环境防护距离</w:t>
      </w:r>
      <w:r>
        <w:rPr>
          <w:rFonts w:hint="eastAsia"/>
          <w:lang w:eastAsia="zh-CN"/>
        </w:rPr>
        <w:t>，</w:t>
      </w:r>
      <w:r>
        <w:rPr>
          <w:rFonts w:hint="default"/>
        </w:rPr>
        <w:t>无需设置大气环境防护区域。</w:t>
      </w:r>
    </w:p>
    <w:p w14:paraId="56B4F89A">
      <w:pPr>
        <w:pStyle w:val="5"/>
        <w:bidi w:val="0"/>
        <w:rPr>
          <w:rFonts w:hint="default"/>
          <w:color w:val="000000" w:themeColor="text1"/>
          <w:highlight w:val="none"/>
          <w14:textFill>
            <w14:solidFill>
              <w14:schemeClr w14:val="tx1"/>
            </w14:solidFill>
          </w14:textFill>
        </w:rPr>
      </w:pPr>
      <w:r>
        <w:rPr>
          <w:rFonts w:hint="default"/>
          <w:color w:val="000000" w:themeColor="text1"/>
          <w:highlight w:val="none"/>
          <w14:textFill>
            <w14:solidFill>
              <w14:schemeClr w14:val="tx1"/>
            </w14:solidFill>
          </w14:textFill>
        </w:rPr>
        <w:t>大气环境影响评价结论</w:t>
      </w:r>
    </w:p>
    <w:p w14:paraId="47C78CB3">
      <w:pPr>
        <w:pStyle w:val="41"/>
        <w:bidi w:val="0"/>
        <w:rPr>
          <w:rFonts w:hint="default"/>
          <w:lang w:eastAsia="zh-CN"/>
        </w:rPr>
      </w:pPr>
      <w:r>
        <w:rPr>
          <w:rFonts w:hint="default"/>
        </w:rPr>
        <w:t>经估算模式计算</w:t>
      </w:r>
      <w:r>
        <w:rPr>
          <w:rFonts w:hint="eastAsia"/>
          <w:lang w:eastAsia="zh-CN"/>
        </w:rPr>
        <w:t>，</w:t>
      </w:r>
      <w:r>
        <w:rPr>
          <w:rFonts w:hint="default"/>
        </w:rPr>
        <w:t>项目产生的扬尘、粉尘在采取环评提出措施后</w:t>
      </w:r>
      <w:r>
        <w:rPr>
          <w:rFonts w:hint="eastAsia"/>
          <w:lang w:eastAsia="zh-CN"/>
        </w:rPr>
        <w:t>，</w:t>
      </w:r>
      <w:r>
        <w:rPr>
          <w:rFonts w:hint="default"/>
        </w:rPr>
        <w:t>项目运营期厂界TSP的预测值满足《大气污染物综合排放标准》（GB 16297-1996）表2无组织排放监测浓度限值要求。</w:t>
      </w:r>
      <w:r>
        <w:rPr>
          <w:rFonts w:hint="eastAsia"/>
          <w:lang w:val="en-US" w:eastAsia="zh-CN"/>
        </w:rPr>
        <w:t>项目</w:t>
      </w:r>
      <w:r>
        <w:rPr>
          <w:rFonts w:hint="default"/>
        </w:rPr>
        <w:t>周围的大气环境敏感点距离较远</w:t>
      </w:r>
      <w:r>
        <w:rPr>
          <w:rFonts w:hint="eastAsia"/>
          <w:lang w:eastAsia="zh-CN"/>
        </w:rPr>
        <w:t>，</w:t>
      </w:r>
      <w:r>
        <w:rPr>
          <w:rFonts w:hint="default"/>
        </w:rPr>
        <w:t>之间有山体、林地相隔</w:t>
      </w:r>
      <w:r>
        <w:rPr>
          <w:rFonts w:hint="eastAsia"/>
          <w:lang w:eastAsia="zh-CN"/>
        </w:rPr>
        <w:t>，</w:t>
      </w:r>
      <w:r>
        <w:rPr>
          <w:rFonts w:hint="default"/>
        </w:rPr>
        <w:t>项目扬尘、粉尘对其影响不大。本项目无需设置大气环境防护区域。</w:t>
      </w:r>
      <w:r>
        <w:rPr>
          <w:rFonts w:hint="eastAsia"/>
          <w:lang w:val="en-US" w:eastAsia="zh-CN"/>
        </w:rPr>
        <w:t>爆破废气、机械燃油废气、厂区异味等排放量较小，经大气稀释扩散后对周围环境影响较小。</w:t>
      </w:r>
      <w:r>
        <w:rPr>
          <w:rFonts w:hint="default"/>
        </w:rPr>
        <w:t>综上所述</w:t>
      </w:r>
      <w:r>
        <w:rPr>
          <w:rFonts w:hint="eastAsia"/>
          <w:lang w:eastAsia="zh-CN"/>
        </w:rPr>
        <w:t>，</w:t>
      </w:r>
      <w:r>
        <w:rPr>
          <w:rFonts w:hint="default"/>
        </w:rPr>
        <w:t>项目运营期排放的大气污染物在采取本评价所提措施处理后对项目周围环境</w:t>
      </w:r>
      <w:r>
        <w:rPr>
          <w:rFonts w:hint="eastAsia"/>
          <w:lang w:val="en-US" w:eastAsia="zh-CN"/>
        </w:rPr>
        <w:t>空气</w:t>
      </w:r>
      <w:r>
        <w:rPr>
          <w:rFonts w:hint="default"/>
        </w:rPr>
        <w:t>影响</w:t>
      </w:r>
      <w:r>
        <w:rPr>
          <w:rFonts w:hint="eastAsia"/>
          <w:lang w:val="en-US" w:eastAsia="zh-CN"/>
        </w:rPr>
        <w:t>可接受</w:t>
      </w:r>
      <w:r>
        <w:rPr>
          <w:rFonts w:hint="default"/>
        </w:rPr>
        <w:t>。</w:t>
      </w:r>
    </w:p>
    <w:p w14:paraId="56581D14">
      <w:pPr>
        <w:pStyle w:val="3"/>
        <w:bidi w:val="0"/>
        <w:rPr>
          <w:rFonts w:hint="default" w:ascii="Times New Roman" w:hAnsi="Times New Roman" w:cs="Times New Roman"/>
          <w:color w:val="000000" w:themeColor="text1"/>
          <w:highlight w:val="none"/>
          <w14:textFill>
            <w14:solidFill>
              <w14:schemeClr w14:val="tx1"/>
            </w14:solidFill>
          </w14:textFill>
        </w:rPr>
      </w:pPr>
      <w:bookmarkStart w:id="440" w:name="_Toc20387"/>
      <w:r>
        <w:rPr>
          <w:rFonts w:hint="default" w:ascii="Times New Roman" w:hAnsi="Times New Roman" w:cs="Times New Roman"/>
          <w:color w:val="000000" w:themeColor="text1"/>
          <w:highlight w:val="none"/>
          <w:lang w:val="en-US" w:eastAsia="zh-CN"/>
          <w14:textFill>
            <w14:solidFill>
              <w14:schemeClr w14:val="tx1"/>
            </w14:solidFill>
          </w14:textFill>
        </w:rPr>
        <w:t>地表</w:t>
      </w:r>
      <w:r>
        <w:rPr>
          <w:rFonts w:hint="default" w:ascii="Times New Roman" w:hAnsi="Times New Roman" w:cs="Times New Roman"/>
          <w:color w:val="000000" w:themeColor="text1"/>
          <w:highlight w:val="none"/>
          <w14:textFill>
            <w14:solidFill>
              <w14:schemeClr w14:val="tx1"/>
            </w14:solidFill>
          </w14:textFill>
        </w:rPr>
        <w:t>水环境影响</w:t>
      </w:r>
      <w:r>
        <w:rPr>
          <w:rFonts w:hint="eastAsia" w:cs="Times New Roman"/>
          <w:color w:val="000000" w:themeColor="text1"/>
          <w:highlight w:val="none"/>
          <w:lang w:val="en-US" w:eastAsia="zh-CN"/>
          <w14:textFill>
            <w14:solidFill>
              <w14:schemeClr w14:val="tx1"/>
            </w14:solidFill>
          </w14:textFill>
        </w:rPr>
        <w:t>分析与</w:t>
      </w:r>
      <w:r>
        <w:rPr>
          <w:rFonts w:hint="default" w:ascii="Times New Roman" w:hAnsi="Times New Roman" w:cs="Times New Roman"/>
          <w:color w:val="000000" w:themeColor="text1"/>
          <w:highlight w:val="none"/>
          <w14:textFill>
            <w14:solidFill>
              <w14:schemeClr w14:val="tx1"/>
            </w14:solidFill>
          </w14:textFill>
        </w:rPr>
        <w:t>评价</w:t>
      </w:r>
      <w:bookmarkEnd w:id="440"/>
    </w:p>
    <w:p w14:paraId="48E0B963">
      <w:pPr>
        <w:pStyle w:val="4"/>
        <w:bidi w:val="0"/>
        <w:rPr>
          <w:rFonts w:hint="default" w:ascii="Times New Roman" w:hAnsi="Times New Roman" w:cs="Times New Roman"/>
          <w:color w:val="000000" w:themeColor="text1"/>
          <w:highlight w:val="none"/>
          <w:lang w:val="en-US" w:eastAsia="zh-CN"/>
          <w14:textFill>
            <w14:solidFill>
              <w14:schemeClr w14:val="tx1"/>
            </w14:solidFill>
          </w14:textFill>
        </w:rPr>
      </w:pPr>
      <w:bookmarkStart w:id="441" w:name="_Toc185"/>
      <w:bookmarkStart w:id="442" w:name="_Toc31758"/>
      <w:r>
        <w:rPr>
          <w:rFonts w:hint="default" w:ascii="Times New Roman" w:hAnsi="Times New Roman" w:cs="Times New Roman"/>
          <w:color w:val="000000" w:themeColor="text1"/>
          <w:highlight w:val="none"/>
          <w:lang w:val="en-US" w:eastAsia="zh-CN"/>
          <w14:textFill>
            <w14:solidFill>
              <w14:schemeClr w14:val="tx1"/>
            </w14:solidFill>
          </w14:textFill>
        </w:rPr>
        <w:t>施工期地表水环境影响分析</w:t>
      </w:r>
      <w:bookmarkEnd w:id="441"/>
      <w:bookmarkEnd w:id="442"/>
    </w:p>
    <w:p w14:paraId="58A29D03">
      <w:pPr>
        <w:pStyle w:val="41"/>
        <w:bidi w:val="0"/>
      </w:pPr>
      <w:r>
        <w:t>项目不设施工营地，主要施工内容为</w:t>
      </w:r>
      <w:r>
        <w:rPr>
          <w:rFonts w:hint="eastAsia"/>
        </w:rPr>
        <w:t>设备拆除及安装，基本不涉及施工废水。</w:t>
      </w:r>
    </w:p>
    <w:p w14:paraId="2CDFB882">
      <w:pPr>
        <w:pStyle w:val="41"/>
        <w:ind w:firstLine="480"/>
        <w:rPr>
          <w:rFonts w:hint="default" w:eastAsia="宋体"/>
          <w:color w:val="auto"/>
          <w:highlight w:val="none"/>
          <w:lang w:val="en-US" w:eastAsia="zh-CN"/>
        </w:rPr>
      </w:pPr>
      <w:bookmarkStart w:id="443" w:name="_Toc27243"/>
      <w:bookmarkStart w:id="444" w:name="_Toc8147"/>
      <w:r>
        <w:rPr>
          <w:rFonts w:hint="eastAsia"/>
          <w:color w:val="auto"/>
          <w:highlight w:val="none"/>
        </w:rPr>
        <w:t>施工</w:t>
      </w:r>
      <w:r>
        <w:rPr>
          <w:color w:val="auto"/>
          <w:highlight w:val="none"/>
        </w:rPr>
        <w:t>人员</w:t>
      </w:r>
      <w:r>
        <w:rPr>
          <w:rFonts w:hint="eastAsia"/>
          <w:color w:val="auto"/>
          <w:highlight w:val="none"/>
        </w:rPr>
        <w:t>产生的生活污水经</w:t>
      </w:r>
      <w:r>
        <w:rPr>
          <w:rFonts w:hint="eastAsia"/>
          <w:color w:val="auto"/>
          <w:highlight w:val="none"/>
          <w:lang w:val="en-US" w:eastAsia="zh-CN"/>
        </w:rPr>
        <w:t>办公区</w:t>
      </w:r>
      <w:r>
        <w:rPr>
          <w:rFonts w:hint="eastAsia"/>
          <w:color w:val="auto"/>
          <w:highlight w:val="none"/>
        </w:rPr>
        <w:t>内已</w:t>
      </w:r>
      <w:r>
        <w:rPr>
          <w:rFonts w:hint="eastAsia"/>
          <w:color w:val="auto"/>
          <w:highlight w:val="none"/>
          <w:lang w:val="en-US" w:eastAsia="zh-CN"/>
        </w:rPr>
        <w:t>配套</w:t>
      </w:r>
      <w:r>
        <w:rPr>
          <w:rFonts w:hint="eastAsia"/>
          <w:color w:val="auto"/>
          <w:highlight w:val="none"/>
        </w:rPr>
        <w:t>建设的卫生间、</w:t>
      </w:r>
      <w:r>
        <w:rPr>
          <w:rFonts w:hint="eastAsia"/>
          <w:color w:val="auto"/>
          <w:highlight w:val="none"/>
          <w:lang w:eastAsia="zh-CN"/>
        </w:rPr>
        <w:t>粪污收集池</w:t>
      </w:r>
      <w:r>
        <w:rPr>
          <w:rFonts w:hint="eastAsia"/>
          <w:color w:val="auto"/>
          <w:highlight w:val="none"/>
          <w:lang w:val="en-US" w:eastAsia="zh-CN"/>
        </w:rPr>
        <w:t>收集后周边农户定期清掏做农肥，</w:t>
      </w:r>
      <w:r>
        <w:rPr>
          <w:rFonts w:hint="eastAsia"/>
          <w:color w:val="auto"/>
          <w:highlight w:val="none"/>
        </w:rPr>
        <w:t>不直接外排。</w:t>
      </w:r>
      <w:r>
        <w:rPr>
          <w:rFonts w:hint="eastAsia"/>
          <w:color w:val="auto"/>
          <w:highlight w:val="none"/>
          <w:lang w:val="en-US" w:eastAsia="zh-CN"/>
        </w:rPr>
        <w:t>项目施工对周边地表水基本无影响。</w:t>
      </w:r>
    </w:p>
    <w:p w14:paraId="1C11DD66">
      <w:pPr>
        <w:pStyle w:val="4"/>
        <w:keepNext/>
        <w:pageBreakBefore w:val="0"/>
        <w:kinsoku/>
        <w:wordWrap/>
        <w:overflowPunct/>
        <w:topLinePunct w:val="0"/>
        <w:autoSpaceDE/>
        <w:autoSpaceDN/>
        <w:bidi w:val="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运营期地表水环境影响分析</w:t>
      </w:r>
      <w:bookmarkEnd w:id="443"/>
      <w:bookmarkEnd w:id="444"/>
    </w:p>
    <w:p w14:paraId="05F25D46">
      <w:pPr>
        <w:pStyle w:val="41"/>
        <w:bidi w:val="0"/>
        <w:rPr>
          <w:rFonts w:hint="default"/>
          <w:lang w:val="en-US" w:eastAsia="zh-CN"/>
        </w:rPr>
      </w:pPr>
      <w:r>
        <w:rPr>
          <w:rFonts w:hint="eastAsia"/>
          <w:lang w:val="en-US" w:eastAsia="zh-CN"/>
        </w:rPr>
        <w:t>项目年用水量为</w:t>
      </w:r>
      <w:r>
        <w:rPr>
          <w:rFonts w:hint="default"/>
          <w:lang w:val="en-US" w:eastAsia="zh-CN"/>
        </w:rPr>
        <w:t>18706</w:t>
      </w:r>
      <w:r>
        <w:rPr>
          <w:rFonts w:hint="eastAsia"/>
          <w:lang w:val="en-US" w:eastAsia="zh-CN"/>
        </w:rPr>
        <w:t>m</w:t>
      </w:r>
      <w:r>
        <w:rPr>
          <w:rFonts w:hint="eastAsia"/>
          <w:vertAlign w:val="superscript"/>
          <w:lang w:val="en-US" w:eastAsia="zh-CN"/>
        </w:rPr>
        <w:t>3</w:t>
      </w:r>
      <w:r>
        <w:rPr>
          <w:rFonts w:hint="eastAsia"/>
          <w:lang w:val="en-US" w:eastAsia="zh-CN"/>
        </w:rPr>
        <w:t>/a，其中2569.5m</w:t>
      </w:r>
      <w:r>
        <w:rPr>
          <w:rFonts w:hint="eastAsia"/>
          <w:vertAlign w:val="superscript"/>
          <w:lang w:val="en-US" w:eastAsia="zh-CN"/>
        </w:rPr>
        <w:t>3</w:t>
      </w:r>
      <w:r>
        <w:rPr>
          <w:rFonts w:hint="eastAsia"/>
          <w:lang w:val="en-US" w:eastAsia="zh-CN"/>
        </w:rPr>
        <w:t>/a为初期雨水回用，年用新鲜水16136.5m</w:t>
      </w:r>
      <w:r>
        <w:rPr>
          <w:rFonts w:hint="eastAsia"/>
          <w:vertAlign w:val="superscript"/>
          <w:lang w:val="en-US" w:eastAsia="zh-CN"/>
        </w:rPr>
        <w:t>3</w:t>
      </w:r>
      <w:r>
        <w:rPr>
          <w:rFonts w:hint="eastAsia"/>
          <w:lang w:val="en-US" w:eastAsia="zh-CN"/>
        </w:rPr>
        <w:t>/a，项目用水主要为降尘用水，年用水量为</w:t>
      </w:r>
      <w:r>
        <w:rPr>
          <w:rFonts w:hint="default"/>
          <w:lang w:val="en-US" w:eastAsia="zh-CN"/>
        </w:rPr>
        <w:t>18538</w:t>
      </w:r>
      <w:r>
        <w:rPr>
          <w:rFonts w:hint="eastAsia"/>
          <w:lang w:val="en-US" w:eastAsia="zh-CN"/>
        </w:rPr>
        <w:t>m</w:t>
      </w:r>
      <w:r>
        <w:rPr>
          <w:rFonts w:hint="eastAsia"/>
          <w:vertAlign w:val="superscript"/>
          <w:lang w:val="en-US" w:eastAsia="zh-CN"/>
        </w:rPr>
        <w:t>3</w:t>
      </w:r>
      <w:r>
        <w:rPr>
          <w:rFonts w:hint="eastAsia"/>
          <w:lang w:val="en-US" w:eastAsia="zh-CN"/>
        </w:rPr>
        <w:t>/a，全部蒸发损耗无外排。生活用水量168m</w:t>
      </w:r>
      <w:r>
        <w:rPr>
          <w:rFonts w:hint="eastAsia"/>
          <w:vertAlign w:val="superscript"/>
          <w:lang w:val="en-US" w:eastAsia="zh-CN"/>
        </w:rPr>
        <w:t>3</w:t>
      </w:r>
      <w:r>
        <w:rPr>
          <w:rFonts w:hint="eastAsia"/>
          <w:lang w:val="en-US" w:eastAsia="zh-CN"/>
        </w:rPr>
        <w:t>/a，废水产生量</w:t>
      </w:r>
      <w:r>
        <w:rPr>
          <w:rFonts w:hint="default"/>
          <w:lang w:val="en-US" w:eastAsia="zh-CN"/>
        </w:rPr>
        <w:t>134.4</w:t>
      </w:r>
      <w:r>
        <w:rPr>
          <w:rFonts w:hint="eastAsia"/>
          <w:lang w:val="en-US" w:eastAsia="zh-CN"/>
        </w:rPr>
        <w:t>m</w:t>
      </w:r>
      <w:r>
        <w:rPr>
          <w:rFonts w:hint="eastAsia"/>
          <w:vertAlign w:val="superscript"/>
          <w:lang w:val="en-US" w:eastAsia="zh-CN"/>
        </w:rPr>
        <w:t>3</w:t>
      </w:r>
      <w:r>
        <w:rPr>
          <w:rFonts w:hint="eastAsia"/>
          <w:lang w:val="en-US" w:eastAsia="zh-CN"/>
        </w:rPr>
        <w:t>/a，进入粪污收集池后周边农户定期清掏做农肥，项目无生活污水排放。项目无生产废水、生活污水排放，对周围地表水环境影响较小。</w:t>
      </w:r>
    </w:p>
    <w:p w14:paraId="6B86D476">
      <w:pPr>
        <w:pStyle w:val="41"/>
        <w:bidi w:val="0"/>
        <w:rPr>
          <w:rFonts w:hint="default" w:eastAsia="宋体"/>
          <w:lang w:val="en-US" w:eastAsia="zh-CN"/>
        </w:rPr>
      </w:pPr>
      <w:r>
        <w:rPr>
          <w:rFonts w:hint="eastAsia"/>
          <w:lang w:val="en-US" w:eastAsia="zh-CN"/>
        </w:rPr>
        <w:t>项目运行过程中雨季会产生地表径流，初期雨水经</w:t>
      </w:r>
      <w:r>
        <w:rPr>
          <w:rFonts w:hint="eastAsia"/>
        </w:rPr>
        <w:t>初期雨水收集池沉淀处理后，用于厂区洒水降尘。</w:t>
      </w:r>
      <w:r>
        <w:rPr>
          <w:rFonts w:hint="eastAsia"/>
          <w:lang w:val="en-US" w:eastAsia="zh-CN"/>
        </w:rPr>
        <w:t>地表径流主要污染因子为SS，经沉淀后进入积水塘进一步沉淀，对周边地表水环境影响较小。</w:t>
      </w:r>
    </w:p>
    <w:p w14:paraId="525AB47F">
      <w:pPr>
        <w:pStyle w:val="3"/>
        <w:bidi w:val="0"/>
        <w:rPr>
          <w:rFonts w:hint="default" w:ascii="Times New Roman" w:hAnsi="Times New Roman" w:cs="Times New Roman"/>
          <w:color w:val="000000" w:themeColor="text1"/>
          <w:highlight w:val="none"/>
          <w14:textFill>
            <w14:solidFill>
              <w14:schemeClr w14:val="tx1"/>
            </w14:solidFill>
          </w14:textFill>
        </w:rPr>
      </w:pPr>
      <w:bookmarkStart w:id="445" w:name="_Toc19494"/>
      <w:r>
        <w:rPr>
          <w:rFonts w:hint="default" w:ascii="Times New Roman" w:hAnsi="Times New Roman" w:cs="Times New Roman"/>
          <w:color w:val="000000" w:themeColor="text1"/>
          <w:highlight w:val="none"/>
          <w14:textFill>
            <w14:solidFill>
              <w14:schemeClr w14:val="tx1"/>
            </w14:solidFill>
          </w14:textFill>
        </w:rPr>
        <w:t>声环境影响预测与评价</w:t>
      </w:r>
      <w:bookmarkEnd w:id="445"/>
    </w:p>
    <w:p w14:paraId="2D912806">
      <w:pPr>
        <w:pStyle w:val="4"/>
        <w:bidi w:val="0"/>
        <w:rPr>
          <w:rFonts w:hint="default" w:ascii="Times New Roman" w:hAnsi="Times New Roman" w:cs="Times New Roman"/>
          <w:color w:val="000000" w:themeColor="text1"/>
          <w:highlight w:val="none"/>
          <w:lang w:val="en-US" w:eastAsia="zh-CN"/>
          <w14:textFill>
            <w14:solidFill>
              <w14:schemeClr w14:val="tx1"/>
            </w14:solidFill>
          </w14:textFill>
        </w:rPr>
      </w:pPr>
      <w:bookmarkStart w:id="446" w:name="_Toc2104"/>
      <w:r>
        <w:rPr>
          <w:rFonts w:hint="default" w:ascii="Times New Roman" w:hAnsi="Times New Roman" w:cs="Times New Roman"/>
          <w:color w:val="000000" w:themeColor="text1"/>
          <w:highlight w:val="none"/>
          <w:lang w:val="en-US" w:eastAsia="zh-CN"/>
          <w14:textFill>
            <w14:solidFill>
              <w14:schemeClr w14:val="tx1"/>
            </w14:solidFill>
          </w14:textFill>
        </w:rPr>
        <w:t>施工期</w:t>
      </w:r>
      <w:bookmarkEnd w:id="446"/>
      <w:r>
        <w:rPr>
          <w:rFonts w:hint="eastAsia" w:ascii="Times New Roman" w:hAnsi="Times New Roman" w:cs="Times New Roman"/>
          <w:color w:val="000000" w:themeColor="text1"/>
          <w:highlight w:val="none"/>
          <w:lang w:val="en-US" w:eastAsia="zh-CN"/>
          <w14:textFill>
            <w14:solidFill>
              <w14:schemeClr w14:val="tx1"/>
            </w14:solidFill>
          </w14:textFill>
        </w:rPr>
        <w:t>声环境影响</w:t>
      </w:r>
    </w:p>
    <w:p w14:paraId="40B42772">
      <w:pPr>
        <w:pStyle w:val="41"/>
        <w:ind w:firstLine="482"/>
        <w:rPr>
          <w:b/>
          <w:bCs/>
          <w:color w:val="auto"/>
          <w:highlight w:val="none"/>
        </w:rPr>
      </w:pPr>
      <w:r>
        <w:rPr>
          <w:b/>
          <w:bCs/>
          <w:color w:val="auto"/>
          <w:highlight w:val="none"/>
        </w:rPr>
        <w:t>（1）噪声影响预测</w:t>
      </w:r>
    </w:p>
    <w:p w14:paraId="4B52F549">
      <w:pPr>
        <w:pStyle w:val="41"/>
        <w:ind w:firstLine="480"/>
        <w:rPr>
          <w:color w:val="auto"/>
          <w:highlight w:val="none"/>
        </w:rPr>
      </w:pPr>
      <w:r>
        <w:rPr>
          <w:color w:val="auto"/>
          <w:highlight w:val="none"/>
        </w:rPr>
        <w:t>项目施工期噪声一般为</w:t>
      </w:r>
      <w:r>
        <w:rPr>
          <w:rFonts w:hint="eastAsia"/>
          <w:color w:val="auto"/>
          <w:highlight w:val="none"/>
        </w:rPr>
        <w:t>间歇性</w:t>
      </w:r>
      <w:r>
        <w:rPr>
          <w:color w:val="auto"/>
          <w:highlight w:val="none"/>
        </w:rPr>
        <w:t>噪声。施工结束后，其噪声影响也将随之消失。</w:t>
      </w:r>
    </w:p>
    <w:p w14:paraId="4A364A90">
      <w:pPr>
        <w:pStyle w:val="41"/>
        <w:ind w:firstLine="480"/>
        <w:rPr>
          <w:color w:val="auto"/>
          <w:highlight w:val="none"/>
        </w:rPr>
      </w:pPr>
      <w:r>
        <w:rPr>
          <w:color w:val="auto"/>
          <w:highlight w:val="none"/>
        </w:rPr>
        <w:t>项目施工期施工机械有：电焊机、电钻、切割机、电锯等，其噪声级在75～90dB</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，具体噪声值大小见表</w:t>
      </w:r>
      <w:r>
        <w:rPr>
          <w:rFonts w:hint="eastAsia"/>
          <w:color w:val="auto"/>
          <w:highlight w:val="none"/>
        </w:rPr>
        <w:t>6.</w:t>
      </w:r>
      <w:r>
        <w:rPr>
          <w:rFonts w:hint="eastAsia"/>
          <w:color w:val="auto"/>
          <w:highlight w:val="none"/>
          <w:lang w:val="en-US" w:eastAsia="zh-CN"/>
        </w:rPr>
        <w:t>4</w:t>
      </w:r>
      <w:r>
        <w:rPr>
          <w:rFonts w:hint="eastAsia"/>
          <w:color w:val="auto"/>
          <w:highlight w:val="none"/>
        </w:rPr>
        <w:t>-</w:t>
      </w:r>
      <w:r>
        <w:rPr>
          <w:color w:val="auto"/>
          <w:highlight w:val="none"/>
        </w:rPr>
        <w:t>1。施工期主要为室内施工，经过墙体阻隔后，噪声值可以减低15-20dB</w:t>
      </w:r>
      <w:r>
        <w:rPr>
          <w:rFonts w:hint="eastAsia"/>
          <w:color w:val="auto"/>
          <w:highlight w:val="none"/>
        </w:rPr>
        <w:t>（</w:t>
      </w:r>
      <w:r>
        <w:rPr>
          <w:color w:val="auto"/>
          <w:highlight w:val="none"/>
        </w:rPr>
        <w:t>A</w:t>
      </w:r>
      <w:r>
        <w:rPr>
          <w:rFonts w:hint="eastAsia"/>
          <w:color w:val="auto"/>
          <w:highlight w:val="none"/>
        </w:rPr>
        <w:t>）</w:t>
      </w:r>
      <w:r>
        <w:rPr>
          <w:color w:val="auto"/>
          <w:highlight w:val="none"/>
        </w:rPr>
        <w:t>，各设备噪声值均减少15dB</w:t>
      </w:r>
      <w:r>
        <w:rPr>
          <w:rFonts w:hint="eastAsia"/>
          <w:color w:val="auto"/>
          <w:highlight w:val="none"/>
        </w:rPr>
        <w:t>（</w:t>
      </w:r>
      <w:r>
        <w:rPr>
          <w:color w:val="auto"/>
          <w:highlight w:val="none"/>
        </w:rPr>
        <w:t>A</w:t>
      </w:r>
      <w:r>
        <w:rPr>
          <w:rFonts w:hint="eastAsia"/>
          <w:color w:val="auto"/>
          <w:highlight w:val="none"/>
        </w:rPr>
        <w:t>）</w:t>
      </w:r>
      <w:r>
        <w:rPr>
          <w:color w:val="auto"/>
          <w:highlight w:val="none"/>
        </w:rPr>
        <w:t>，在考虑距离衰减的情况下，利用距离传播衰减模式预测项目所产生的噪声值，预测模式如下：</w:t>
      </w:r>
    </w:p>
    <w:p w14:paraId="6851C939">
      <w:pPr>
        <w:pStyle w:val="41"/>
        <w:ind w:firstLine="480"/>
        <w:rPr>
          <w:color w:val="auto"/>
          <w:highlight w:val="none"/>
        </w:rPr>
      </w:pPr>
      <w:r>
        <w:rPr>
          <w:color w:val="auto"/>
          <w:highlight w:val="none"/>
        </w:rPr>
        <w:t>LA(r)=LA(r0)</w:t>
      </w:r>
      <w:r>
        <w:rPr>
          <w:rFonts w:hint="eastAsia"/>
          <w:color w:val="auto"/>
          <w:highlight w:val="none"/>
          <w:lang w:eastAsia="zh-CN"/>
        </w:rPr>
        <w:t>-</w:t>
      </w:r>
      <w:r>
        <w:rPr>
          <w:color w:val="auto"/>
          <w:highlight w:val="none"/>
        </w:rPr>
        <w:t>20lg(r/r0)-△L</w:t>
      </w:r>
    </w:p>
    <w:p w14:paraId="39F1AEC2">
      <w:pPr>
        <w:pStyle w:val="41"/>
        <w:ind w:firstLine="480"/>
        <w:rPr>
          <w:color w:val="auto"/>
          <w:highlight w:val="none"/>
        </w:rPr>
      </w:pPr>
      <w:r>
        <w:rPr>
          <w:color w:val="auto"/>
          <w:highlight w:val="none"/>
        </w:rPr>
        <w:t>式中：LA（r）——距离声源r处的A声级，dB(A</w:t>
      </w:r>
      <w:r>
        <w:rPr>
          <w:rFonts w:hint="eastAsia"/>
          <w:color w:val="auto"/>
          <w:highlight w:val="none"/>
          <w:lang w:eastAsia="zh-CN"/>
        </w:rPr>
        <w:t>）</w:t>
      </w:r>
      <w:r>
        <w:rPr>
          <w:color w:val="auto"/>
          <w:highlight w:val="none"/>
        </w:rPr>
        <w:t>；</w:t>
      </w:r>
    </w:p>
    <w:p w14:paraId="788D8F8F">
      <w:pPr>
        <w:pStyle w:val="41"/>
        <w:ind w:firstLine="480"/>
        <w:rPr>
          <w:color w:val="auto"/>
          <w:highlight w:val="none"/>
        </w:rPr>
      </w:pPr>
      <w:r>
        <w:rPr>
          <w:color w:val="auto"/>
          <w:highlight w:val="none"/>
        </w:rPr>
        <w:t xml:space="preserve">      LA（ro）——距声源ro处的A声级，dB(A</w:t>
      </w:r>
      <w:r>
        <w:rPr>
          <w:rFonts w:hint="eastAsia"/>
          <w:color w:val="auto"/>
          <w:highlight w:val="none"/>
          <w:lang w:eastAsia="zh-CN"/>
        </w:rPr>
        <w:t>）</w:t>
      </w:r>
      <w:r>
        <w:rPr>
          <w:color w:val="auto"/>
          <w:highlight w:val="none"/>
        </w:rPr>
        <w:t>；</w:t>
      </w:r>
    </w:p>
    <w:p w14:paraId="5FB0ED30">
      <w:pPr>
        <w:pStyle w:val="41"/>
        <w:ind w:firstLine="480"/>
        <w:rPr>
          <w:color w:val="auto"/>
          <w:highlight w:val="none"/>
        </w:rPr>
      </w:pPr>
      <w:r>
        <w:rPr>
          <w:color w:val="auto"/>
          <w:highlight w:val="none"/>
        </w:rPr>
        <w:t xml:space="preserve">      ro、r——距声源的距离，m；</w:t>
      </w:r>
    </w:p>
    <w:p w14:paraId="0786735E">
      <w:pPr>
        <w:pStyle w:val="41"/>
        <w:ind w:firstLine="480"/>
        <w:rPr>
          <w:color w:val="auto"/>
          <w:highlight w:val="none"/>
        </w:rPr>
      </w:pPr>
      <w:r>
        <w:rPr>
          <w:color w:val="auto"/>
          <w:highlight w:val="none"/>
        </w:rPr>
        <w:t xml:space="preserve">      △L——</w:t>
      </w:r>
      <w:r>
        <w:rPr>
          <w:rFonts w:hint="eastAsia"/>
          <w:color w:val="auto"/>
          <w:highlight w:val="none"/>
          <w:lang w:eastAsia="zh-CN"/>
        </w:rPr>
        <w:t>其他</w:t>
      </w:r>
      <w:r>
        <w:rPr>
          <w:color w:val="auto"/>
          <w:highlight w:val="none"/>
        </w:rPr>
        <w:t>衰减因子，dB(A</w:t>
      </w:r>
      <w:r>
        <w:rPr>
          <w:rFonts w:hint="eastAsia"/>
          <w:color w:val="auto"/>
          <w:highlight w:val="none"/>
          <w:lang w:eastAsia="zh-CN"/>
        </w:rPr>
        <w:t>）</w:t>
      </w:r>
      <w:r>
        <w:rPr>
          <w:color w:val="auto"/>
          <w:highlight w:val="none"/>
        </w:rPr>
        <w:t>。</w:t>
      </w:r>
    </w:p>
    <w:p w14:paraId="6462FA05">
      <w:pPr>
        <w:pStyle w:val="41"/>
        <w:ind w:firstLine="480"/>
        <w:rPr>
          <w:color w:val="auto"/>
          <w:highlight w:val="none"/>
        </w:rPr>
      </w:pPr>
      <w:r>
        <w:rPr>
          <w:color w:val="auto"/>
          <w:highlight w:val="none"/>
        </w:rPr>
        <w:t>对各种设备声源在不同距离的衰减计算结果见表</w:t>
      </w:r>
      <w:r>
        <w:rPr>
          <w:rFonts w:hint="eastAsia"/>
          <w:color w:val="auto"/>
          <w:highlight w:val="none"/>
        </w:rPr>
        <w:t>6.</w:t>
      </w:r>
      <w:r>
        <w:rPr>
          <w:rFonts w:hint="eastAsia"/>
          <w:color w:val="auto"/>
          <w:highlight w:val="none"/>
          <w:lang w:val="en-US" w:eastAsia="zh-CN"/>
        </w:rPr>
        <w:t>4</w:t>
      </w:r>
      <w:r>
        <w:rPr>
          <w:rFonts w:hint="eastAsia"/>
          <w:color w:val="auto"/>
          <w:highlight w:val="none"/>
        </w:rPr>
        <w:t>-2</w:t>
      </w:r>
      <w:r>
        <w:rPr>
          <w:color w:val="auto"/>
          <w:highlight w:val="none"/>
        </w:rPr>
        <w:t>。</w:t>
      </w:r>
    </w:p>
    <w:p w14:paraId="30810007">
      <w:pPr>
        <w:pStyle w:val="45"/>
        <w:rPr>
          <w:color w:val="auto"/>
          <w:highlight w:val="none"/>
        </w:rPr>
      </w:pPr>
      <w:r>
        <w:rPr>
          <w:color w:val="auto"/>
          <w:highlight w:val="none"/>
        </w:rPr>
        <w:t>表</w:t>
      </w:r>
      <w:r>
        <w:rPr>
          <w:rFonts w:hint="eastAsia"/>
          <w:color w:val="auto"/>
          <w:highlight w:val="none"/>
        </w:rPr>
        <w:t>6.</w:t>
      </w:r>
      <w:r>
        <w:rPr>
          <w:rFonts w:hint="eastAsia"/>
          <w:color w:val="auto"/>
          <w:highlight w:val="none"/>
          <w:lang w:val="en-US" w:eastAsia="zh-CN"/>
        </w:rPr>
        <w:t>4</w:t>
      </w:r>
      <w:r>
        <w:rPr>
          <w:rFonts w:hint="eastAsia"/>
          <w:color w:val="auto"/>
          <w:highlight w:val="none"/>
        </w:rPr>
        <w:t>-1</w:t>
      </w:r>
      <w:r>
        <w:rPr>
          <w:color w:val="auto"/>
          <w:highlight w:val="none"/>
        </w:rPr>
        <w:t xml:space="preserve">  各种噪声源在不同距离处的噪声衰减值</w:t>
      </w: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2460"/>
        <w:gridCol w:w="570"/>
        <w:gridCol w:w="676"/>
        <w:gridCol w:w="674"/>
        <w:gridCol w:w="676"/>
        <w:gridCol w:w="674"/>
        <w:gridCol w:w="674"/>
        <w:gridCol w:w="676"/>
        <w:gridCol w:w="674"/>
      </w:tblGrid>
      <w:tr w14:paraId="68C2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94" w:type="pct"/>
            <w:gridSpan w:val="2"/>
            <w:vAlign w:val="center"/>
          </w:tcPr>
          <w:p w14:paraId="70ECF613">
            <w:pPr>
              <w:pStyle w:val="43"/>
              <w:rPr>
                <w:b/>
                <w:bCs/>
                <w:color w:val="auto"/>
                <w:highlight w:val="none"/>
              </w:rPr>
            </w:pPr>
            <w:bookmarkStart w:id="447" w:name="_Toc185746332"/>
            <w:r>
              <w:rPr>
                <w:b/>
                <w:bCs/>
                <w:color w:val="auto"/>
                <w:highlight w:val="none"/>
              </w:rPr>
              <w:t>距离声源距离</w:t>
            </w:r>
            <w:r>
              <w:rPr>
                <w:rFonts w:hint="eastAsia"/>
                <w:b/>
                <w:bCs/>
                <w:color w:val="auto"/>
                <w:highlight w:val="none"/>
              </w:rPr>
              <w:t>（</w:t>
            </w:r>
            <w:r>
              <w:rPr>
                <w:b/>
                <w:bCs/>
                <w:color w:val="auto"/>
                <w:highlight w:val="none"/>
              </w:rPr>
              <w:t>m</w:t>
            </w:r>
            <w:r>
              <w:rPr>
                <w:rFonts w:hint="eastAsia"/>
                <w:b/>
                <w:bCs/>
                <w:color w:val="auto"/>
                <w:highlight w:val="none"/>
              </w:rPr>
              <w:t>）</w:t>
            </w:r>
            <w:bookmarkEnd w:id="447"/>
          </w:p>
        </w:tc>
        <w:tc>
          <w:tcPr>
            <w:tcW w:w="334" w:type="pct"/>
            <w:vAlign w:val="center"/>
          </w:tcPr>
          <w:p w14:paraId="1A6F66C0">
            <w:pPr>
              <w:pStyle w:val="43"/>
              <w:rPr>
                <w:b/>
                <w:bCs/>
                <w:color w:val="auto"/>
                <w:highlight w:val="none"/>
              </w:rPr>
            </w:pPr>
            <w:bookmarkStart w:id="448" w:name="_Toc185746333"/>
            <w:r>
              <w:rPr>
                <w:b/>
                <w:bCs/>
                <w:color w:val="auto"/>
                <w:highlight w:val="none"/>
              </w:rPr>
              <w:t>1</w:t>
            </w:r>
            <w:bookmarkEnd w:id="448"/>
          </w:p>
        </w:tc>
        <w:tc>
          <w:tcPr>
            <w:tcW w:w="396" w:type="pct"/>
            <w:vAlign w:val="center"/>
          </w:tcPr>
          <w:p w14:paraId="11C04634">
            <w:pPr>
              <w:pStyle w:val="43"/>
              <w:rPr>
                <w:b/>
                <w:bCs/>
                <w:color w:val="auto"/>
                <w:highlight w:val="none"/>
              </w:rPr>
            </w:pPr>
            <w:bookmarkStart w:id="449" w:name="_Toc185746334"/>
            <w:r>
              <w:rPr>
                <w:b/>
                <w:bCs/>
                <w:color w:val="auto"/>
                <w:highlight w:val="none"/>
              </w:rPr>
              <w:t>10</w:t>
            </w:r>
            <w:bookmarkEnd w:id="449"/>
          </w:p>
        </w:tc>
        <w:tc>
          <w:tcPr>
            <w:tcW w:w="395" w:type="pct"/>
            <w:vAlign w:val="center"/>
          </w:tcPr>
          <w:p w14:paraId="39842F71">
            <w:pPr>
              <w:pStyle w:val="43"/>
              <w:rPr>
                <w:b/>
                <w:bCs/>
                <w:color w:val="auto"/>
                <w:highlight w:val="none"/>
              </w:rPr>
            </w:pPr>
            <w:bookmarkStart w:id="450" w:name="_Toc185746335"/>
            <w:r>
              <w:rPr>
                <w:b/>
                <w:bCs/>
                <w:color w:val="auto"/>
                <w:highlight w:val="none"/>
              </w:rPr>
              <w:t>30</w:t>
            </w:r>
            <w:bookmarkEnd w:id="450"/>
          </w:p>
        </w:tc>
        <w:tc>
          <w:tcPr>
            <w:tcW w:w="396" w:type="pct"/>
            <w:vAlign w:val="center"/>
          </w:tcPr>
          <w:p w14:paraId="26277D52">
            <w:pPr>
              <w:pStyle w:val="43"/>
              <w:rPr>
                <w:b/>
                <w:bCs/>
                <w:color w:val="auto"/>
                <w:highlight w:val="none"/>
              </w:rPr>
            </w:pPr>
            <w:bookmarkStart w:id="451" w:name="_Toc185746336"/>
            <w:r>
              <w:rPr>
                <w:b/>
                <w:bCs/>
                <w:color w:val="auto"/>
                <w:highlight w:val="none"/>
              </w:rPr>
              <w:t>50</w:t>
            </w:r>
            <w:bookmarkEnd w:id="451"/>
          </w:p>
        </w:tc>
        <w:tc>
          <w:tcPr>
            <w:tcW w:w="395" w:type="pct"/>
            <w:vAlign w:val="center"/>
          </w:tcPr>
          <w:p w14:paraId="7A37516A">
            <w:pPr>
              <w:pStyle w:val="43"/>
              <w:rPr>
                <w:b/>
                <w:bCs/>
                <w:color w:val="auto"/>
                <w:highlight w:val="none"/>
              </w:rPr>
            </w:pPr>
            <w:bookmarkStart w:id="452" w:name="_Toc185746337"/>
            <w:r>
              <w:rPr>
                <w:b/>
                <w:bCs/>
                <w:color w:val="auto"/>
                <w:highlight w:val="none"/>
              </w:rPr>
              <w:t>100</w:t>
            </w:r>
            <w:bookmarkEnd w:id="452"/>
          </w:p>
        </w:tc>
        <w:tc>
          <w:tcPr>
            <w:tcW w:w="395" w:type="pct"/>
            <w:vAlign w:val="center"/>
          </w:tcPr>
          <w:p w14:paraId="39620D48">
            <w:pPr>
              <w:pStyle w:val="43"/>
              <w:rPr>
                <w:b/>
                <w:bCs/>
                <w:color w:val="auto"/>
                <w:highlight w:val="none"/>
              </w:rPr>
            </w:pPr>
            <w:bookmarkStart w:id="453" w:name="_Toc185746338"/>
            <w:r>
              <w:rPr>
                <w:b/>
                <w:bCs/>
                <w:color w:val="auto"/>
                <w:highlight w:val="none"/>
              </w:rPr>
              <w:t>150</w:t>
            </w:r>
            <w:bookmarkEnd w:id="453"/>
          </w:p>
        </w:tc>
        <w:tc>
          <w:tcPr>
            <w:tcW w:w="396" w:type="pct"/>
            <w:vAlign w:val="center"/>
          </w:tcPr>
          <w:p w14:paraId="3E45A64E">
            <w:pPr>
              <w:pStyle w:val="43"/>
              <w:rPr>
                <w:b/>
                <w:bCs/>
                <w:color w:val="auto"/>
                <w:highlight w:val="none"/>
              </w:rPr>
            </w:pPr>
            <w:bookmarkStart w:id="454" w:name="_Toc185746339"/>
            <w:r>
              <w:rPr>
                <w:b/>
                <w:bCs/>
                <w:color w:val="auto"/>
                <w:highlight w:val="none"/>
              </w:rPr>
              <w:t>200</w:t>
            </w:r>
            <w:bookmarkEnd w:id="454"/>
          </w:p>
        </w:tc>
        <w:tc>
          <w:tcPr>
            <w:tcW w:w="395" w:type="pct"/>
            <w:vAlign w:val="center"/>
          </w:tcPr>
          <w:p w14:paraId="52B9EEF5">
            <w:pPr>
              <w:pStyle w:val="43"/>
              <w:rPr>
                <w:b/>
                <w:bCs/>
                <w:color w:val="auto"/>
                <w:highlight w:val="none"/>
              </w:rPr>
            </w:pPr>
            <w:bookmarkStart w:id="455" w:name="_Toc185746340"/>
            <w:r>
              <w:rPr>
                <w:b/>
                <w:bCs/>
                <w:color w:val="auto"/>
                <w:highlight w:val="none"/>
              </w:rPr>
              <w:t>250</w:t>
            </w:r>
            <w:bookmarkEnd w:id="455"/>
          </w:p>
        </w:tc>
      </w:tr>
      <w:tr w14:paraId="68A7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94" w:type="pct"/>
            <w:gridSpan w:val="2"/>
            <w:vAlign w:val="center"/>
          </w:tcPr>
          <w:p w14:paraId="6CB9268C">
            <w:pPr>
              <w:pStyle w:val="43"/>
              <w:rPr>
                <w:color w:val="auto"/>
                <w:highlight w:val="none"/>
              </w:rPr>
            </w:pPr>
            <w:bookmarkStart w:id="456" w:name="_Toc185746341"/>
            <w:r>
              <w:rPr>
                <w:color w:val="auto"/>
                <w:highlight w:val="none"/>
              </w:rPr>
              <w:t>噪声衰减值：dB(A)</w:t>
            </w:r>
            <w:bookmarkEnd w:id="456"/>
          </w:p>
        </w:tc>
        <w:tc>
          <w:tcPr>
            <w:tcW w:w="334" w:type="pct"/>
            <w:vAlign w:val="center"/>
          </w:tcPr>
          <w:p w14:paraId="0EFB52F4">
            <w:pPr>
              <w:pStyle w:val="43"/>
              <w:rPr>
                <w:color w:val="auto"/>
                <w:highlight w:val="none"/>
              </w:rPr>
            </w:pPr>
            <w:bookmarkStart w:id="457" w:name="_Toc185746342"/>
            <w:r>
              <w:rPr>
                <w:color w:val="auto"/>
                <w:highlight w:val="none"/>
              </w:rPr>
              <w:t>0</w:t>
            </w:r>
            <w:bookmarkEnd w:id="457"/>
          </w:p>
        </w:tc>
        <w:tc>
          <w:tcPr>
            <w:tcW w:w="396" w:type="pct"/>
            <w:vAlign w:val="center"/>
          </w:tcPr>
          <w:p w14:paraId="58CF148F">
            <w:pPr>
              <w:pStyle w:val="43"/>
              <w:rPr>
                <w:color w:val="auto"/>
                <w:highlight w:val="none"/>
              </w:rPr>
            </w:pPr>
            <w:bookmarkStart w:id="458" w:name="_Toc185746343"/>
            <w:r>
              <w:rPr>
                <w:color w:val="auto"/>
                <w:highlight w:val="none"/>
              </w:rPr>
              <w:t>20</w:t>
            </w:r>
            <w:bookmarkEnd w:id="458"/>
          </w:p>
        </w:tc>
        <w:tc>
          <w:tcPr>
            <w:tcW w:w="395" w:type="pct"/>
            <w:vAlign w:val="center"/>
          </w:tcPr>
          <w:p w14:paraId="55C2FE3A">
            <w:pPr>
              <w:pStyle w:val="43"/>
              <w:rPr>
                <w:color w:val="auto"/>
                <w:highlight w:val="none"/>
              </w:rPr>
            </w:pPr>
            <w:bookmarkStart w:id="459" w:name="_Toc185746344"/>
            <w:r>
              <w:rPr>
                <w:color w:val="auto"/>
                <w:highlight w:val="none"/>
              </w:rPr>
              <w:t>29.5</w:t>
            </w:r>
            <w:bookmarkEnd w:id="459"/>
          </w:p>
        </w:tc>
        <w:tc>
          <w:tcPr>
            <w:tcW w:w="396" w:type="pct"/>
            <w:vAlign w:val="center"/>
          </w:tcPr>
          <w:p w14:paraId="60DDE90E">
            <w:pPr>
              <w:pStyle w:val="43"/>
              <w:rPr>
                <w:color w:val="auto"/>
                <w:highlight w:val="none"/>
              </w:rPr>
            </w:pPr>
            <w:bookmarkStart w:id="460" w:name="_Toc185746345"/>
            <w:r>
              <w:rPr>
                <w:color w:val="auto"/>
                <w:highlight w:val="none"/>
              </w:rPr>
              <w:t>34</w:t>
            </w:r>
            <w:bookmarkEnd w:id="460"/>
          </w:p>
        </w:tc>
        <w:tc>
          <w:tcPr>
            <w:tcW w:w="395" w:type="pct"/>
            <w:vAlign w:val="center"/>
          </w:tcPr>
          <w:p w14:paraId="66E5F470">
            <w:pPr>
              <w:pStyle w:val="43"/>
              <w:rPr>
                <w:color w:val="auto"/>
                <w:highlight w:val="none"/>
              </w:rPr>
            </w:pPr>
            <w:bookmarkStart w:id="461" w:name="_Toc185746346"/>
            <w:r>
              <w:rPr>
                <w:color w:val="auto"/>
                <w:highlight w:val="none"/>
              </w:rPr>
              <w:t>40.0</w:t>
            </w:r>
            <w:bookmarkEnd w:id="461"/>
          </w:p>
        </w:tc>
        <w:tc>
          <w:tcPr>
            <w:tcW w:w="395" w:type="pct"/>
            <w:vAlign w:val="center"/>
          </w:tcPr>
          <w:p w14:paraId="52D91842">
            <w:pPr>
              <w:pStyle w:val="43"/>
              <w:rPr>
                <w:color w:val="auto"/>
                <w:highlight w:val="none"/>
              </w:rPr>
            </w:pPr>
            <w:bookmarkStart w:id="462" w:name="_Toc185746347"/>
            <w:r>
              <w:rPr>
                <w:color w:val="auto"/>
                <w:highlight w:val="none"/>
              </w:rPr>
              <w:t>43.5</w:t>
            </w:r>
            <w:bookmarkEnd w:id="462"/>
          </w:p>
        </w:tc>
        <w:tc>
          <w:tcPr>
            <w:tcW w:w="396" w:type="pct"/>
            <w:vAlign w:val="center"/>
          </w:tcPr>
          <w:p w14:paraId="7972ED95">
            <w:pPr>
              <w:pStyle w:val="43"/>
              <w:rPr>
                <w:color w:val="auto"/>
                <w:highlight w:val="none"/>
              </w:rPr>
            </w:pPr>
            <w:bookmarkStart w:id="463" w:name="_Toc185746348"/>
            <w:r>
              <w:rPr>
                <w:color w:val="auto"/>
                <w:highlight w:val="none"/>
              </w:rPr>
              <w:t>46.0</w:t>
            </w:r>
            <w:bookmarkEnd w:id="463"/>
          </w:p>
        </w:tc>
        <w:tc>
          <w:tcPr>
            <w:tcW w:w="395" w:type="pct"/>
            <w:vAlign w:val="center"/>
          </w:tcPr>
          <w:p w14:paraId="7C928B43">
            <w:pPr>
              <w:pStyle w:val="43"/>
              <w:rPr>
                <w:color w:val="auto"/>
                <w:highlight w:val="none"/>
              </w:rPr>
            </w:pPr>
            <w:bookmarkStart w:id="464" w:name="_Toc185746349"/>
            <w:r>
              <w:rPr>
                <w:color w:val="auto"/>
                <w:highlight w:val="none"/>
              </w:rPr>
              <w:t>47.9</w:t>
            </w:r>
            <w:bookmarkEnd w:id="464"/>
          </w:p>
        </w:tc>
      </w:tr>
      <w:tr w14:paraId="1095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2" w:type="pct"/>
            <w:vMerge w:val="restart"/>
            <w:vAlign w:val="center"/>
          </w:tcPr>
          <w:p w14:paraId="7BCE0697">
            <w:pPr>
              <w:pStyle w:val="43"/>
              <w:rPr>
                <w:color w:val="auto"/>
                <w:highlight w:val="none"/>
              </w:rPr>
            </w:pPr>
            <w:r>
              <w:rPr>
                <w:color w:val="auto"/>
                <w:highlight w:val="none"/>
              </w:rPr>
              <w:t>设备噪声</w:t>
            </w:r>
          </w:p>
        </w:tc>
        <w:tc>
          <w:tcPr>
            <w:tcW w:w="1442" w:type="pct"/>
            <w:vAlign w:val="center"/>
          </w:tcPr>
          <w:p w14:paraId="29E1962E">
            <w:pPr>
              <w:pStyle w:val="43"/>
              <w:ind w:firstLine="0" w:firstLineChars="0"/>
              <w:rPr>
                <w:color w:val="auto"/>
                <w:highlight w:val="none"/>
              </w:rPr>
            </w:pPr>
            <w:r>
              <w:rPr>
                <w:color w:val="auto"/>
                <w:highlight w:val="none"/>
              </w:rPr>
              <w:t>电钻</w:t>
            </w:r>
          </w:p>
        </w:tc>
        <w:tc>
          <w:tcPr>
            <w:tcW w:w="334" w:type="pct"/>
            <w:vAlign w:val="center"/>
          </w:tcPr>
          <w:p w14:paraId="3AC25F46">
            <w:pPr>
              <w:pStyle w:val="43"/>
              <w:ind w:firstLine="0" w:firstLineChars="0"/>
              <w:rPr>
                <w:color w:val="auto"/>
                <w:highlight w:val="none"/>
              </w:rPr>
            </w:pPr>
            <w:r>
              <w:rPr>
                <w:color w:val="auto"/>
                <w:highlight w:val="none"/>
              </w:rPr>
              <w:t>75</w:t>
            </w:r>
          </w:p>
        </w:tc>
        <w:tc>
          <w:tcPr>
            <w:tcW w:w="396" w:type="pct"/>
            <w:vAlign w:val="center"/>
          </w:tcPr>
          <w:p w14:paraId="19F62EE9">
            <w:pPr>
              <w:pStyle w:val="43"/>
              <w:ind w:firstLine="0" w:firstLineChars="0"/>
              <w:rPr>
                <w:color w:val="auto"/>
                <w:highlight w:val="none"/>
              </w:rPr>
            </w:pPr>
            <w:r>
              <w:rPr>
                <w:color w:val="auto"/>
                <w:highlight w:val="none"/>
              </w:rPr>
              <w:t>55.0</w:t>
            </w:r>
          </w:p>
        </w:tc>
        <w:tc>
          <w:tcPr>
            <w:tcW w:w="395" w:type="pct"/>
            <w:vAlign w:val="center"/>
          </w:tcPr>
          <w:p w14:paraId="083EFB99">
            <w:pPr>
              <w:pStyle w:val="43"/>
              <w:ind w:firstLine="0" w:firstLineChars="0"/>
              <w:rPr>
                <w:color w:val="auto"/>
                <w:highlight w:val="none"/>
              </w:rPr>
            </w:pPr>
            <w:r>
              <w:rPr>
                <w:color w:val="auto"/>
                <w:highlight w:val="none"/>
              </w:rPr>
              <w:t>45.5</w:t>
            </w:r>
          </w:p>
        </w:tc>
        <w:tc>
          <w:tcPr>
            <w:tcW w:w="396" w:type="pct"/>
            <w:vAlign w:val="center"/>
          </w:tcPr>
          <w:p w14:paraId="65026C55">
            <w:pPr>
              <w:pStyle w:val="43"/>
              <w:ind w:firstLine="0" w:firstLineChars="0"/>
              <w:rPr>
                <w:color w:val="auto"/>
                <w:highlight w:val="none"/>
              </w:rPr>
            </w:pPr>
            <w:r>
              <w:rPr>
                <w:color w:val="auto"/>
                <w:highlight w:val="none"/>
              </w:rPr>
              <w:t>41.0</w:t>
            </w:r>
          </w:p>
        </w:tc>
        <w:tc>
          <w:tcPr>
            <w:tcW w:w="395" w:type="pct"/>
            <w:vAlign w:val="center"/>
          </w:tcPr>
          <w:p w14:paraId="20DE6F1E">
            <w:pPr>
              <w:pStyle w:val="43"/>
              <w:ind w:firstLine="0" w:firstLineChars="0"/>
              <w:rPr>
                <w:color w:val="auto"/>
                <w:highlight w:val="none"/>
              </w:rPr>
            </w:pPr>
            <w:r>
              <w:rPr>
                <w:color w:val="auto"/>
                <w:highlight w:val="none"/>
              </w:rPr>
              <w:t>35.0</w:t>
            </w:r>
          </w:p>
        </w:tc>
        <w:tc>
          <w:tcPr>
            <w:tcW w:w="395" w:type="pct"/>
            <w:vAlign w:val="center"/>
          </w:tcPr>
          <w:p w14:paraId="14FA5B2F">
            <w:pPr>
              <w:pStyle w:val="43"/>
              <w:ind w:firstLine="0" w:firstLineChars="0"/>
              <w:rPr>
                <w:color w:val="auto"/>
                <w:highlight w:val="none"/>
              </w:rPr>
            </w:pPr>
            <w:r>
              <w:rPr>
                <w:color w:val="auto"/>
                <w:highlight w:val="none"/>
              </w:rPr>
              <w:t>31.5</w:t>
            </w:r>
          </w:p>
        </w:tc>
        <w:tc>
          <w:tcPr>
            <w:tcW w:w="396" w:type="pct"/>
            <w:vAlign w:val="center"/>
          </w:tcPr>
          <w:p w14:paraId="5A4FE014">
            <w:pPr>
              <w:pStyle w:val="43"/>
              <w:ind w:firstLine="0" w:firstLineChars="0"/>
              <w:rPr>
                <w:color w:val="auto"/>
                <w:highlight w:val="none"/>
              </w:rPr>
            </w:pPr>
            <w:r>
              <w:rPr>
                <w:color w:val="auto"/>
                <w:highlight w:val="none"/>
              </w:rPr>
              <w:t>29.0</w:t>
            </w:r>
          </w:p>
        </w:tc>
        <w:tc>
          <w:tcPr>
            <w:tcW w:w="395" w:type="pct"/>
            <w:vAlign w:val="center"/>
          </w:tcPr>
          <w:p w14:paraId="3A32A5EF">
            <w:pPr>
              <w:pStyle w:val="43"/>
              <w:ind w:firstLine="0" w:firstLineChars="0"/>
              <w:rPr>
                <w:color w:val="auto"/>
                <w:highlight w:val="none"/>
              </w:rPr>
            </w:pPr>
            <w:r>
              <w:rPr>
                <w:color w:val="auto"/>
                <w:highlight w:val="none"/>
              </w:rPr>
              <w:t>27.1</w:t>
            </w:r>
          </w:p>
        </w:tc>
      </w:tr>
      <w:tr w14:paraId="513D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2" w:type="pct"/>
            <w:vMerge w:val="continue"/>
            <w:vAlign w:val="center"/>
          </w:tcPr>
          <w:p w14:paraId="0884D950">
            <w:pPr>
              <w:pStyle w:val="43"/>
              <w:rPr>
                <w:color w:val="auto"/>
                <w:highlight w:val="none"/>
              </w:rPr>
            </w:pPr>
          </w:p>
        </w:tc>
        <w:tc>
          <w:tcPr>
            <w:tcW w:w="1442" w:type="pct"/>
            <w:vAlign w:val="center"/>
          </w:tcPr>
          <w:p w14:paraId="54650B61">
            <w:pPr>
              <w:pStyle w:val="43"/>
              <w:ind w:firstLine="0" w:firstLineChars="0"/>
              <w:rPr>
                <w:color w:val="auto"/>
                <w:highlight w:val="none"/>
              </w:rPr>
            </w:pPr>
            <w:r>
              <w:rPr>
                <w:color w:val="auto"/>
                <w:highlight w:val="none"/>
              </w:rPr>
              <w:t>切割机</w:t>
            </w:r>
          </w:p>
        </w:tc>
        <w:tc>
          <w:tcPr>
            <w:tcW w:w="334" w:type="pct"/>
            <w:vAlign w:val="center"/>
          </w:tcPr>
          <w:p w14:paraId="1E3F63BF">
            <w:pPr>
              <w:pStyle w:val="43"/>
              <w:ind w:firstLine="0" w:firstLineChars="0"/>
              <w:rPr>
                <w:color w:val="auto"/>
                <w:highlight w:val="none"/>
              </w:rPr>
            </w:pPr>
            <w:r>
              <w:rPr>
                <w:color w:val="auto"/>
                <w:highlight w:val="none"/>
              </w:rPr>
              <w:t>75</w:t>
            </w:r>
          </w:p>
        </w:tc>
        <w:tc>
          <w:tcPr>
            <w:tcW w:w="396" w:type="pct"/>
            <w:vAlign w:val="center"/>
          </w:tcPr>
          <w:p w14:paraId="19C643AF">
            <w:pPr>
              <w:pStyle w:val="43"/>
              <w:ind w:firstLine="0" w:firstLineChars="0"/>
              <w:rPr>
                <w:color w:val="auto"/>
                <w:highlight w:val="none"/>
              </w:rPr>
            </w:pPr>
            <w:r>
              <w:rPr>
                <w:color w:val="auto"/>
                <w:highlight w:val="none"/>
              </w:rPr>
              <w:t>55.0</w:t>
            </w:r>
          </w:p>
        </w:tc>
        <w:tc>
          <w:tcPr>
            <w:tcW w:w="395" w:type="pct"/>
            <w:vAlign w:val="center"/>
          </w:tcPr>
          <w:p w14:paraId="19470E58">
            <w:pPr>
              <w:pStyle w:val="43"/>
              <w:ind w:firstLine="0" w:firstLineChars="0"/>
              <w:rPr>
                <w:color w:val="auto"/>
                <w:highlight w:val="none"/>
              </w:rPr>
            </w:pPr>
            <w:r>
              <w:rPr>
                <w:color w:val="auto"/>
                <w:highlight w:val="none"/>
              </w:rPr>
              <w:t>45.5</w:t>
            </w:r>
          </w:p>
        </w:tc>
        <w:tc>
          <w:tcPr>
            <w:tcW w:w="396" w:type="pct"/>
            <w:vAlign w:val="center"/>
          </w:tcPr>
          <w:p w14:paraId="620E0572">
            <w:pPr>
              <w:pStyle w:val="43"/>
              <w:ind w:firstLine="0" w:firstLineChars="0"/>
              <w:rPr>
                <w:color w:val="auto"/>
                <w:highlight w:val="none"/>
              </w:rPr>
            </w:pPr>
            <w:r>
              <w:rPr>
                <w:color w:val="auto"/>
                <w:highlight w:val="none"/>
              </w:rPr>
              <w:t>41.0</w:t>
            </w:r>
          </w:p>
        </w:tc>
        <w:tc>
          <w:tcPr>
            <w:tcW w:w="395" w:type="pct"/>
            <w:vAlign w:val="center"/>
          </w:tcPr>
          <w:p w14:paraId="04ADDCA5">
            <w:pPr>
              <w:pStyle w:val="43"/>
              <w:ind w:firstLine="0" w:firstLineChars="0"/>
              <w:rPr>
                <w:color w:val="auto"/>
                <w:highlight w:val="none"/>
              </w:rPr>
            </w:pPr>
            <w:r>
              <w:rPr>
                <w:color w:val="auto"/>
                <w:highlight w:val="none"/>
              </w:rPr>
              <w:t>35.0</w:t>
            </w:r>
          </w:p>
        </w:tc>
        <w:tc>
          <w:tcPr>
            <w:tcW w:w="395" w:type="pct"/>
            <w:vAlign w:val="center"/>
          </w:tcPr>
          <w:p w14:paraId="7EA2FD6A">
            <w:pPr>
              <w:pStyle w:val="43"/>
              <w:ind w:firstLine="0" w:firstLineChars="0"/>
              <w:rPr>
                <w:color w:val="auto"/>
                <w:highlight w:val="none"/>
              </w:rPr>
            </w:pPr>
            <w:r>
              <w:rPr>
                <w:color w:val="auto"/>
                <w:highlight w:val="none"/>
              </w:rPr>
              <w:t>31.5</w:t>
            </w:r>
          </w:p>
        </w:tc>
        <w:tc>
          <w:tcPr>
            <w:tcW w:w="396" w:type="pct"/>
            <w:vAlign w:val="center"/>
          </w:tcPr>
          <w:p w14:paraId="359D3BED">
            <w:pPr>
              <w:pStyle w:val="43"/>
              <w:ind w:firstLine="0" w:firstLineChars="0"/>
              <w:rPr>
                <w:color w:val="auto"/>
                <w:highlight w:val="none"/>
              </w:rPr>
            </w:pPr>
            <w:r>
              <w:rPr>
                <w:color w:val="auto"/>
                <w:highlight w:val="none"/>
              </w:rPr>
              <w:t>29.0</w:t>
            </w:r>
          </w:p>
        </w:tc>
        <w:tc>
          <w:tcPr>
            <w:tcW w:w="395" w:type="pct"/>
            <w:vAlign w:val="center"/>
          </w:tcPr>
          <w:p w14:paraId="1090D131">
            <w:pPr>
              <w:pStyle w:val="43"/>
              <w:ind w:firstLine="0" w:firstLineChars="0"/>
              <w:rPr>
                <w:color w:val="auto"/>
                <w:highlight w:val="none"/>
              </w:rPr>
            </w:pPr>
            <w:r>
              <w:rPr>
                <w:color w:val="auto"/>
                <w:highlight w:val="none"/>
              </w:rPr>
              <w:t>27.1</w:t>
            </w:r>
          </w:p>
        </w:tc>
      </w:tr>
      <w:tr w14:paraId="5468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2" w:type="pct"/>
            <w:vMerge w:val="continue"/>
            <w:vAlign w:val="center"/>
          </w:tcPr>
          <w:p w14:paraId="6FA2221F">
            <w:pPr>
              <w:pStyle w:val="43"/>
              <w:rPr>
                <w:color w:val="auto"/>
                <w:highlight w:val="none"/>
              </w:rPr>
            </w:pPr>
          </w:p>
        </w:tc>
        <w:tc>
          <w:tcPr>
            <w:tcW w:w="1442" w:type="pct"/>
            <w:vAlign w:val="center"/>
          </w:tcPr>
          <w:p w14:paraId="5C8D5A77">
            <w:pPr>
              <w:pStyle w:val="43"/>
              <w:ind w:firstLine="0" w:firstLineChars="0"/>
              <w:rPr>
                <w:color w:val="auto"/>
                <w:highlight w:val="none"/>
              </w:rPr>
            </w:pPr>
            <w:r>
              <w:rPr>
                <w:color w:val="auto"/>
                <w:highlight w:val="none"/>
              </w:rPr>
              <w:t>电锯</w:t>
            </w:r>
          </w:p>
        </w:tc>
        <w:tc>
          <w:tcPr>
            <w:tcW w:w="334" w:type="pct"/>
            <w:vAlign w:val="center"/>
          </w:tcPr>
          <w:p w14:paraId="72EE3991">
            <w:pPr>
              <w:pStyle w:val="43"/>
              <w:ind w:firstLine="0" w:firstLineChars="0"/>
              <w:rPr>
                <w:color w:val="auto"/>
                <w:highlight w:val="none"/>
              </w:rPr>
            </w:pPr>
            <w:r>
              <w:rPr>
                <w:color w:val="auto"/>
                <w:highlight w:val="none"/>
              </w:rPr>
              <w:t>70</w:t>
            </w:r>
          </w:p>
        </w:tc>
        <w:tc>
          <w:tcPr>
            <w:tcW w:w="396" w:type="pct"/>
            <w:vAlign w:val="center"/>
          </w:tcPr>
          <w:p w14:paraId="1090A678">
            <w:pPr>
              <w:pStyle w:val="43"/>
              <w:ind w:firstLine="0" w:firstLineChars="0"/>
              <w:rPr>
                <w:color w:val="auto"/>
                <w:highlight w:val="none"/>
              </w:rPr>
            </w:pPr>
            <w:r>
              <w:rPr>
                <w:color w:val="auto"/>
                <w:highlight w:val="none"/>
              </w:rPr>
              <w:t>50.0</w:t>
            </w:r>
          </w:p>
        </w:tc>
        <w:tc>
          <w:tcPr>
            <w:tcW w:w="395" w:type="pct"/>
            <w:vAlign w:val="center"/>
          </w:tcPr>
          <w:p w14:paraId="00EFB10E">
            <w:pPr>
              <w:pStyle w:val="43"/>
              <w:ind w:firstLine="0" w:firstLineChars="0"/>
              <w:rPr>
                <w:color w:val="auto"/>
                <w:highlight w:val="none"/>
              </w:rPr>
            </w:pPr>
            <w:r>
              <w:rPr>
                <w:color w:val="auto"/>
                <w:highlight w:val="none"/>
              </w:rPr>
              <w:t>40.5</w:t>
            </w:r>
          </w:p>
        </w:tc>
        <w:tc>
          <w:tcPr>
            <w:tcW w:w="396" w:type="pct"/>
            <w:vAlign w:val="center"/>
          </w:tcPr>
          <w:p w14:paraId="2AA4980B">
            <w:pPr>
              <w:pStyle w:val="43"/>
              <w:ind w:firstLine="0" w:firstLineChars="0"/>
              <w:rPr>
                <w:color w:val="auto"/>
                <w:highlight w:val="none"/>
              </w:rPr>
            </w:pPr>
            <w:r>
              <w:rPr>
                <w:color w:val="auto"/>
                <w:highlight w:val="none"/>
              </w:rPr>
              <w:t>36.0</w:t>
            </w:r>
          </w:p>
        </w:tc>
        <w:tc>
          <w:tcPr>
            <w:tcW w:w="395" w:type="pct"/>
            <w:vAlign w:val="center"/>
          </w:tcPr>
          <w:p w14:paraId="3281D295">
            <w:pPr>
              <w:pStyle w:val="43"/>
              <w:ind w:firstLine="0" w:firstLineChars="0"/>
              <w:rPr>
                <w:color w:val="auto"/>
                <w:highlight w:val="none"/>
              </w:rPr>
            </w:pPr>
            <w:r>
              <w:rPr>
                <w:color w:val="auto"/>
                <w:highlight w:val="none"/>
              </w:rPr>
              <w:t>30.0</w:t>
            </w:r>
          </w:p>
        </w:tc>
        <w:tc>
          <w:tcPr>
            <w:tcW w:w="395" w:type="pct"/>
            <w:vAlign w:val="center"/>
          </w:tcPr>
          <w:p w14:paraId="5D44A837">
            <w:pPr>
              <w:pStyle w:val="43"/>
              <w:ind w:firstLine="0" w:firstLineChars="0"/>
              <w:rPr>
                <w:color w:val="auto"/>
                <w:highlight w:val="none"/>
              </w:rPr>
            </w:pPr>
            <w:r>
              <w:rPr>
                <w:color w:val="auto"/>
                <w:highlight w:val="none"/>
              </w:rPr>
              <w:t>26.5</w:t>
            </w:r>
          </w:p>
        </w:tc>
        <w:tc>
          <w:tcPr>
            <w:tcW w:w="396" w:type="pct"/>
            <w:vAlign w:val="center"/>
          </w:tcPr>
          <w:p w14:paraId="2B5EFEA0">
            <w:pPr>
              <w:pStyle w:val="43"/>
              <w:ind w:firstLine="0" w:firstLineChars="0"/>
              <w:rPr>
                <w:color w:val="auto"/>
                <w:highlight w:val="none"/>
              </w:rPr>
            </w:pPr>
            <w:r>
              <w:rPr>
                <w:color w:val="auto"/>
                <w:highlight w:val="none"/>
              </w:rPr>
              <w:t>24.0</w:t>
            </w:r>
          </w:p>
        </w:tc>
        <w:tc>
          <w:tcPr>
            <w:tcW w:w="395" w:type="pct"/>
            <w:vAlign w:val="center"/>
          </w:tcPr>
          <w:p w14:paraId="1A45CE9D">
            <w:pPr>
              <w:pStyle w:val="43"/>
              <w:ind w:firstLine="0" w:firstLineChars="0"/>
              <w:rPr>
                <w:color w:val="auto"/>
                <w:highlight w:val="none"/>
              </w:rPr>
            </w:pPr>
            <w:r>
              <w:rPr>
                <w:color w:val="auto"/>
                <w:highlight w:val="none"/>
              </w:rPr>
              <w:t>22.1</w:t>
            </w:r>
          </w:p>
        </w:tc>
      </w:tr>
    </w:tbl>
    <w:p w14:paraId="25044B06">
      <w:pPr>
        <w:pStyle w:val="41"/>
        <w:ind w:firstLine="480"/>
        <w:rPr>
          <w:color w:val="auto"/>
          <w:highlight w:val="none"/>
        </w:rPr>
      </w:pPr>
      <w:r>
        <w:rPr>
          <w:color w:val="auto"/>
          <w:highlight w:val="none"/>
        </w:rPr>
        <w:t>根据噪声叠加公式：</w:t>
      </w:r>
    </w:p>
    <w:p w14:paraId="71D5561F">
      <w:pPr>
        <w:pStyle w:val="41"/>
        <w:ind w:firstLine="480"/>
        <w:rPr>
          <w:color w:val="auto"/>
          <w:highlight w:val="none"/>
        </w:rPr>
      </w:pPr>
      <w:r>
        <w:rPr>
          <w:color w:val="auto"/>
          <w:highlight w:val="none"/>
        </w:rPr>
        <w:t>Leq</w:t>
      </w:r>
      <w:r>
        <w:rPr>
          <w:rFonts w:hint="eastAsia"/>
          <w:color w:val="auto"/>
          <w:highlight w:val="none"/>
          <w:lang w:eastAsia="zh-CN"/>
        </w:rPr>
        <w:t>=</w:t>
      </w:r>
      <w:r>
        <w:rPr>
          <w:color w:val="auto"/>
          <w:highlight w:val="none"/>
        </w:rPr>
        <w:t>10lg∑</w:t>
      </w:r>
      <w:r>
        <w:rPr>
          <w:rFonts w:hint="eastAsia"/>
          <w:color w:val="auto"/>
          <w:highlight w:val="none"/>
          <w:lang w:eastAsia="zh-CN"/>
        </w:rPr>
        <w:t>(</w:t>
      </w:r>
      <w:r>
        <w:rPr>
          <w:color w:val="auto"/>
          <w:highlight w:val="none"/>
        </w:rPr>
        <w:t>100.1L1+100.1L2+…100.1L</w:t>
      </w:r>
      <w:r>
        <w:rPr>
          <w:rFonts w:hint="eastAsia"/>
          <w:color w:val="auto"/>
          <w:highlight w:val="none"/>
          <w:lang w:eastAsia="zh-CN"/>
        </w:rPr>
        <w:t>i)</w:t>
      </w:r>
    </w:p>
    <w:p w14:paraId="743BA488">
      <w:pPr>
        <w:pStyle w:val="41"/>
        <w:ind w:firstLine="480"/>
        <w:rPr>
          <w:color w:val="auto"/>
          <w:highlight w:val="none"/>
        </w:rPr>
      </w:pPr>
      <w:r>
        <w:rPr>
          <w:color w:val="auto"/>
          <w:highlight w:val="none"/>
        </w:rPr>
        <w:t>式中：Li——其中单个噪声源的声级数，dB（A）</w:t>
      </w:r>
    </w:p>
    <w:p w14:paraId="06D27D57">
      <w:pPr>
        <w:pStyle w:val="41"/>
        <w:ind w:firstLine="480"/>
        <w:rPr>
          <w:color w:val="auto"/>
          <w:highlight w:val="none"/>
        </w:rPr>
      </w:pPr>
      <w:r>
        <w:rPr>
          <w:color w:val="auto"/>
          <w:highlight w:val="none"/>
        </w:rPr>
        <w:t>Leq——噪声源叠加后的值</w:t>
      </w:r>
    </w:p>
    <w:p w14:paraId="744D4154">
      <w:pPr>
        <w:pStyle w:val="41"/>
        <w:ind w:firstLine="480"/>
        <w:rPr>
          <w:color w:val="auto"/>
          <w:highlight w:val="none"/>
        </w:rPr>
      </w:pPr>
      <w:r>
        <w:rPr>
          <w:color w:val="auto"/>
          <w:highlight w:val="none"/>
        </w:rPr>
        <w:t>贡献值叠加结果见表</w:t>
      </w:r>
      <w:r>
        <w:rPr>
          <w:rFonts w:hint="eastAsia"/>
          <w:color w:val="auto"/>
          <w:highlight w:val="none"/>
        </w:rPr>
        <w:t>6</w:t>
      </w:r>
      <w:r>
        <w:rPr>
          <w:color w:val="auto"/>
          <w:highlight w:val="none"/>
        </w:rPr>
        <w:t>.</w:t>
      </w:r>
      <w:r>
        <w:rPr>
          <w:rFonts w:hint="eastAsia"/>
          <w:color w:val="auto"/>
          <w:highlight w:val="none"/>
          <w:lang w:val="en-US" w:eastAsia="zh-CN"/>
        </w:rPr>
        <w:t>4</w:t>
      </w:r>
      <w:r>
        <w:rPr>
          <w:color w:val="auto"/>
          <w:highlight w:val="none"/>
        </w:rPr>
        <w:t>-2。</w:t>
      </w:r>
    </w:p>
    <w:p w14:paraId="18450121">
      <w:pPr>
        <w:pStyle w:val="45"/>
        <w:rPr>
          <w:color w:val="auto"/>
          <w:highlight w:val="none"/>
        </w:rPr>
      </w:pPr>
      <w:r>
        <w:rPr>
          <w:color w:val="auto"/>
          <w:highlight w:val="none"/>
        </w:rPr>
        <w:t>表</w:t>
      </w:r>
      <w:r>
        <w:rPr>
          <w:rFonts w:hint="eastAsia"/>
          <w:color w:val="auto"/>
          <w:highlight w:val="none"/>
        </w:rPr>
        <w:t>6</w:t>
      </w:r>
      <w:r>
        <w:rPr>
          <w:color w:val="auto"/>
          <w:highlight w:val="none"/>
        </w:rPr>
        <w:t>.</w:t>
      </w:r>
      <w:r>
        <w:rPr>
          <w:rFonts w:hint="eastAsia"/>
          <w:color w:val="auto"/>
          <w:highlight w:val="none"/>
          <w:lang w:val="en-US" w:eastAsia="zh-CN"/>
        </w:rPr>
        <w:t>4</w:t>
      </w:r>
      <w:r>
        <w:rPr>
          <w:color w:val="auto"/>
          <w:highlight w:val="none"/>
        </w:rPr>
        <w:t>-2  贡献值预测结果一览表</w:t>
      </w:r>
    </w:p>
    <w:tbl>
      <w:tblPr>
        <w:tblStyle w:val="34"/>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1"/>
        <w:gridCol w:w="817"/>
        <w:gridCol w:w="756"/>
        <w:gridCol w:w="688"/>
        <w:gridCol w:w="688"/>
        <w:gridCol w:w="922"/>
        <w:gridCol w:w="976"/>
        <w:gridCol w:w="973"/>
        <w:gridCol w:w="973"/>
      </w:tblGrid>
      <w:tr w14:paraId="2160E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15" w:type="pct"/>
            <w:tcBorders>
              <w:top w:val="single" w:color="auto" w:sz="4" w:space="0"/>
              <w:left w:val="single" w:color="auto" w:sz="4" w:space="0"/>
              <w:bottom w:val="single" w:color="auto" w:sz="4" w:space="0"/>
              <w:right w:val="single" w:color="auto" w:sz="4" w:space="0"/>
            </w:tcBorders>
            <w:vAlign w:val="center"/>
          </w:tcPr>
          <w:p w14:paraId="28B04254">
            <w:pPr>
              <w:pStyle w:val="43"/>
              <w:rPr>
                <w:b/>
                <w:bCs/>
                <w:color w:val="auto"/>
                <w:highlight w:val="none"/>
              </w:rPr>
            </w:pPr>
            <w:r>
              <w:rPr>
                <w:b/>
                <w:bCs/>
                <w:color w:val="auto"/>
                <w:highlight w:val="none"/>
              </w:rPr>
              <w:t>距离</w:t>
            </w:r>
            <w:r>
              <w:rPr>
                <w:rFonts w:hint="eastAsia"/>
                <w:b/>
                <w:bCs/>
                <w:color w:val="auto"/>
                <w:highlight w:val="none"/>
              </w:rPr>
              <w:t>（</w:t>
            </w:r>
            <w:r>
              <w:rPr>
                <w:b/>
                <w:bCs/>
                <w:color w:val="auto"/>
                <w:highlight w:val="none"/>
              </w:rPr>
              <w:t>m</w:t>
            </w:r>
            <w:r>
              <w:rPr>
                <w:rFonts w:hint="eastAsia"/>
                <w:b/>
                <w:bCs/>
                <w:color w:val="auto"/>
                <w:highlight w:val="none"/>
              </w:rPr>
              <w:t>）</w:t>
            </w:r>
          </w:p>
        </w:tc>
        <w:tc>
          <w:tcPr>
            <w:tcW w:w="479" w:type="pct"/>
            <w:tcBorders>
              <w:top w:val="single" w:color="auto" w:sz="4" w:space="0"/>
              <w:left w:val="single" w:color="auto" w:sz="4" w:space="0"/>
              <w:bottom w:val="single" w:color="auto" w:sz="4" w:space="0"/>
              <w:right w:val="single" w:color="auto" w:sz="4" w:space="0"/>
            </w:tcBorders>
            <w:vAlign w:val="center"/>
          </w:tcPr>
          <w:p w14:paraId="7F1E4116">
            <w:pPr>
              <w:pStyle w:val="43"/>
              <w:rPr>
                <w:b/>
                <w:bCs/>
                <w:color w:val="auto"/>
                <w:highlight w:val="none"/>
              </w:rPr>
            </w:pPr>
            <w:r>
              <w:rPr>
                <w:b/>
                <w:bCs/>
                <w:color w:val="auto"/>
                <w:highlight w:val="none"/>
              </w:rPr>
              <w:t>1</w:t>
            </w:r>
          </w:p>
        </w:tc>
        <w:tc>
          <w:tcPr>
            <w:tcW w:w="443" w:type="pct"/>
            <w:tcBorders>
              <w:top w:val="single" w:color="auto" w:sz="4" w:space="0"/>
              <w:left w:val="single" w:color="auto" w:sz="4" w:space="0"/>
              <w:bottom w:val="single" w:color="auto" w:sz="4" w:space="0"/>
              <w:right w:val="single" w:color="auto" w:sz="4" w:space="0"/>
            </w:tcBorders>
            <w:vAlign w:val="center"/>
          </w:tcPr>
          <w:p w14:paraId="7F69D867">
            <w:pPr>
              <w:pStyle w:val="43"/>
              <w:rPr>
                <w:b/>
                <w:bCs/>
                <w:color w:val="auto"/>
                <w:highlight w:val="none"/>
              </w:rPr>
            </w:pPr>
            <w:r>
              <w:rPr>
                <w:b/>
                <w:bCs/>
                <w:color w:val="auto"/>
                <w:highlight w:val="none"/>
              </w:rPr>
              <w:t>10</w:t>
            </w:r>
          </w:p>
        </w:tc>
        <w:tc>
          <w:tcPr>
            <w:tcW w:w="403" w:type="pct"/>
            <w:tcBorders>
              <w:top w:val="single" w:color="auto" w:sz="4" w:space="0"/>
              <w:left w:val="single" w:color="auto" w:sz="4" w:space="0"/>
              <w:bottom w:val="single" w:color="auto" w:sz="4" w:space="0"/>
              <w:right w:val="single" w:color="auto" w:sz="4" w:space="0"/>
            </w:tcBorders>
            <w:vAlign w:val="center"/>
          </w:tcPr>
          <w:p w14:paraId="4EE72CAA">
            <w:pPr>
              <w:pStyle w:val="43"/>
              <w:rPr>
                <w:b/>
                <w:bCs/>
                <w:color w:val="auto"/>
                <w:highlight w:val="none"/>
              </w:rPr>
            </w:pPr>
            <w:r>
              <w:rPr>
                <w:b/>
                <w:bCs/>
                <w:color w:val="auto"/>
                <w:highlight w:val="none"/>
              </w:rPr>
              <w:t>30</w:t>
            </w:r>
          </w:p>
        </w:tc>
        <w:tc>
          <w:tcPr>
            <w:tcW w:w="403" w:type="pct"/>
            <w:tcBorders>
              <w:top w:val="single" w:color="auto" w:sz="4" w:space="0"/>
              <w:left w:val="single" w:color="auto" w:sz="4" w:space="0"/>
              <w:bottom w:val="single" w:color="auto" w:sz="4" w:space="0"/>
              <w:right w:val="single" w:color="auto" w:sz="4" w:space="0"/>
            </w:tcBorders>
            <w:vAlign w:val="center"/>
          </w:tcPr>
          <w:p w14:paraId="2840F856">
            <w:pPr>
              <w:pStyle w:val="43"/>
              <w:rPr>
                <w:b/>
                <w:bCs/>
                <w:color w:val="auto"/>
                <w:highlight w:val="none"/>
              </w:rPr>
            </w:pPr>
            <w:r>
              <w:rPr>
                <w:b/>
                <w:bCs/>
                <w:color w:val="auto"/>
                <w:highlight w:val="none"/>
              </w:rPr>
              <w:t>50</w:t>
            </w:r>
          </w:p>
        </w:tc>
        <w:tc>
          <w:tcPr>
            <w:tcW w:w="540" w:type="pct"/>
            <w:tcBorders>
              <w:top w:val="single" w:color="auto" w:sz="4" w:space="0"/>
              <w:left w:val="single" w:color="auto" w:sz="4" w:space="0"/>
              <w:bottom w:val="single" w:color="auto" w:sz="4" w:space="0"/>
              <w:right w:val="single" w:color="auto" w:sz="4" w:space="0"/>
            </w:tcBorders>
            <w:vAlign w:val="center"/>
          </w:tcPr>
          <w:p w14:paraId="3ED02D8B">
            <w:pPr>
              <w:pStyle w:val="43"/>
              <w:rPr>
                <w:b/>
                <w:bCs/>
                <w:color w:val="auto"/>
                <w:highlight w:val="none"/>
              </w:rPr>
            </w:pPr>
            <w:r>
              <w:rPr>
                <w:b/>
                <w:bCs/>
                <w:color w:val="auto"/>
                <w:highlight w:val="none"/>
              </w:rPr>
              <w:t>100</w:t>
            </w:r>
          </w:p>
        </w:tc>
        <w:tc>
          <w:tcPr>
            <w:tcW w:w="572" w:type="pct"/>
            <w:tcBorders>
              <w:top w:val="single" w:color="auto" w:sz="4" w:space="0"/>
              <w:left w:val="single" w:color="auto" w:sz="4" w:space="0"/>
              <w:bottom w:val="single" w:color="auto" w:sz="4" w:space="0"/>
              <w:right w:val="single" w:color="auto" w:sz="4" w:space="0"/>
            </w:tcBorders>
            <w:vAlign w:val="center"/>
          </w:tcPr>
          <w:p w14:paraId="2D5C4E1E">
            <w:pPr>
              <w:pStyle w:val="43"/>
              <w:rPr>
                <w:b/>
                <w:bCs/>
                <w:color w:val="auto"/>
                <w:highlight w:val="none"/>
              </w:rPr>
            </w:pPr>
            <w:r>
              <w:rPr>
                <w:b/>
                <w:bCs/>
                <w:color w:val="auto"/>
                <w:highlight w:val="none"/>
              </w:rPr>
              <w:t>150</w:t>
            </w:r>
          </w:p>
        </w:tc>
        <w:tc>
          <w:tcPr>
            <w:tcW w:w="570" w:type="pct"/>
            <w:tcBorders>
              <w:top w:val="single" w:color="auto" w:sz="4" w:space="0"/>
              <w:left w:val="single" w:color="auto" w:sz="4" w:space="0"/>
              <w:bottom w:val="single" w:color="auto" w:sz="4" w:space="0"/>
              <w:right w:val="single" w:color="auto" w:sz="4" w:space="0"/>
            </w:tcBorders>
            <w:vAlign w:val="center"/>
          </w:tcPr>
          <w:p w14:paraId="1A6AD3BA">
            <w:pPr>
              <w:pStyle w:val="43"/>
              <w:rPr>
                <w:b/>
                <w:bCs/>
                <w:color w:val="auto"/>
                <w:highlight w:val="none"/>
              </w:rPr>
            </w:pPr>
            <w:r>
              <w:rPr>
                <w:b/>
                <w:bCs/>
                <w:color w:val="auto"/>
                <w:highlight w:val="none"/>
              </w:rPr>
              <w:t>200</w:t>
            </w:r>
          </w:p>
        </w:tc>
        <w:tc>
          <w:tcPr>
            <w:tcW w:w="570" w:type="pct"/>
            <w:tcBorders>
              <w:top w:val="single" w:color="auto" w:sz="4" w:space="0"/>
              <w:left w:val="single" w:color="auto" w:sz="4" w:space="0"/>
              <w:bottom w:val="single" w:color="auto" w:sz="4" w:space="0"/>
              <w:right w:val="single" w:color="auto" w:sz="4" w:space="0"/>
            </w:tcBorders>
            <w:vAlign w:val="center"/>
          </w:tcPr>
          <w:p w14:paraId="7CBBA71D">
            <w:pPr>
              <w:pStyle w:val="43"/>
              <w:rPr>
                <w:b/>
                <w:bCs/>
                <w:color w:val="auto"/>
                <w:highlight w:val="none"/>
              </w:rPr>
            </w:pPr>
            <w:r>
              <w:rPr>
                <w:b/>
                <w:bCs/>
                <w:color w:val="auto"/>
                <w:highlight w:val="none"/>
              </w:rPr>
              <w:t>250</w:t>
            </w:r>
          </w:p>
        </w:tc>
      </w:tr>
      <w:tr w14:paraId="3C66D5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15" w:type="pct"/>
            <w:tcBorders>
              <w:top w:val="single" w:color="auto" w:sz="4" w:space="0"/>
              <w:left w:val="single" w:color="auto" w:sz="4" w:space="0"/>
              <w:bottom w:val="single" w:color="auto" w:sz="4" w:space="0"/>
              <w:right w:val="single" w:color="auto" w:sz="4" w:space="0"/>
            </w:tcBorders>
            <w:vAlign w:val="center"/>
          </w:tcPr>
          <w:p w14:paraId="61C14B78">
            <w:pPr>
              <w:pStyle w:val="43"/>
              <w:rPr>
                <w:color w:val="auto"/>
                <w:highlight w:val="none"/>
              </w:rPr>
            </w:pPr>
            <w:r>
              <w:rPr>
                <w:color w:val="auto"/>
                <w:highlight w:val="none"/>
              </w:rPr>
              <w:t>Leq(dBA)</w:t>
            </w:r>
          </w:p>
        </w:tc>
        <w:tc>
          <w:tcPr>
            <w:tcW w:w="479" w:type="pct"/>
            <w:tcBorders>
              <w:top w:val="single" w:color="auto" w:sz="4" w:space="0"/>
              <w:left w:val="single" w:color="auto" w:sz="4" w:space="0"/>
              <w:bottom w:val="single" w:color="auto" w:sz="4" w:space="0"/>
              <w:right w:val="single" w:color="auto" w:sz="4" w:space="0"/>
            </w:tcBorders>
            <w:vAlign w:val="center"/>
          </w:tcPr>
          <w:p w14:paraId="69FFEB4B">
            <w:pPr>
              <w:pStyle w:val="43"/>
              <w:rPr>
                <w:color w:val="auto"/>
                <w:highlight w:val="none"/>
              </w:rPr>
            </w:pPr>
            <w:r>
              <w:rPr>
                <w:color w:val="auto"/>
                <w:highlight w:val="none"/>
              </w:rPr>
              <w:t>76</w:t>
            </w:r>
          </w:p>
        </w:tc>
        <w:tc>
          <w:tcPr>
            <w:tcW w:w="443" w:type="pct"/>
            <w:tcBorders>
              <w:top w:val="single" w:color="auto" w:sz="4" w:space="0"/>
              <w:left w:val="single" w:color="auto" w:sz="4" w:space="0"/>
              <w:bottom w:val="single" w:color="auto" w:sz="4" w:space="0"/>
              <w:right w:val="single" w:color="auto" w:sz="4" w:space="0"/>
            </w:tcBorders>
            <w:vAlign w:val="center"/>
          </w:tcPr>
          <w:p w14:paraId="4BEF8759">
            <w:pPr>
              <w:pStyle w:val="43"/>
              <w:rPr>
                <w:color w:val="auto"/>
                <w:highlight w:val="none"/>
              </w:rPr>
            </w:pPr>
            <w:r>
              <w:rPr>
                <w:color w:val="auto"/>
                <w:highlight w:val="none"/>
              </w:rPr>
              <w:t>56.7</w:t>
            </w:r>
          </w:p>
        </w:tc>
        <w:tc>
          <w:tcPr>
            <w:tcW w:w="403" w:type="pct"/>
            <w:tcBorders>
              <w:top w:val="single" w:color="auto" w:sz="4" w:space="0"/>
              <w:left w:val="single" w:color="auto" w:sz="4" w:space="0"/>
              <w:bottom w:val="single" w:color="auto" w:sz="4" w:space="0"/>
              <w:right w:val="single" w:color="auto" w:sz="4" w:space="0"/>
            </w:tcBorders>
            <w:vAlign w:val="center"/>
          </w:tcPr>
          <w:p w14:paraId="1ABC346C">
            <w:pPr>
              <w:pStyle w:val="43"/>
              <w:rPr>
                <w:color w:val="auto"/>
                <w:highlight w:val="none"/>
              </w:rPr>
            </w:pPr>
            <w:r>
              <w:rPr>
                <w:color w:val="auto"/>
                <w:highlight w:val="none"/>
              </w:rPr>
              <w:t>46.0</w:t>
            </w:r>
          </w:p>
        </w:tc>
        <w:tc>
          <w:tcPr>
            <w:tcW w:w="403" w:type="pct"/>
            <w:tcBorders>
              <w:top w:val="single" w:color="auto" w:sz="4" w:space="0"/>
              <w:left w:val="single" w:color="auto" w:sz="4" w:space="0"/>
              <w:bottom w:val="single" w:color="auto" w:sz="4" w:space="0"/>
              <w:right w:val="single" w:color="auto" w:sz="4" w:space="0"/>
            </w:tcBorders>
            <w:vAlign w:val="center"/>
          </w:tcPr>
          <w:p w14:paraId="05F1963B">
            <w:pPr>
              <w:pStyle w:val="43"/>
              <w:rPr>
                <w:color w:val="auto"/>
                <w:highlight w:val="none"/>
              </w:rPr>
            </w:pPr>
            <w:r>
              <w:rPr>
                <w:color w:val="auto"/>
                <w:highlight w:val="none"/>
              </w:rPr>
              <w:t>41.5</w:t>
            </w:r>
          </w:p>
        </w:tc>
        <w:tc>
          <w:tcPr>
            <w:tcW w:w="540" w:type="pct"/>
            <w:tcBorders>
              <w:top w:val="single" w:color="auto" w:sz="4" w:space="0"/>
              <w:left w:val="single" w:color="auto" w:sz="4" w:space="0"/>
              <w:bottom w:val="single" w:color="auto" w:sz="4" w:space="0"/>
              <w:right w:val="single" w:color="auto" w:sz="4" w:space="0"/>
            </w:tcBorders>
            <w:vAlign w:val="center"/>
          </w:tcPr>
          <w:p w14:paraId="3894FB42">
            <w:pPr>
              <w:pStyle w:val="43"/>
              <w:rPr>
                <w:color w:val="auto"/>
                <w:highlight w:val="none"/>
              </w:rPr>
            </w:pPr>
            <w:r>
              <w:rPr>
                <w:color w:val="auto"/>
                <w:highlight w:val="none"/>
              </w:rPr>
              <w:t>35.1</w:t>
            </w:r>
          </w:p>
        </w:tc>
        <w:tc>
          <w:tcPr>
            <w:tcW w:w="572" w:type="pct"/>
            <w:tcBorders>
              <w:top w:val="single" w:color="auto" w:sz="4" w:space="0"/>
              <w:left w:val="single" w:color="auto" w:sz="4" w:space="0"/>
              <w:bottom w:val="single" w:color="auto" w:sz="4" w:space="0"/>
              <w:right w:val="single" w:color="auto" w:sz="4" w:space="0"/>
            </w:tcBorders>
            <w:vAlign w:val="center"/>
          </w:tcPr>
          <w:p w14:paraId="1ADB6427">
            <w:pPr>
              <w:pStyle w:val="43"/>
              <w:rPr>
                <w:color w:val="auto"/>
                <w:highlight w:val="none"/>
              </w:rPr>
            </w:pPr>
            <w:r>
              <w:rPr>
                <w:color w:val="auto"/>
                <w:highlight w:val="none"/>
              </w:rPr>
              <w:t>32.0</w:t>
            </w:r>
          </w:p>
        </w:tc>
        <w:tc>
          <w:tcPr>
            <w:tcW w:w="570" w:type="pct"/>
            <w:tcBorders>
              <w:top w:val="single" w:color="auto" w:sz="4" w:space="0"/>
              <w:left w:val="single" w:color="auto" w:sz="4" w:space="0"/>
              <w:bottom w:val="single" w:color="auto" w:sz="4" w:space="0"/>
              <w:right w:val="single" w:color="auto" w:sz="4" w:space="0"/>
            </w:tcBorders>
            <w:vAlign w:val="center"/>
          </w:tcPr>
          <w:p w14:paraId="7F7123B2">
            <w:pPr>
              <w:pStyle w:val="43"/>
              <w:rPr>
                <w:color w:val="auto"/>
                <w:highlight w:val="none"/>
              </w:rPr>
            </w:pPr>
            <w:r>
              <w:rPr>
                <w:color w:val="auto"/>
                <w:highlight w:val="none"/>
              </w:rPr>
              <w:t>29.1</w:t>
            </w:r>
          </w:p>
        </w:tc>
        <w:tc>
          <w:tcPr>
            <w:tcW w:w="570" w:type="pct"/>
            <w:tcBorders>
              <w:top w:val="single" w:color="auto" w:sz="4" w:space="0"/>
              <w:left w:val="single" w:color="auto" w:sz="4" w:space="0"/>
              <w:bottom w:val="single" w:color="auto" w:sz="4" w:space="0"/>
              <w:right w:val="single" w:color="auto" w:sz="4" w:space="0"/>
            </w:tcBorders>
            <w:vAlign w:val="center"/>
          </w:tcPr>
          <w:p w14:paraId="6ECE7C18">
            <w:pPr>
              <w:pStyle w:val="43"/>
              <w:rPr>
                <w:color w:val="auto"/>
                <w:highlight w:val="none"/>
              </w:rPr>
            </w:pPr>
            <w:r>
              <w:rPr>
                <w:color w:val="auto"/>
                <w:highlight w:val="none"/>
              </w:rPr>
              <w:t>27.5</w:t>
            </w:r>
          </w:p>
        </w:tc>
      </w:tr>
    </w:tbl>
    <w:p w14:paraId="7742F252">
      <w:pPr>
        <w:pStyle w:val="41"/>
        <w:ind w:firstLine="482"/>
        <w:rPr>
          <w:b/>
          <w:bCs/>
          <w:color w:val="auto"/>
          <w:highlight w:val="none"/>
        </w:rPr>
      </w:pPr>
      <w:r>
        <w:rPr>
          <w:b/>
          <w:bCs/>
          <w:color w:val="auto"/>
          <w:highlight w:val="none"/>
        </w:rPr>
        <w:t>（2）施工噪声影响结果分析</w:t>
      </w:r>
    </w:p>
    <w:p w14:paraId="77C18648">
      <w:pPr>
        <w:pStyle w:val="41"/>
        <w:ind w:firstLine="480"/>
        <w:rPr>
          <w:color w:val="auto"/>
          <w:highlight w:val="none"/>
        </w:rPr>
      </w:pPr>
      <w:r>
        <w:rPr>
          <w:color w:val="auto"/>
          <w:highlight w:val="none"/>
        </w:rPr>
        <w:t>项目夜间不施工</w:t>
      </w:r>
      <w:r>
        <w:rPr>
          <w:rFonts w:hint="eastAsia"/>
          <w:color w:val="auto"/>
          <w:highlight w:val="none"/>
          <w:lang w:eastAsia="zh-CN"/>
        </w:rPr>
        <w:t>，根</w:t>
      </w:r>
      <w:r>
        <w:rPr>
          <w:color w:val="auto"/>
          <w:highlight w:val="none"/>
        </w:rPr>
        <w:t>据表</w:t>
      </w:r>
      <w:r>
        <w:rPr>
          <w:rFonts w:hint="eastAsia"/>
          <w:color w:val="auto"/>
          <w:highlight w:val="none"/>
        </w:rPr>
        <w:t>6</w:t>
      </w:r>
      <w:r>
        <w:rPr>
          <w:color w:val="auto"/>
          <w:highlight w:val="none"/>
        </w:rPr>
        <w:t>.</w:t>
      </w:r>
      <w:r>
        <w:rPr>
          <w:rFonts w:hint="eastAsia"/>
          <w:color w:val="auto"/>
          <w:highlight w:val="none"/>
          <w:lang w:val="en-US" w:eastAsia="zh-CN"/>
        </w:rPr>
        <w:t>4</w:t>
      </w:r>
      <w:r>
        <w:rPr>
          <w:color w:val="auto"/>
          <w:highlight w:val="none"/>
        </w:rPr>
        <w:t>-2，施工噪声的影响范围在10m内，经现场踏勘，项目周边10m内无学校、村庄</w:t>
      </w:r>
      <w:r>
        <w:rPr>
          <w:rFonts w:hint="eastAsia"/>
          <w:color w:val="auto"/>
          <w:highlight w:val="none"/>
        </w:rPr>
        <w:t>、住宅区</w:t>
      </w:r>
      <w:r>
        <w:rPr>
          <w:color w:val="auto"/>
          <w:highlight w:val="none"/>
        </w:rPr>
        <w:t>等敏感目标，且由于施工期较短，随着施工期的结束，施工期噪声的影响也随之消失，为减缓施工噪声的影响，本环评提出如下措施：</w:t>
      </w:r>
    </w:p>
    <w:p w14:paraId="7E29F957">
      <w:pPr>
        <w:pStyle w:val="41"/>
        <w:ind w:firstLine="480"/>
        <w:rPr>
          <w:color w:val="auto"/>
          <w:highlight w:val="none"/>
        </w:rPr>
      </w:pPr>
      <w:r>
        <w:rPr>
          <w:color w:val="auto"/>
          <w:highlight w:val="none"/>
        </w:rPr>
        <w:t>①夜间禁止施工；</w:t>
      </w:r>
    </w:p>
    <w:p w14:paraId="10E5F50A">
      <w:pPr>
        <w:pStyle w:val="41"/>
        <w:ind w:firstLine="480"/>
        <w:rPr>
          <w:color w:val="auto"/>
          <w:highlight w:val="none"/>
        </w:rPr>
      </w:pPr>
      <w:r>
        <w:rPr>
          <w:color w:val="auto"/>
          <w:highlight w:val="none"/>
        </w:rPr>
        <w:t>②建筑材料尽量定尺、定块，减少现场切割；</w:t>
      </w:r>
    </w:p>
    <w:p w14:paraId="1ECF54E4">
      <w:pPr>
        <w:pStyle w:val="41"/>
        <w:ind w:firstLine="480"/>
        <w:rPr>
          <w:color w:val="auto"/>
          <w:highlight w:val="none"/>
        </w:rPr>
      </w:pPr>
      <w:r>
        <w:rPr>
          <w:color w:val="auto"/>
          <w:highlight w:val="none"/>
        </w:rPr>
        <w:t>③施工人员装卸、使用材料时必须轻拿轻放；</w:t>
      </w:r>
    </w:p>
    <w:p w14:paraId="42BB7A2B">
      <w:pPr>
        <w:pStyle w:val="41"/>
        <w:ind w:firstLine="480"/>
        <w:rPr>
          <w:color w:val="auto"/>
          <w:highlight w:val="none"/>
        </w:rPr>
      </w:pPr>
      <w:r>
        <w:rPr>
          <w:color w:val="auto"/>
          <w:highlight w:val="none"/>
        </w:rPr>
        <w:t>④合理安排施工进度</w:t>
      </w:r>
      <w:r>
        <w:rPr>
          <w:rFonts w:hint="eastAsia"/>
          <w:color w:val="auto"/>
          <w:highlight w:val="none"/>
        </w:rPr>
        <w:t>。</w:t>
      </w:r>
    </w:p>
    <w:p w14:paraId="5501EB69">
      <w:pPr>
        <w:pStyle w:val="41"/>
        <w:ind w:firstLine="480"/>
        <w:rPr>
          <w:color w:val="auto"/>
          <w:highlight w:val="none"/>
        </w:rPr>
      </w:pPr>
      <w:r>
        <w:rPr>
          <w:color w:val="auto"/>
          <w:highlight w:val="none"/>
        </w:rPr>
        <w:t>采取以上措施后，可有效降低项目施工噪声对周边环境的影响，</w:t>
      </w:r>
      <w:r>
        <w:rPr>
          <w:rFonts w:hint="eastAsia"/>
          <w:color w:val="auto"/>
          <w:highlight w:val="none"/>
        </w:rPr>
        <w:t>施工噪声能达到</w:t>
      </w:r>
      <w:r>
        <w:rPr>
          <w:color w:val="auto"/>
          <w:highlight w:val="none"/>
        </w:rPr>
        <w:t>《建筑施工噪声排放标准》（GB12523-20</w:t>
      </w:r>
      <w:r>
        <w:rPr>
          <w:rFonts w:hint="eastAsia"/>
          <w:color w:val="auto"/>
          <w:highlight w:val="none"/>
          <w:lang w:val="en-US" w:eastAsia="zh-CN"/>
        </w:rPr>
        <w:t>25</w:t>
      </w:r>
      <w:r>
        <w:rPr>
          <w:color w:val="auto"/>
          <w:highlight w:val="none"/>
        </w:rPr>
        <w:t>）</w:t>
      </w:r>
      <w:r>
        <w:rPr>
          <w:rFonts w:hint="eastAsia"/>
          <w:color w:val="auto"/>
          <w:highlight w:val="none"/>
        </w:rPr>
        <w:t>要求，</w:t>
      </w:r>
      <w:r>
        <w:rPr>
          <w:color w:val="auto"/>
          <w:highlight w:val="none"/>
        </w:rPr>
        <w:t>且项目施工</w:t>
      </w:r>
      <w:r>
        <w:rPr>
          <w:rFonts w:hint="eastAsia"/>
          <w:color w:val="auto"/>
          <w:highlight w:val="none"/>
        </w:rPr>
        <w:t>时间</w:t>
      </w:r>
      <w:r>
        <w:rPr>
          <w:color w:val="auto"/>
          <w:highlight w:val="none"/>
        </w:rPr>
        <w:t>是短暂的，施工噪声随施工期结束而消失。项目施工期噪声对周围环境的影响是可以接受的。</w:t>
      </w:r>
    </w:p>
    <w:p w14:paraId="012BD9E6">
      <w:pPr>
        <w:pStyle w:val="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运营期声环境影响</w:t>
      </w:r>
    </w:p>
    <w:p w14:paraId="054962F6">
      <w:pPr>
        <w:pStyle w:val="41"/>
        <w:bidi w:val="0"/>
        <w:rPr>
          <w:rFonts w:hint="default"/>
          <w:lang w:val="en-US" w:eastAsia="zh-CN"/>
        </w:rPr>
      </w:pPr>
      <w:r>
        <w:rPr>
          <w:rFonts w:hint="default"/>
          <w:lang w:val="en-US" w:eastAsia="zh-CN"/>
        </w:rPr>
        <w:t>（1）矿山开采爆破噪声及振动影响分析</w:t>
      </w:r>
    </w:p>
    <w:p w14:paraId="0FDEB6E0">
      <w:pPr>
        <w:pStyle w:val="41"/>
        <w:bidi w:val="0"/>
        <w:rPr>
          <w:rFonts w:hint="default"/>
          <w:lang w:val="en-US" w:eastAsia="zh-CN"/>
        </w:rPr>
      </w:pPr>
      <w:r>
        <w:rPr>
          <w:rFonts w:hint="default"/>
          <w:lang w:val="en-US" w:eastAsia="zh-CN"/>
        </w:rPr>
        <w:t>1）矿山开采爆破噪声</w:t>
      </w:r>
    </w:p>
    <w:p w14:paraId="1F82401D">
      <w:pPr>
        <w:pStyle w:val="41"/>
        <w:bidi w:val="0"/>
        <w:rPr>
          <w:rFonts w:hint="default"/>
          <w:lang w:val="en-US" w:eastAsia="zh-CN"/>
        </w:rPr>
      </w:pPr>
      <w:r>
        <w:rPr>
          <w:rFonts w:hint="default"/>
          <w:lang w:val="en-US" w:eastAsia="zh-CN"/>
        </w:rPr>
        <w:t>爆破噪声为瞬间突发噪声，具有持续时间短，频率低，源强大等特点，随爆破声结束后即消失，其声功率高达120dB（A），</w:t>
      </w:r>
      <w:r>
        <w:rPr>
          <w:rFonts w:hint="eastAsia"/>
          <w:lang w:val="en-US" w:eastAsia="zh-CN"/>
        </w:rPr>
        <w:t>爆破过程产生的噪声</w:t>
      </w:r>
      <w:r>
        <w:rPr>
          <w:rFonts w:hint="default"/>
          <w:lang w:val="en-US" w:eastAsia="zh-CN"/>
        </w:rPr>
        <w:t>对采场周边地区有一定影响。</w:t>
      </w:r>
    </w:p>
    <w:p w14:paraId="4D7EE185">
      <w:pPr>
        <w:pStyle w:val="41"/>
        <w:bidi w:val="0"/>
        <w:rPr>
          <w:rFonts w:hint="default"/>
          <w:lang w:val="en-US" w:eastAsia="zh-CN"/>
        </w:rPr>
      </w:pPr>
      <w:r>
        <w:rPr>
          <w:rFonts w:hint="default"/>
          <w:lang w:val="en-US" w:eastAsia="zh-CN"/>
        </w:rPr>
        <w:t>矿山仅昼间进行爆破，项目矿区200m范围内无声环境敏感目标，</w:t>
      </w:r>
      <w:r>
        <w:rPr>
          <w:rFonts w:hint="eastAsia"/>
          <w:lang w:val="en-US" w:eastAsia="zh-CN"/>
        </w:rPr>
        <w:t>距离采场较近的村庄为西北侧935m的石灰窑村，东南侧1.1km的大西寨村，西南侧900m的王家庄，与矿区均以山体隔绝，</w:t>
      </w:r>
      <w:r>
        <w:rPr>
          <w:rFonts w:hint="default"/>
          <w:lang w:val="en-US" w:eastAsia="zh-CN"/>
        </w:rPr>
        <w:t>爆破声音可得到有效削减，爆破时建设单位需提前通知周边企业和村民，让企业和村民提前预知，减少爆破噪声对群众和村民的惊吓影响。同时，爆破产生的噪声对周边野生动物会有一定的影响</w:t>
      </w:r>
      <w:r>
        <w:rPr>
          <w:rFonts w:hint="eastAsia"/>
          <w:lang w:val="en-US" w:eastAsia="zh-CN"/>
        </w:rPr>
        <w:t>，根据生态现状调查，评价区重要动物物种主要有</w:t>
      </w:r>
      <w:r>
        <w:t>雀鹰</w:t>
      </w:r>
      <w:r>
        <w:rPr>
          <w:rFonts w:hint="eastAsia"/>
          <w:lang w:eastAsia="zh-CN"/>
        </w:rPr>
        <w:t>、</w:t>
      </w:r>
      <w:r>
        <w:rPr>
          <w:rFonts w:hint="eastAsia"/>
        </w:rPr>
        <w:t>普通鵟</w:t>
      </w:r>
      <w:r>
        <w:rPr>
          <w:rFonts w:hint="eastAsia"/>
          <w:lang w:eastAsia="zh-CN"/>
        </w:rPr>
        <w:t>、</w:t>
      </w:r>
      <w:r>
        <w:rPr>
          <w:rFonts w:hint="eastAsia"/>
        </w:rPr>
        <w:t>红隼</w:t>
      </w:r>
      <w:r>
        <w:rPr>
          <w:rFonts w:hint="eastAsia"/>
          <w:lang w:eastAsia="zh-CN"/>
        </w:rPr>
        <w:t>、</w:t>
      </w:r>
      <w:r>
        <w:t>白腹锦鸡</w:t>
      </w:r>
      <w:r>
        <w:rPr>
          <w:rFonts w:hint="eastAsia"/>
          <w:lang w:eastAsia="zh-CN"/>
        </w:rPr>
        <w:t>、</w:t>
      </w:r>
      <w:r>
        <w:rPr>
          <w:rFonts w:hint="eastAsia"/>
        </w:rPr>
        <w:t>灰林鸮</w:t>
      </w:r>
      <w:r>
        <w:rPr>
          <w:rFonts w:hint="eastAsia"/>
          <w:lang w:eastAsia="zh-CN"/>
        </w:rPr>
        <w:t>、</w:t>
      </w:r>
      <w:r>
        <w:rPr>
          <w:rFonts w:hint="eastAsia"/>
          <w:lang w:val="en-US" w:eastAsia="zh-CN"/>
        </w:rPr>
        <w:t>画眉等鸟禽，豹猫及</w:t>
      </w:r>
      <w:r>
        <w:rPr>
          <w:rFonts w:hint="eastAsia"/>
        </w:rPr>
        <w:t>黑眉晨蛇</w:t>
      </w:r>
      <w:r>
        <w:rPr>
          <w:rFonts w:hint="eastAsia"/>
          <w:lang w:val="en-US" w:eastAsia="zh-CN"/>
        </w:rPr>
        <w:t>等动物，经调查，</w:t>
      </w:r>
      <w:r>
        <w:rPr>
          <w:rFonts w:hint="eastAsia"/>
        </w:rPr>
        <w:t>本项目占地区及外围生态评价区不涉及陆生野生动物重要栖息地</w:t>
      </w:r>
      <w:r>
        <w:rPr>
          <w:rFonts w:hint="eastAsia"/>
          <w:lang w:val="en-US" w:eastAsia="zh-CN"/>
        </w:rPr>
        <w:t>。且爆破为瞬时噪声，项目爆破周期较长，约5天一次，不涉及持续高噪声影响</w:t>
      </w:r>
      <w:r>
        <w:rPr>
          <w:rFonts w:hint="default"/>
          <w:lang w:val="en-US" w:eastAsia="zh-CN"/>
        </w:rPr>
        <w:t>，</w:t>
      </w:r>
      <w:r>
        <w:rPr>
          <w:rFonts w:hint="eastAsia"/>
          <w:lang w:val="en-US" w:eastAsia="zh-CN"/>
        </w:rPr>
        <w:t>因此，</w:t>
      </w:r>
      <w:r>
        <w:rPr>
          <w:rFonts w:hint="default"/>
          <w:lang w:val="en-US" w:eastAsia="zh-CN"/>
        </w:rPr>
        <w:t>爆破噪声对周围动物影响小。</w:t>
      </w:r>
    </w:p>
    <w:p w14:paraId="6272A42C">
      <w:pPr>
        <w:pStyle w:val="41"/>
        <w:bidi w:val="0"/>
        <w:rPr>
          <w:rFonts w:hint="default"/>
          <w:lang w:val="en-US" w:eastAsia="zh-CN"/>
        </w:rPr>
      </w:pPr>
      <w:r>
        <w:rPr>
          <w:rFonts w:hint="default"/>
          <w:lang w:val="en-US" w:eastAsia="zh-CN"/>
        </w:rPr>
        <w:t>2）爆破振动</w:t>
      </w:r>
    </w:p>
    <w:p w14:paraId="0B0BF093">
      <w:pPr>
        <w:pStyle w:val="41"/>
        <w:bidi w:val="0"/>
        <w:rPr>
          <w:rFonts w:hint="default"/>
          <w:lang w:val="en-US" w:eastAsia="zh-CN"/>
        </w:rPr>
      </w:pPr>
      <w:r>
        <w:rPr>
          <w:rFonts w:hint="default"/>
          <w:lang w:val="en-US" w:eastAsia="zh-CN"/>
        </w:rPr>
        <w:t>项目生产爆破主要为采矿爆破，爆破存在于矿山的整个服务期限内，瞬间的采矿爆破作用形成的振动对岩体结构及矿区地层稳定有一定影响。爆破作用在振动区内所导致的现象和后果，称为爆破地振效应。爆破作用在振动区内所引起的振动强烈程度，随着一次爆破炸药量的多少而不同。大的振动将带来较大的危害，小的振动一般影响较小，若十分频繁亦将造成损害。这些危害包括：</w:t>
      </w:r>
      <w:r>
        <w:rPr>
          <w:rFonts w:hint="eastAsia"/>
          <w:lang w:val="en-US" w:eastAsia="zh-CN"/>
        </w:rPr>
        <w:t>爆破</w:t>
      </w:r>
      <w:r>
        <w:rPr>
          <w:rFonts w:hint="default"/>
          <w:lang w:val="en-US" w:eastAsia="zh-CN"/>
        </w:rPr>
        <w:t>警戒线（初步设计确定下坡方向爆破警戒范围为300m，其余方向爆破警戒范围为200m）范围内的建构筑物遭到破坏，诱发崩塌、地表沉陷等。本项目爆破振动为瞬时噪声，产生时间短，振动源强约为120dB（A）</w:t>
      </w:r>
      <w:r>
        <w:rPr>
          <w:rFonts w:hint="eastAsia"/>
          <w:lang w:val="en-US" w:eastAsia="zh-CN"/>
        </w:rPr>
        <w:t>。</w:t>
      </w:r>
    </w:p>
    <w:p w14:paraId="2F762BF2">
      <w:pPr>
        <w:pStyle w:val="41"/>
        <w:bidi w:val="0"/>
        <w:rPr>
          <w:rFonts w:hint="default"/>
          <w:lang w:val="en-US" w:eastAsia="zh-CN"/>
        </w:rPr>
      </w:pPr>
      <w:r>
        <w:rPr>
          <w:rFonts w:hint="default"/>
          <w:lang w:val="en-US" w:eastAsia="zh-CN"/>
        </w:rPr>
        <w:t>根据矿区岩石物理性质特征和矿山规模的特点，矿山爆破采用微差电磁雷管起爆，具体爆破工作委托专业爆破公司实施。本项目年用炸药量为5</w:t>
      </w:r>
      <w:r>
        <w:rPr>
          <w:rFonts w:hint="eastAsia"/>
          <w:lang w:val="en-US" w:eastAsia="zh-CN"/>
        </w:rPr>
        <w:t>0</w:t>
      </w:r>
      <w:r>
        <w:rPr>
          <w:rFonts w:hint="default"/>
          <w:lang w:val="en-US" w:eastAsia="zh-CN"/>
        </w:rPr>
        <w:t>t/a左右</w:t>
      </w:r>
      <w:r>
        <w:rPr>
          <w:rFonts w:hint="eastAsia"/>
          <w:lang w:val="en-US" w:eastAsia="zh-CN"/>
        </w:rPr>
        <w:t>。</w:t>
      </w:r>
      <w:r>
        <w:rPr>
          <w:rFonts w:hint="default"/>
          <w:lang w:val="en-US" w:eastAsia="zh-CN"/>
        </w:rPr>
        <w:t>经山体阻隔和距离衰减后，对周围环境影响较小，且项目夜间不爆破，不会对周围环境产生较大的影响。</w:t>
      </w:r>
    </w:p>
    <w:p w14:paraId="4279F46D">
      <w:pPr>
        <w:pStyle w:val="41"/>
        <w:bidi w:val="0"/>
        <w:rPr>
          <w:rFonts w:hint="default"/>
          <w:lang w:val="en-US" w:eastAsia="zh-CN"/>
        </w:rPr>
      </w:pPr>
      <w:r>
        <w:rPr>
          <w:rFonts w:hint="default"/>
          <w:lang w:val="en-US" w:eastAsia="zh-CN"/>
        </w:rPr>
        <w:t>（2）产品运输噪声影响分析</w:t>
      </w:r>
    </w:p>
    <w:p w14:paraId="57257BA4">
      <w:pPr>
        <w:pStyle w:val="41"/>
        <w:bidi w:val="0"/>
        <w:rPr>
          <w:rFonts w:hint="default"/>
          <w:lang w:val="en-US" w:eastAsia="zh-CN"/>
        </w:rPr>
      </w:pPr>
      <w:r>
        <w:rPr>
          <w:rFonts w:hint="default"/>
          <w:lang w:val="en-US" w:eastAsia="zh-CN"/>
        </w:rPr>
        <w:t>本矿山在矿区范围内运输矿石及废土石将产生交通噪声，但车辆仅在矿区内活动，对周边环境的影响不大。本项目产品运输频次不固定，产品运输销售通过公路旁村庄时会产生较大的瞬时汽车噪声。本环评要求，运输车辆途经村庄时必须匀速慢行，减少鸣笛等，以降低交通噪声对沿途村庄的影响。移动线声源噪声主要为运输车辆噪声，其影响主要集中在运输线路附近，通过采取限速、禁止鸣笛等措施后，对周围环境影响较小。</w:t>
      </w:r>
    </w:p>
    <w:p w14:paraId="1B368C53">
      <w:pPr>
        <w:pStyle w:val="41"/>
        <w:bidi w:val="0"/>
        <w:rPr>
          <w:rFonts w:hint="default"/>
          <w:lang w:val="en-US" w:eastAsia="zh-CN"/>
        </w:rPr>
      </w:pPr>
      <w:r>
        <w:rPr>
          <w:rFonts w:hint="default"/>
          <w:lang w:val="en-US" w:eastAsia="zh-CN"/>
        </w:rPr>
        <w:t>（3）开采区及加工区噪声影响分析</w:t>
      </w:r>
    </w:p>
    <w:p w14:paraId="1327469A">
      <w:pPr>
        <w:pStyle w:val="41"/>
        <w:bidi w:val="0"/>
        <w:rPr>
          <w:rFonts w:hint="default"/>
          <w:lang w:val="en-US" w:eastAsia="zh-CN"/>
        </w:rPr>
      </w:pPr>
      <w:r>
        <w:rPr>
          <w:rFonts w:hint="eastAsia"/>
          <w:lang w:val="en-US" w:eastAsia="zh-CN"/>
        </w:rPr>
        <w:t>1）噪声源强分析</w:t>
      </w:r>
    </w:p>
    <w:p w14:paraId="7CF479EA">
      <w:pPr>
        <w:pStyle w:val="41"/>
        <w:bidi w:val="0"/>
        <w:rPr>
          <w:rFonts w:hint="default"/>
          <w:lang w:val="en-US" w:eastAsia="zh-CN"/>
        </w:rPr>
      </w:pPr>
      <w:r>
        <w:rPr>
          <w:rFonts w:hint="eastAsia"/>
          <w:lang w:val="en-US" w:eastAsia="zh-CN"/>
        </w:rPr>
        <w:t>①采场噪声声源分析</w:t>
      </w:r>
    </w:p>
    <w:p w14:paraId="6422B1B9">
      <w:pPr>
        <w:pStyle w:val="41"/>
        <w:bidi w:val="0"/>
        <w:rPr>
          <w:rFonts w:hint="default"/>
          <w:lang w:val="en-US" w:eastAsia="zh-CN"/>
        </w:rPr>
      </w:pPr>
      <w:r>
        <w:rPr>
          <w:rFonts w:hint="default"/>
          <w:lang w:val="en-US" w:eastAsia="zh-CN"/>
        </w:rPr>
        <w:t>露天采场运营期噪声源主要来自采场的机械设备。根据开采工艺</w:t>
      </w:r>
      <w:r>
        <w:rPr>
          <w:rFonts w:hint="eastAsia"/>
          <w:lang w:val="en-US" w:eastAsia="zh-CN"/>
        </w:rPr>
        <w:t>以及生产设备清单</w:t>
      </w:r>
      <w:r>
        <w:rPr>
          <w:rFonts w:hint="default"/>
          <w:lang w:val="en-US" w:eastAsia="zh-CN"/>
        </w:rPr>
        <w:t>，机械噪声来自露天采场的</w:t>
      </w:r>
      <w:r>
        <w:rPr>
          <w:rFonts w:hint="eastAsia"/>
          <w:lang w:val="en-US" w:eastAsia="zh-CN"/>
        </w:rPr>
        <w:t>钻机、空压机、</w:t>
      </w:r>
      <w:r>
        <w:rPr>
          <w:rFonts w:hint="default"/>
          <w:lang w:val="en-US" w:eastAsia="zh-CN"/>
        </w:rPr>
        <w:t>装载机、</w:t>
      </w:r>
      <w:r>
        <w:rPr>
          <w:rFonts w:hint="eastAsia"/>
          <w:lang w:val="en-US" w:eastAsia="zh-CN"/>
        </w:rPr>
        <w:t>破碎锤</w:t>
      </w:r>
      <w:r>
        <w:rPr>
          <w:rFonts w:hint="default"/>
          <w:lang w:val="en-US" w:eastAsia="zh-CN"/>
        </w:rPr>
        <w:t>等，源强值在</w:t>
      </w:r>
      <w:r>
        <w:rPr>
          <w:rFonts w:hint="eastAsia"/>
          <w:lang w:val="en-US" w:eastAsia="zh-CN"/>
        </w:rPr>
        <w:t>85</w:t>
      </w:r>
      <w:r>
        <w:rPr>
          <w:rFonts w:hint="default"/>
          <w:lang w:val="en-US" w:eastAsia="zh-CN"/>
        </w:rPr>
        <w:t>~</w:t>
      </w:r>
      <w:r>
        <w:rPr>
          <w:rFonts w:hint="eastAsia"/>
          <w:lang w:val="en-US" w:eastAsia="zh-CN"/>
        </w:rPr>
        <w:t>100</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r>
        <w:rPr>
          <w:rFonts w:hint="default"/>
          <w:lang w:val="en-US" w:eastAsia="zh-CN"/>
        </w:rPr>
        <w:t>之间</w:t>
      </w:r>
      <w:r>
        <w:rPr>
          <w:rFonts w:hint="eastAsia"/>
          <w:lang w:val="en-US" w:eastAsia="zh-CN"/>
        </w:rPr>
        <w:t>。项目矿山采场设备噪声源强及拟采取的降噪措施如下：</w:t>
      </w:r>
    </w:p>
    <w:p w14:paraId="614BCA4A">
      <w:pPr>
        <w:pStyle w:val="45"/>
        <w:bidi w:val="0"/>
        <w:rPr>
          <w:rFonts w:hint="eastAsia"/>
          <w:lang w:val="en-US" w:eastAsia="zh-CN"/>
        </w:rPr>
      </w:pPr>
      <w:r>
        <w:rPr>
          <w:rFonts w:hint="eastAsia"/>
          <w:lang w:val="en-US" w:eastAsia="zh-CN"/>
        </w:rPr>
        <w:t>表6.4-3  项目矿山采场设备噪声源强及降噪措施</w:t>
      </w:r>
    </w:p>
    <w:tbl>
      <w:tblPr>
        <w:tblStyle w:val="3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6"/>
        <w:gridCol w:w="1056"/>
        <w:gridCol w:w="1063"/>
        <w:gridCol w:w="1108"/>
        <w:gridCol w:w="1063"/>
        <w:gridCol w:w="1062"/>
        <w:gridCol w:w="1058"/>
        <w:gridCol w:w="1058"/>
      </w:tblGrid>
      <w:tr w14:paraId="2F40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61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1828FE">
            <w:pPr>
              <w:pStyle w:val="43"/>
              <w:bidi w:val="0"/>
              <w:rPr>
                <w:rFonts w:hint="eastAsia"/>
                <w:b/>
                <w:bCs/>
              </w:rPr>
            </w:pPr>
            <w:r>
              <w:rPr>
                <w:rFonts w:hint="eastAsia"/>
                <w:b/>
                <w:bCs/>
                <w:lang w:val="en-US" w:eastAsia="zh-CN"/>
              </w:rPr>
              <w:t>序号</w:t>
            </w:r>
          </w:p>
        </w:tc>
        <w:tc>
          <w:tcPr>
            <w:tcW w:w="61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CFE937C">
            <w:pPr>
              <w:pStyle w:val="43"/>
              <w:bidi w:val="0"/>
              <w:rPr>
                <w:rFonts w:hint="eastAsia"/>
                <w:b/>
                <w:bCs/>
              </w:rPr>
            </w:pPr>
            <w:r>
              <w:rPr>
                <w:rFonts w:hint="eastAsia"/>
                <w:b/>
                <w:bCs/>
                <w:lang w:val="en-US" w:eastAsia="zh-CN"/>
              </w:rPr>
              <w:t>声源名称</w:t>
            </w:r>
          </w:p>
        </w:tc>
        <w:tc>
          <w:tcPr>
            <w:tcW w:w="62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CC91656">
            <w:pPr>
              <w:pStyle w:val="43"/>
              <w:bidi w:val="0"/>
              <w:rPr>
                <w:rFonts w:hint="eastAsia"/>
                <w:b/>
                <w:bCs/>
              </w:rPr>
            </w:pPr>
            <w:r>
              <w:rPr>
                <w:rFonts w:hint="eastAsia"/>
                <w:b/>
                <w:bCs/>
                <w:lang w:val="en-US" w:eastAsia="zh-CN"/>
              </w:rPr>
              <w:t>数量（台）</w:t>
            </w:r>
          </w:p>
        </w:tc>
        <w:tc>
          <w:tcPr>
            <w:tcW w:w="64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5CF9C8">
            <w:pPr>
              <w:pStyle w:val="43"/>
              <w:bidi w:val="0"/>
              <w:rPr>
                <w:rFonts w:hint="eastAsia"/>
                <w:b/>
                <w:bCs/>
              </w:rPr>
            </w:pPr>
            <w:r>
              <w:rPr>
                <w:rFonts w:hint="eastAsia"/>
                <w:b/>
                <w:bCs/>
                <w:lang w:val="en-US" w:eastAsia="zh-CN"/>
              </w:rPr>
              <w:t>型号</w:t>
            </w:r>
          </w:p>
        </w:tc>
        <w:tc>
          <w:tcPr>
            <w:tcW w:w="6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186BA3">
            <w:pPr>
              <w:pStyle w:val="43"/>
              <w:bidi w:val="0"/>
              <w:rPr>
                <w:rFonts w:hint="eastAsia"/>
                <w:b w:val="0"/>
                <w:bCs w:val="0"/>
              </w:rPr>
            </w:pPr>
            <w:r>
              <w:rPr>
                <w:rFonts w:hint="eastAsia"/>
                <w:b w:val="0"/>
                <w:bCs w:val="0"/>
                <w:lang w:val="en-US" w:eastAsia="zh-CN"/>
              </w:rPr>
              <w:t>声源源强</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3530FF">
            <w:pPr>
              <w:pStyle w:val="43"/>
              <w:bidi w:val="0"/>
              <w:rPr>
                <w:rFonts w:hint="eastAsia"/>
                <w:b w:val="0"/>
                <w:bCs w:val="0"/>
              </w:rPr>
            </w:pPr>
            <w:r>
              <w:rPr>
                <w:rFonts w:hint="eastAsia"/>
                <w:b w:val="0"/>
                <w:bCs w:val="0"/>
                <w:lang w:val="en-US" w:eastAsia="zh-CN"/>
              </w:rPr>
              <w:t>噪声削减措施</w:t>
            </w:r>
          </w:p>
        </w:tc>
        <w:tc>
          <w:tcPr>
            <w:tcW w:w="62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F31CA46">
            <w:pPr>
              <w:pStyle w:val="43"/>
              <w:bidi w:val="0"/>
              <w:rPr>
                <w:rFonts w:hint="eastAsia"/>
                <w:b/>
                <w:bCs/>
              </w:rPr>
            </w:pPr>
            <w:r>
              <w:rPr>
                <w:rFonts w:hint="eastAsia"/>
                <w:b/>
                <w:bCs/>
                <w:lang w:val="en-US" w:eastAsia="zh-CN"/>
              </w:rPr>
              <w:t>运行时段</w:t>
            </w:r>
          </w:p>
        </w:tc>
        <w:tc>
          <w:tcPr>
            <w:tcW w:w="62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E6C60F">
            <w:pPr>
              <w:pStyle w:val="43"/>
              <w:bidi w:val="0"/>
              <w:rPr>
                <w:rFonts w:hint="eastAsia"/>
                <w:b/>
                <w:bCs/>
              </w:rPr>
            </w:pPr>
            <w:r>
              <w:rPr>
                <w:rFonts w:hint="eastAsia"/>
                <w:b/>
                <w:bCs/>
                <w:lang w:val="en-US" w:eastAsia="zh-CN"/>
              </w:rPr>
              <w:t>备注</w:t>
            </w:r>
          </w:p>
        </w:tc>
      </w:tr>
      <w:tr w14:paraId="0275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C5CF25">
            <w:pPr>
              <w:pStyle w:val="43"/>
              <w:bidi w:val="0"/>
              <w:rPr>
                <w:rFonts w:hint="eastAsia"/>
              </w:rPr>
            </w:pPr>
          </w:p>
        </w:tc>
        <w:tc>
          <w:tcPr>
            <w:tcW w:w="61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4A4CB6">
            <w:pPr>
              <w:pStyle w:val="43"/>
              <w:bidi w:val="0"/>
              <w:rPr>
                <w:rFonts w:hint="eastAsia"/>
              </w:rPr>
            </w:pPr>
          </w:p>
        </w:tc>
        <w:tc>
          <w:tcPr>
            <w:tcW w:w="6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B356C2">
            <w:pPr>
              <w:pStyle w:val="43"/>
              <w:bidi w:val="0"/>
              <w:rPr>
                <w:rFonts w:hint="eastAsia"/>
              </w:rPr>
            </w:pPr>
          </w:p>
        </w:tc>
        <w:tc>
          <w:tcPr>
            <w:tcW w:w="64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4CB8C7">
            <w:pPr>
              <w:pStyle w:val="43"/>
              <w:bidi w:val="0"/>
              <w:rPr>
                <w:rFonts w:hint="eastAsia"/>
              </w:rPr>
            </w:pPr>
          </w:p>
        </w:tc>
        <w:tc>
          <w:tcPr>
            <w:tcW w:w="623" w:type="pct"/>
            <w:tcBorders>
              <w:top w:val="nil"/>
              <w:left w:val="single" w:color="000000" w:sz="8" w:space="0"/>
              <w:bottom w:val="single" w:color="000000" w:sz="8" w:space="0"/>
              <w:right w:val="single" w:color="000000" w:sz="8" w:space="0"/>
            </w:tcBorders>
            <w:shd w:val="clear" w:color="auto" w:fill="auto"/>
            <w:vAlign w:val="center"/>
          </w:tcPr>
          <w:p w14:paraId="2C1D2EB9">
            <w:pPr>
              <w:pStyle w:val="43"/>
              <w:bidi w:val="0"/>
              <w:rPr>
                <w:rFonts w:hint="eastAsia"/>
                <w:b w:val="0"/>
                <w:bCs w:val="0"/>
              </w:rPr>
            </w:pPr>
            <w:r>
              <w:rPr>
                <w:rFonts w:hint="eastAsia"/>
                <w:b w:val="0"/>
                <w:bCs w:val="0"/>
                <w:lang w:val="en-US" w:eastAsia="zh-CN"/>
              </w:rPr>
              <w:t>声功率级</w:t>
            </w:r>
            <w:r>
              <w:rPr>
                <w:rFonts w:hint="default"/>
                <w:b w:val="0"/>
                <w:bCs w:val="0"/>
                <w:lang w:val="en-US" w:eastAsia="zh-CN"/>
              </w:rPr>
              <w:t>/dB</w:t>
            </w:r>
            <w:r>
              <w:rPr>
                <w:rFonts w:hint="eastAsia"/>
                <w:b w:val="0"/>
                <w:bCs w:val="0"/>
                <w:lang w:val="en-US" w:eastAsia="zh-CN"/>
              </w:rPr>
              <w:t>（</w:t>
            </w:r>
            <w:r>
              <w:rPr>
                <w:rFonts w:hint="default"/>
                <w:b w:val="0"/>
                <w:bCs w:val="0"/>
                <w:lang w:val="en-US" w:eastAsia="zh-CN"/>
              </w:rPr>
              <w:t>A</w:t>
            </w:r>
            <w:r>
              <w:rPr>
                <w:rFonts w:hint="eastAsia"/>
                <w:b w:val="0"/>
                <w:bCs w:val="0"/>
                <w:lang w:val="en-US" w:eastAsia="zh-CN"/>
              </w:rPr>
              <w:t>）</w:t>
            </w: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1B5CE1">
            <w:pPr>
              <w:pStyle w:val="43"/>
              <w:bidi w:val="0"/>
              <w:rPr>
                <w:rFonts w:hint="eastAsia"/>
                <w:b w:val="0"/>
                <w:bCs w:val="0"/>
              </w:rPr>
            </w:pPr>
          </w:p>
        </w:tc>
        <w:tc>
          <w:tcPr>
            <w:tcW w:w="62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EC8111">
            <w:pPr>
              <w:pStyle w:val="43"/>
              <w:bidi w:val="0"/>
              <w:rPr>
                <w:rFonts w:hint="eastAsia"/>
              </w:rPr>
            </w:pPr>
          </w:p>
        </w:tc>
        <w:tc>
          <w:tcPr>
            <w:tcW w:w="62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B266F7">
            <w:pPr>
              <w:pStyle w:val="43"/>
              <w:bidi w:val="0"/>
              <w:rPr>
                <w:rFonts w:hint="eastAsia"/>
              </w:rPr>
            </w:pPr>
          </w:p>
        </w:tc>
      </w:tr>
      <w:tr w14:paraId="743DD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9" w:type="pct"/>
            <w:tcBorders>
              <w:top w:val="nil"/>
              <w:left w:val="single" w:color="000000" w:sz="8" w:space="0"/>
              <w:bottom w:val="single" w:color="000000" w:sz="8" w:space="0"/>
              <w:right w:val="single" w:color="000000" w:sz="8" w:space="0"/>
            </w:tcBorders>
            <w:shd w:val="clear" w:color="auto" w:fill="auto"/>
            <w:vAlign w:val="center"/>
          </w:tcPr>
          <w:p w14:paraId="0ED53236">
            <w:pPr>
              <w:pStyle w:val="43"/>
              <w:bidi w:val="0"/>
              <w:rPr>
                <w:rFonts w:hint="default"/>
              </w:rPr>
            </w:pPr>
            <w:r>
              <w:rPr>
                <w:rFonts w:hint="default"/>
                <w:lang w:val="en-US" w:eastAsia="zh-CN"/>
              </w:rPr>
              <w:t>1</w:t>
            </w:r>
          </w:p>
        </w:tc>
        <w:tc>
          <w:tcPr>
            <w:tcW w:w="619" w:type="pct"/>
            <w:tcBorders>
              <w:top w:val="nil"/>
              <w:left w:val="single" w:color="000000" w:sz="8" w:space="0"/>
              <w:bottom w:val="single" w:color="000000" w:sz="8" w:space="0"/>
              <w:right w:val="single" w:color="000000" w:sz="8" w:space="0"/>
            </w:tcBorders>
            <w:shd w:val="clear" w:color="auto" w:fill="auto"/>
            <w:vAlign w:val="center"/>
          </w:tcPr>
          <w:p w14:paraId="7AEF95ED">
            <w:pPr>
              <w:pStyle w:val="43"/>
              <w:bidi w:val="0"/>
              <w:rPr>
                <w:rFonts w:hint="eastAsia"/>
              </w:rPr>
            </w:pPr>
            <w:r>
              <w:rPr>
                <w:rFonts w:hint="eastAsia"/>
                <w:lang w:val="en-US" w:eastAsia="zh-CN"/>
              </w:rPr>
              <w:t>高风压潜孔钻机</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66A78804">
            <w:pPr>
              <w:pStyle w:val="43"/>
              <w:bidi w:val="0"/>
              <w:rPr>
                <w:rFonts w:hint="default"/>
              </w:rPr>
            </w:pPr>
            <w:r>
              <w:rPr>
                <w:rFonts w:hint="default"/>
                <w:lang w:val="en-US" w:eastAsia="zh-CN"/>
              </w:rPr>
              <w:t>1</w:t>
            </w:r>
          </w:p>
        </w:tc>
        <w:tc>
          <w:tcPr>
            <w:tcW w:w="649" w:type="pct"/>
            <w:tcBorders>
              <w:top w:val="nil"/>
              <w:left w:val="single" w:color="000000" w:sz="8" w:space="0"/>
              <w:bottom w:val="single" w:color="000000" w:sz="8" w:space="0"/>
              <w:right w:val="single" w:color="000000" w:sz="8" w:space="0"/>
            </w:tcBorders>
            <w:shd w:val="clear" w:color="auto" w:fill="auto"/>
            <w:vAlign w:val="center"/>
          </w:tcPr>
          <w:p w14:paraId="36E3B14D">
            <w:pPr>
              <w:pStyle w:val="43"/>
              <w:bidi w:val="0"/>
              <w:rPr>
                <w:rFonts w:hint="default"/>
              </w:rPr>
            </w:pPr>
            <w:r>
              <w:rPr>
                <w:rFonts w:hint="default"/>
                <w:lang w:val="en-US" w:eastAsia="zh-CN"/>
              </w:rPr>
              <w:t>CCM680</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4E1EEBFA">
            <w:pPr>
              <w:pStyle w:val="43"/>
              <w:bidi w:val="0"/>
              <w:rPr>
                <w:rFonts w:hint="default"/>
              </w:rPr>
            </w:pPr>
            <w:r>
              <w:rPr>
                <w:rFonts w:hint="default"/>
                <w:lang w:val="en-US" w:eastAsia="zh-CN"/>
              </w:rPr>
              <w:t>95</w:t>
            </w:r>
          </w:p>
        </w:tc>
        <w:tc>
          <w:tcPr>
            <w:tcW w:w="622" w:type="pct"/>
            <w:vMerge w:val="restart"/>
            <w:tcBorders>
              <w:top w:val="nil"/>
              <w:left w:val="single" w:color="000000" w:sz="8" w:space="0"/>
              <w:right w:val="single" w:color="000000" w:sz="8" w:space="0"/>
            </w:tcBorders>
            <w:shd w:val="clear" w:color="auto" w:fill="auto"/>
            <w:vAlign w:val="center"/>
          </w:tcPr>
          <w:p w14:paraId="4683538D">
            <w:pPr>
              <w:pStyle w:val="43"/>
              <w:bidi w:val="0"/>
              <w:rPr>
                <w:rFonts w:hint="eastAsia"/>
              </w:rPr>
            </w:pPr>
            <w:r>
              <w:rPr>
                <w:rFonts w:hint="eastAsia"/>
                <w:lang w:val="en-US" w:eastAsia="zh-CN"/>
              </w:rPr>
              <w:t>及时维修，保持良好工作状态</w:t>
            </w:r>
          </w:p>
        </w:tc>
        <w:tc>
          <w:tcPr>
            <w:tcW w:w="620" w:type="pct"/>
            <w:tcBorders>
              <w:top w:val="nil"/>
              <w:left w:val="single" w:color="000000" w:sz="8" w:space="0"/>
              <w:bottom w:val="single" w:color="000000" w:sz="8" w:space="0"/>
              <w:right w:val="single" w:color="000000" w:sz="8" w:space="0"/>
            </w:tcBorders>
            <w:shd w:val="clear" w:color="auto" w:fill="auto"/>
            <w:vAlign w:val="center"/>
          </w:tcPr>
          <w:p w14:paraId="5B7A1C78">
            <w:pPr>
              <w:pStyle w:val="43"/>
              <w:bidi w:val="0"/>
              <w:rPr>
                <w:rFonts w:hint="eastAsia"/>
              </w:rPr>
            </w:pPr>
            <w:r>
              <w:rPr>
                <w:rFonts w:hint="eastAsia"/>
                <w:lang w:val="en-US" w:eastAsia="zh-CN"/>
              </w:rPr>
              <w:t>昼间</w:t>
            </w:r>
          </w:p>
        </w:tc>
        <w:tc>
          <w:tcPr>
            <w:tcW w:w="620" w:type="pct"/>
            <w:tcBorders>
              <w:top w:val="nil"/>
              <w:left w:val="single" w:color="000000" w:sz="8" w:space="0"/>
              <w:bottom w:val="single" w:color="000000" w:sz="8" w:space="0"/>
              <w:right w:val="single" w:color="000000" w:sz="8" w:space="0"/>
            </w:tcBorders>
            <w:shd w:val="clear" w:color="auto" w:fill="auto"/>
            <w:vAlign w:val="center"/>
          </w:tcPr>
          <w:p w14:paraId="0ADDB2C0">
            <w:pPr>
              <w:pStyle w:val="43"/>
              <w:bidi w:val="0"/>
              <w:rPr>
                <w:rFonts w:hint="default"/>
              </w:rPr>
            </w:pPr>
            <w:r>
              <w:rPr>
                <w:rFonts w:hint="default"/>
                <w:lang w:val="en-US" w:eastAsia="zh-CN"/>
              </w:rPr>
              <w:t>/</w:t>
            </w:r>
          </w:p>
        </w:tc>
      </w:tr>
      <w:tr w14:paraId="62752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9" w:type="pct"/>
            <w:tcBorders>
              <w:top w:val="nil"/>
              <w:left w:val="single" w:color="000000" w:sz="8" w:space="0"/>
              <w:bottom w:val="single" w:color="000000" w:sz="8" w:space="0"/>
              <w:right w:val="single" w:color="000000" w:sz="8" w:space="0"/>
            </w:tcBorders>
            <w:shd w:val="clear" w:color="auto" w:fill="auto"/>
            <w:vAlign w:val="center"/>
          </w:tcPr>
          <w:p w14:paraId="36C8580C">
            <w:pPr>
              <w:pStyle w:val="43"/>
              <w:bidi w:val="0"/>
              <w:rPr>
                <w:rFonts w:hint="default"/>
              </w:rPr>
            </w:pPr>
            <w:r>
              <w:rPr>
                <w:rFonts w:hint="default"/>
                <w:lang w:val="en-US" w:eastAsia="zh-CN"/>
              </w:rPr>
              <w:t>2</w:t>
            </w:r>
          </w:p>
        </w:tc>
        <w:tc>
          <w:tcPr>
            <w:tcW w:w="619" w:type="pct"/>
            <w:tcBorders>
              <w:top w:val="nil"/>
              <w:left w:val="single" w:color="000000" w:sz="8" w:space="0"/>
              <w:bottom w:val="single" w:color="000000" w:sz="8" w:space="0"/>
              <w:right w:val="single" w:color="000000" w:sz="8" w:space="0"/>
            </w:tcBorders>
            <w:shd w:val="clear" w:color="auto" w:fill="auto"/>
            <w:vAlign w:val="center"/>
          </w:tcPr>
          <w:p w14:paraId="5F27FCF0">
            <w:pPr>
              <w:pStyle w:val="43"/>
              <w:bidi w:val="0"/>
              <w:rPr>
                <w:rFonts w:hint="eastAsia"/>
              </w:rPr>
            </w:pPr>
            <w:r>
              <w:rPr>
                <w:rFonts w:hint="eastAsia"/>
                <w:lang w:val="en-US" w:eastAsia="zh-CN"/>
              </w:rPr>
              <w:t>液压挖掘机</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05359ACE">
            <w:pPr>
              <w:pStyle w:val="43"/>
              <w:bidi w:val="0"/>
              <w:rPr>
                <w:rFonts w:hint="default"/>
              </w:rPr>
            </w:pPr>
            <w:r>
              <w:rPr>
                <w:rFonts w:hint="default"/>
                <w:lang w:val="en-US" w:eastAsia="zh-CN"/>
              </w:rPr>
              <w:t>4</w:t>
            </w:r>
          </w:p>
        </w:tc>
        <w:tc>
          <w:tcPr>
            <w:tcW w:w="649" w:type="pct"/>
            <w:tcBorders>
              <w:top w:val="nil"/>
              <w:left w:val="single" w:color="000000" w:sz="8" w:space="0"/>
              <w:bottom w:val="single" w:color="000000" w:sz="8" w:space="0"/>
              <w:right w:val="single" w:color="000000" w:sz="8" w:space="0"/>
            </w:tcBorders>
            <w:shd w:val="clear" w:color="auto" w:fill="auto"/>
            <w:vAlign w:val="center"/>
          </w:tcPr>
          <w:p w14:paraId="277FB30E">
            <w:pPr>
              <w:pStyle w:val="43"/>
              <w:bidi w:val="0"/>
              <w:rPr>
                <w:rFonts w:hint="default"/>
              </w:rPr>
            </w:pPr>
            <w:r>
              <w:rPr>
                <w:rFonts w:hint="default"/>
                <w:lang w:val="en-US" w:eastAsia="zh-CN"/>
              </w:rPr>
              <w:t>SY</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5C36FA11">
            <w:pPr>
              <w:pStyle w:val="43"/>
              <w:bidi w:val="0"/>
              <w:rPr>
                <w:rFonts w:hint="default"/>
              </w:rPr>
            </w:pPr>
            <w:r>
              <w:rPr>
                <w:rFonts w:hint="default"/>
                <w:lang w:val="en-US" w:eastAsia="zh-CN"/>
              </w:rPr>
              <w:t>100</w:t>
            </w:r>
          </w:p>
        </w:tc>
        <w:tc>
          <w:tcPr>
            <w:tcW w:w="622" w:type="pct"/>
            <w:vMerge w:val="continue"/>
            <w:tcBorders>
              <w:left w:val="single" w:color="000000" w:sz="8" w:space="0"/>
              <w:right w:val="single" w:color="000000" w:sz="8" w:space="0"/>
            </w:tcBorders>
            <w:shd w:val="clear" w:color="auto" w:fill="auto"/>
            <w:vAlign w:val="center"/>
          </w:tcPr>
          <w:p w14:paraId="671F403C">
            <w:pPr>
              <w:pStyle w:val="43"/>
              <w:bidi w:val="0"/>
              <w:rPr>
                <w:rFonts w:hint="eastAsia"/>
              </w:rPr>
            </w:pPr>
          </w:p>
        </w:tc>
        <w:tc>
          <w:tcPr>
            <w:tcW w:w="620" w:type="pct"/>
            <w:tcBorders>
              <w:top w:val="nil"/>
              <w:left w:val="single" w:color="000000" w:sz="8" w:space="0"/>
              <w:bottom w:val="single" w:color="000000" w:sz="8" w:space="0"/>
              <w:right w:val="single" w:color="000000" w:sz="8" w:space="0"/>
            </w:tcBorders>
            <w:shd w:val="clear" w:color="auto" w:fill="auto"/>
            <w:vAlign w:val="center"/>
          </w:tcPr>
          <w:p w14:paraId="503C67A0">
            <w:pPr>
              <w:pStyle w:val="43"/>
              <w:bidi w:val="0"/>
              <w:rPr>
                <w:rFonts w:hint="eastAsia"/>
              </w:rPr>
            </w:pPr>
            <w:r>
              <w:rPr>
                <w:rFonts w:hint="eastAsia"/>
                <w:lang w:val="en-US" w:eastAsia="zh-CN"/>
              </w:rPr>
              <w:t>昼间</w:t>
            </w:r>
          </w:p>
        </w:tc>
        <w:tc>
          <w:tcPr>
            <w:tcW w:w="620" w:type="pct"/>
            <w:tcBorders>
              <w:top w:val="nil"/>
              <w:left w:val="single" w:color="000000" w:sz="8" w:space="0"/>
              <w:bottom w:val="single" w:color="000000" w:sz="8" w:space="0"/>
              <w:right w:val="single" w:color="000000" w:sz="8" w:space="0"/>
            </w:tcBorders>
            <w:shd w:val="clear" w:color="auto" w:fill="auto"/>
            <w:vAlign w:val="center"/>
          </w:tcPr>
          <w:p w14:paraId="2518C1FE">
            <w:pPr>
              <w:pStyle w:val="43"/>
              <w:bidi w:val="0"/>
              <w:rPr>
                <w:rFonts w:hint="default"/>
              </w:rPr>
            </w:pPr>
            <w:r>
              <w:rPr>
                <w:rFonts w:hint="default"/>
                <w:lang w:val="en-US" w:eastAsia="zh-CN"/>
              </w:rPr>
              <w:t>/</w:t>
            </w:r>
          </w:p>
        </w:tc>
      </w:tr>
      <w:tr w14:paraId="06733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9" w:type="pct"/>
            <w:tcBorders>
              <w:top w:val="nil"/>
              <w:left w:val="single" w:color="000000" w:sz="8" w:space="0"/>
              <w:bottom w:val="single" w:color="000000" w:sz="8" w:space="0"/>
              <w:right w:val="single" w:color="000000" w:sz="8" w:space="0"/>
            </w:tcBorders>
            <w:shd w:val="clear" w:color="auto" w:fill="auto"/>
            <w:vAlign w:val="center"/>
          </w:tcPr>
          <w:p w14:paraId="2277CD4B">
            <w:pPr>
              <w:pStyle w:val="43"/>
              <w:bidi w:val="0"/>
              <w:rPr>
                <w:rFonts w:hint="default"/>
              </w:rPr>
            </w:pPr>
            <w:r>
              <w:rPr>
                <w:rFonts w:hint="default"/>
                <w:lang w:val="en-US" w:eastAsia="zh-CN"/>
              </w:rPr>
              <w:t>3</w:t>
            </w:r>
          </w:p>
        </w:tc>
        <w:tc>
          <w:tcPr>
            <w:tcW w:w="619" w:type="pct"/>
            <w:tcBorders>
              <w:top w:val="nil"/>
              <w:left w:val="single" w:color="000000" w:sz="8" w:space="0"/>
              <w:bottom w:val="single" w:color="000000" w:sz="8" w:space="0"/>
              <w:right w:val="single" w:color="000000" w:sz="8" w:space="0"/>
            </w:tcBorders>
            <w:shd w:val="clear" w:color="auto" w:fill="auto"/>
            <w:vAlign w:val="center"/>
          </w:tcPr>
          <w:p w14:paraId="067D6536">
            <w:pPr>
              <w:pStyle w:val="43"/>
              <w:bidi w:val="0"/>
              <w:rPr>
                <w:rFonts w:hint="eastAsia"/>
              </w:rPr>
            </w:pPr>
            <w:r>
              <w:rPr>
                <w:rFonts w:hint="eastAsia"/>
                <w:lang w:val="en-US" w:eastAsia="zh-CN"/>
              </w:rPr>
              <w:t>装载机</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65FF2D1A">
            <w:pPr>
              <w:pStyle w:val="43"/>
              <w:bidi w:val="0"/>
              <w:rPr>
                <w:rFonts w:hint="default"/>
              </w:rPr>
            </w:pPr>
            <w:r>
              <w:rPr>
                <w:rFonts w:hint="default"/>
                <w:lang w:val="en-US" w:eastAsia="zh-CN"/>
              </w:rPr>
              <w:t>4</w:t>
            </w:r>
          </w:p>
        </w:tc>
        <w:tc>
          <w:tcPr>
            <w:tcW w:w="649" w:type="pct"/>
            <w:tcBorders>
              <w:top w:val="nil"/>
              <w:left w:val="single" w:color="000000" w:sz="8" w:space="0"/>
              <w:bottom w:val="single" w:color="000000" w:sz="8" w:space="0"/>
              <w:right w:val="single" w:color="000000" w:sz="8" w:space="0"/>
            </w:tcBorders>
            <w:shd w:val="clear" w:color="auto" w:fill="auto"/>
            <w:vAlign w:val="center"/>
          </w:tcPr>
          <w:p w14:paraId="1BC8C71D">
            <w:pPr>
              <w:pStyle w:val="43"/>
              <w:bidi w:val="0"/>
              <w:rPr>
                <w:rFonts w:hint="default"/>
              </w:rPr>
            </w:pPr>
            <w:r>
              <w:rPr>
                <w:rFonts w:hint="default"/>
                <w:lang w:val="en-US" w:eastAsia="zh-CN"/>
              </w:rPr>
              <w:t>LG956L</w:t>
            </w:r>
          </w:p>
        </w:tc>
        <w:tc>
          <w:tcPr>
            <w:tcW w:w="623" w:type="pct"/>
            <w:tcBorders>
              <w:top w:val="nil"/>
              <w:left w:val="single" w:color="000000" w:sz="8" w:space="0"/>
              <w:bottom w:val="single" w:color="000000" w:sz="8" w:space="0"/>
              <w:right w:val="single" w:color="000000" w:sz="8" w:space="0"/>
            </w:tcBorders>
            <w:shd w:val="clear" w:color="auto" w:fill="auto"/>
            <w:vAlign w:val="center"/>
          </w:tcPr>
          <w:p w14:paraId="0C4EE9E3">
            <w:pPr>
              <w:pStyle w:val="43"/>
              <w:bidi w:val="0"/>
              <w:rPr>
                <w:rFonts w:hint="default"/>
              </w:rPr>
            </w:pPr>
            <w:r>
              <w:rPr>
                <w:rFonts w:hint="default"/>
                <w:lang w:val="en-US" w:eastAsia="zh-CN"/>
              </w:rPr>
              <w:t>85</w:t>
            </w:r>
          </w:p>
        </w:tc>
        <w:tc>
          <w:tcPr>
            <w:tcW w:w="622" w:type="pct"/>
            <w:vMerge w:val="continue"/>
            <w:tcBorders>
              <w:left w:val="single" w:color="000000" w:sz="8" w:space="0"/>
              <w:bottom w:val="single" w:color="000000" w:sz="8" w:space="0"/>
              <w:right w:val="single" w:color="000000" w:sz="8" w:space="0"/>
            </w:tcBorders>
            <w:shd w:val="clear" w:color="auto" w:fill="auto"/>
            <w:vAlign w:val="center"/>
          </w:tcPr>
          <w:p w14:paraId="6DBB93C7">
            <w:pPr>
              <w:pStyle w:val="43"/>
              <w:bidi w:val="0"/>
              <w:rPr>
                <w:rFonts w:hint="eastAsia"/>
              </w:rPr>
            </w:pPr>
          </w:p>
        </w:tc>
        <w:tc>
          <w:tcPr>
            <w:tcW w:w="620" w:type="pct"/>
            <w:tcBorders>
              <w:top w:val="nil"/>
              <w:left w:val="single" w:color="000000" w:sz="8" w:space="0"/>
              <w:bottom w:val="single" w:color="000000" w:sz="8" w:space="0"/>
              <w:right w:val="single" w:color="000000" w:sz="8" w:space="0"/>
            </w:tcBorders>
            <w:shd w:val="clear" w:color="auto" w:fill="auto"/>
            <w:vAlign w:val="center"/>
          </w:tcPr>
          <w:p w14:paraId="7240BC2D">
            <w:pPr>
              <w:pStyle w:val="43"/>
              <w:bidi w:val="0"/>
              <w:rPr>
                <w:rFonts w:hint="eastAsia"/>
              </w:rPr>
            </w:pPr>
            <w:r>
              <w:rPr>
                <w:rFonts w:hint="eastAsia"/>
                <w:lang w:val="en-US" w:eastAsia="zh-CN"/>
              </w:rPr>
              <w:t>昼间</w:t>
            </w:r>
          </w:p>
        </w:tc>
        <w:tc>
          <w:tcPr>
            <w:tcW w:w="620" w:type="pct"/>
            <w:tcBorders>
              <w:top w:val="nil"/>
              <w:left w:val="single" w:color="000000" w:sz="8" w:space="0"/>
              <w:bottom w:val="single" w:color="000000" w:sz="8" w:space="0"/>
              <w:right w:val="single" w:color="000000" w:sz="8" w:space="0"/>
            </w:tcBorders>
            <w:shd w:val="clear" w:color="auto" w:fill="auto"/>
            <w:vAlign w:val="center"/>
          </w:tcPr>
          <w:p w14:paraId="3836FE59">
            <w:pPr>
              <w:pStyle w:val="43"/>
              <w:bidi w:val="0"/>
              <w:rPr>
                <w:rFonts w:hint="default"/>
              </w:rPr>
            </w:pPr>
            <w:r>
              <w:rPr>
                <w:rFonts w:hint="default"/>
                <w:lang w:val="en-US" w:eastAsia="zh-CN"/>
              </w:rPr>
              <w:t>/</w:t>
            </w:r>
          </w:p>
        </w:tc>
      </w:tr>
    </w:tbl>
    <w:p w14:paraId="072EF7F2">
      <w:pPr>
        <w:pStyle w:val="41"/>
        <w:bidi w:val="0"/>
        <w:rPr>
          <w:rFonts w:hint="default"/>
          <w:lang w:val="en-US" w:eastAsia="zh-CN"/>
        </w:rPr>
      </w:pPr>
      <w:r>
        <w:rPr>
          <w:rFonts w:hint="eastAsia"/>
          <w:lang w:val="en-US" w:eastAsia="zh-CN"/>
        </w:rPr>
        <w:t>采场设备均为移动设备，项目扩建后，采场设备与原项目变化不大，根据项目声环境质量现状监测数据，项目厂界噪声能达标。</w:t>
      </w:r>
    </w:p>
    <w:p w14:paraId="6CA04FCB">
      <w:pPr>
        <w:pStyle w:val="41"/>
        <w:bidi w:val="0"/>
        <w:rPr>
          <w:rFonts w:hint="default"/>
          <w:lang w:val="en-US" w:eastAsia="zh-CN"/>
        </w:rPr>
      </w:pPr>
      <w:r>
        <w:rPr>
          <w:rFonts w:hint="eastAsia"/>
          <w:lang w:val="en-US" w:eastAsia="zh-CN"/>
        </w:rPr>
        <w:t>②加工区噪声声源分析</w:t>
      </w:r>
    </w:p>
    <w:p w14:paraId="38C38641">
      <w:pPr>
        <w:pStyle w:val="41"/>
        <w:bidi w:val="0"/>
        <w:rPr>
          <w:rFonts w:hint="eastAsia"/>
          <w:lang w:val="en-US" w:eastAsia="zh-CN"/>
        </w:rPr>
        <w:sectPr>
          <w:footerReference r:id="rId10" w:type="default"/>
          <w:pgSz w:w="11907" w:h="16840"/>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lang w:val="en-US" w:eastAsia="zh-CN"/>
        </w:rPr>
        <w:t>加工区以破碎加工各类设备噪声为主</w:t>
      </w:r>
      <w:r>
        <w:rPr>
          <w:rFonts w:hint="default"/>
          <w:lang w:val="en-US" w:eastAsia="zh-CN"/>
        </w:rPr>
        <w:t>，预计噪声源强约为</w:t>
      </w:r>
      <w:r>
        <w:rPr>
          <w:rFonts w:hint="eastAsia"/>
          <w:lang w:val="en-US" w:eastAsia="zh-CN"/>
        </w:rPr>
        <w:t>75</w:t>
      </w:r>
      <w:r>
        <w:rPr>
          <w:rFonts w:hint="default"/>
          <w:lang w:val="en-US" w:eastAsia="zh-CN"/>
        </w:rPr>
        <w:t>～</w:t>
      </w:r>
      <w:r>
        <w:rPr>
          <w:rFonts w:hint="eastAsia"/>
          <w:lang w:val="en-US" w:eastAsia="zh-CN"/>
        </w:rPr>
        <w:t>95</w:t>
      </w:r>
      <w:r>
        <w:rPr>
          <w:rFonts w:hint="default"/>
          <w:lang w:val="en-US" w:eastAsia="zh-CN"/>
        </w:rPr>
        <w:t>dB（A），</w:t>
      </w:r>
      <w:r>
        <w:rPr>
          <w:rFonts w:hint="eastAsia"/>
          <w:lang w:val="en-US" w:eastAsia="zh-CN"/>
        </w:rPr>
        <w:t>破碎站设备噪声源强及拟采取的降噪措施如下：</w:t>
      </w:r>
    </w:p>
    <w:p w14:paraId="4E1065D1">
      <w:pPr>
        <w:pStyle w:val="45"/>
        <w:bidi w:val="0"/>
        <w:rPr>
          <w:rFonts w:hint="default"/>
        </w:rPr>
      </w:pPr>
      <w:r>
        <w:rPr>
          <w:rFonts w:hint="default"/>
        </w:rPr>
        <w:t>表</w:t>
      </w:r>
      <w:r>
        <w:rPr>
          <w:rFonts w:hint="eastAsia"/>
          <w:lang w:val="en-US" w:eastAsia="zh-CN"/>
        </w:rPr>
        <w:t>6.4-4</w:t>
      </w:r>
      <w:r>
        <w:rPr>
          <w:rFonts w:hint="default"/>
        </w:rPr>
        <w:t xml:space="preserve">  运营期</w:t>
      </w:r>
      <w:r>
        <w:rPr>
          <w:rFonts w:hint="eastAsia"/>
          <w:lang w:val="en-US" w:eastAsia="zh-CN"/>
        </w:rPr>
        <w:t>加工区固定设备</w:t>
      </w:r>
      <w:r>
        <w:rPr>
          <w:rFonts w:hint="default"/>
        </w:rPr>
        <w:t>主要声源一览表</w:t>
      </w:r>
      <w:r>
        <w:rPr>
          <w:rFonts w:hint="default"/>
          <w:lang w:val="en-US" w:eastAsia="zh-CN"/>
        </w:rPr>
        <w:t xml:space="preserve">     </w:t>
      </w:r>
      <w:r>
        <w:rPr>
          <w:rFonts w:hint="default"/>
        </w:rPr>
        <w:t>dB（A）</w:t>
      </w:r>
    </w:p>
    <w:tbl>
      <w:tblPr>
        <w:tblStyle w:val="3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801"/>
        <w:gridCol w:w="928"/>
        <w:gridCol w:w="548"/>
        <w:gridCol w:w="474"/>
        <w:gridCol w:w="474"/>
        <w:gridCol w:w="267"/>
        <w:gridCol w:w="971"/>
        <w:gridCol w:w="704"/>
        <w:gridCol w:w="724"/>
        <w:gridCol w:w="403"/>
        <w:gridCol w:w="403"/>
        <w:gridCol w:w="403"/>
        <w:gridCol w:w="412"/>
        <w:gridCol w:w="403"/>
        <w:gridCol w:w="403"/>
        <w:gridCol w:w="403"/>
        <w:gridCol w:w="412"/>
        <w:gridCol w:w="681"/>
        <w:gridCol w:w="906"/>
        <w:gridCol w:w="403"/>
        <w:gridCol w:w="403"/>
        <w:gridCol w:w="403"/>
        <w:gridCol w:w="412"/>
        <w:gridCol w:w="298"/>
        <w:gridCol w:w="298"/>
        <w:gridCol w:w="298"/>
        <w:gridCol w:w="308"/>
      </w:tblGrid>
      <w:tr w14:paraId="4A02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3"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AF92F7">
            <w:pPr>
              <w:pStyle w:val="43"/>
              <w:bidi w:val="0"/>
              <w:rPr>
                <w:b/>
                <w:bCs/>
              </w:rPr>
            </w:pPr>
            <w:r>
              <w:rPr>
                <w:rFonts w:hint="default"/>
                <w:b/>
                <w:bCs/>
                <w:lang w:val="en-US" w:eastAsia="zh-CN"/>
              </w:rPr>
              <w:t>建筑物名称</w:t>
            </w:r>
          </w:p>
        </w:tc>
        <w:tc>
          <w:tcPr>
            <w:tcW w:w="282"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EC441B">
            <w:pPr>
              <w:pStyle w:val="43"/>
              <w:bidi w:val="0"/>
              <w:rPr>
                <w:rFonts w:hint="default"/>
                <w:b/>
                <w:bCs/>
              </w:rPr>
            </w:pPr>
            <w:r>
              <w:rPr>
                <w:rFonts w:hint="default"/>
                <w:b/>
                <w:bCs/>
                <w:lang w:val="en-US" w:eastAsia="zh-CN"/>
              </w:rPr>
              <w:t>声源名称</w:t>
            </w:r>
          </w:p>
        </w:tc>
        <w:tc>
          <w:tcPr>
            <w:tcW w:w="327"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9ABAEE">
            <w:pPr>
              <w:pStyle w:val="43"/>
              <w:bidi w:val="0"/>
              <w:rPr>
                <w:rFonts w:hint="default"/>
                <w:b/>
                <w:bCs/>
              </w:rPr>
            </w:pPr>
            <w:r>
              <w:rPr>
                <w:rFonts w:hint="default"/>
                <w:b/>
                <w:bCs/>
                <w:lang w:val="en-US" w:eastAsia="zh-CN"/>
              </w:rPr>
              <w:t>型号</w:t>
            </w:r>
          </w:p>
        </w:tc>
        <w:tc>
          <w:tcPr>
            <w:tcW w:w="193"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E6A95F">
            <w:pPr>
              <w:pStyle w:val="43"/>
              <w:bidi w:val="0"/>
              <w:rPr>
                <w:rFonts w:hint="default"/>
                <w:b/>
                <w:bCs/>
              </w:rPr>
            </w:pPr>
            <w:r>
              <w:rPr>
                <w:rFonts w:hint="default"/>
                <w:b/>
                <w:bCs/>
                <w:lang w:val="en-US" w:eastAsia="zh-CN"/>
              </w:rPr>
              <w:t>设备数量</w:t>
            </w:r>
          </w:p>
        </w:tc>
        <w:tc>
          <w:tcPr>
            <w:tcW w:w="428" w:type="pct"/>
            <w:gridSpan w:val="3"/>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CEFD00">
            <w:pPr>
              <w:pStyle w:val="43"/>
              <w:bidi w:val="0"/>
              <w:rPr>
                <w:rFonts w:hint="default"/>
                <w:b/>
                <w:bCs/>
              </w:rPr>
            </w:pPr>
            <w:r>
              <w:rPr>
                <w:rFonts w:hint="default"/>
                <w:b/>
                <w:bCs/>
                <w:lang w:val="en-US" w:eastAsia="zh-CN"/>
              </w:rPr>
              <w:t>空间相对位置/m</w:t>
            </w:r>
          </w:p>
        </w:tc>
        <w:tc>
          <w:tcPr>
            <w:tcW w:w="342"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B6C51A">
            <w:pPr>
              <w:pStyle w:val="43"/>
              <w:bidi w:val="0"/>
              <w:rPr>
                <w:rFonts w:hint="default"/>
                <w:b/>
                <w:bCs/>
              </w:rPr>
            </w:pPr>
            <w:r>
              <w:rPr>
                <w:rFonts w:hint="default"/>
                <w:b/>
                <w:bCs/>
                <w:lang w:val="en-US" w:eastAsia="zh-CN"/>
              </w:rPr>
              <w:t>声源控制措施</w:t>
            </w:r>
          </w:p>
        </w:tc>
        <w:tc>
          <w:tcPr>
            <w:tcW w:w="503" w:type="pct"/>
            <w:gridSpan w:val="2"/>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E91956">
            <w:pPr>
              <w:pStyle w:val="43"/>
              <w:bidi w:val="0"/>
              <w:rPr>
                <w:rFonts w:hint="default"/>
                <w:b/>
                <w:bCs/>
              </w:rPr>
            </w:pPr>
            <w:r>
              <w:rPr>
                <w:rFonts w:hint="default"/>
                <w:b/>
                <w:bCs/>
                <w:lang w:val="en-US" w:eastAsia="zh-CN"/>
              </w:rPr>
              <w:t>声源源强</w:t>
            </w:r>
          </w:p>
        </w:tc>
        <w:tc>
          <w:tcPr>
            <w:tcW w:w="571" w:type="pct"/>
            <w:gridSpan w:val="4"/>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823960">
            <w:pPr>
              <w:pStyle w:val="43"/>
              <w:bidi w:val="0"/>
              <w:rPr>
                <w:rFonts w:hint="default"/>
                <w:b/>
                <w:bCs/>
              </w:rPr>
            </w:pPr>
            <w:r>
              <w:rPr>
                <w:rFonts w:hint="default"/>
                <w:b/>
                <w:bCs/>
                <w:lang w:val="en-US" w:eastAsia="zh-CN"/>
              </w:rPr>
              <w:t>距室内边界距离/m</w:t>
            </w:r>
          </w:p>
        </w:tc>
        <w:tc>
          <w:tcPr>
            <w:tcW w:w="571" w:type="pct"/>
            <w:gridSpan w:val="4"/>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B5021A">
            <w:pPr>
              <w:pStyle w:val="43"/>
              <w:bidi w:val="0"/>
              <w:rPr>
                <w:rFonts w:hint="default"/>
                <w:b/>
                <w:bCs/>
              </w:rPr>
            </w:pPr>
            <w:r>
              <w:rPr>
                <w:rFonts w:hint="default"/>
                <w:b/>
                <w:bCs/>
                <w:lang w:val="en-US" w:eastAsia="zh-CN"/>
              </w:rPr>
              <w:t>室内边界声级/dB(A)</w:t>
            </w:r>
          </w:p>
        </w:tc>
        <w:tc>
          <w:tcPr>
            <w:tcW w:w="240"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086ECB">
            <w:pPr>
              <w:pStyle w:val="43"/>
              <w:bidi w:val="0"/>
              <w:rPr>
                <w:rFonts w:hint="default"/>
                <w:b/>
                <w:bCs/>
              </w:rPr>
            </w:pPr>
            <w:r>
              <w:rPr>
                <w:rFonts w:hint="default"/>
                <w:b/>
                <w:bCs/>
                <w:lang w:val="en-US" w:eastAsia="zh-CN"/>
              </w:rPr>
              <w:t>运行时段</w:t>
            </w:r>
          </w:p>
        </w:tc>
        <w:tc>
          <w:tcPr>
            <w:tcW w:w="319"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BBAF6">
            <w:pPr>
              <w:pStyle w:val="43"/>
              <w:bidi w:val="0"/>
              <w:rPr>
                <w:rFonts w:hint="default"/>
                <w:b/>
                <w:bCs/>
              </w:rPr>
            </w:pPr>
            <w:r>
              <w:rPr>
                <w:rFonts w:hint="default"/>
                <w:b/>
                <w:bCs/>
                <w:lang w:val="en-US" w:eastAsia="zh-CN"/>
              </w:rPr>
              <w:t>建筑物插入损失/dB(A)</w:t>
            </w:r>
          </w:p>
        </w:tc>
        <w:tc>
          <w:tcPr>
            <w:tcW w:w="994" w:type="pct"/>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E37A1">
            <w:pPr>
              <w:pStyle w:val="43"/>
              <w:bidi w:val="0"/>
              <w:rPr>
                <w:rFonts w:hint="default"/>
                <w:b/>
                <w:bCs/>
              </w:rPr>
            </w:pPr>
            <w:r>
              <w:rPr>
                <w:rFonts w:hint="default"/>
                <w:b/>
                <w:bCs/>
                <w:lang w:val="en-US" w:eastAsia="zh-CN"/>
              </w:rPr>
              <w:t>建筑物外</w:t>
            </w:r>
            <w:r>
              <w:rPr>
                <w:rFonts w:hint="eastAsia"/>
                <w:b/>
                <w:bCs/>
                <w:lang w:val="en-US" w:eastAsia="zh-CN"/>
              </w:rPr>
              <w:t>噪声</w:t>
            </w:r>
          </w:p>
        </w:tc>
      </w:tr>
      <w:tr w14:paraId="2D119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128036">
            <w:pPr>
              <w:pStyle w:val="43"/>
              <w:bidi w:val="0"/>
              <w:rPr>
                <w:rFonts w:hint="default"/>
                <w:b/>
                <w:bCs/>
              </w:rPr>
            </w:pPr>
          </w:p>
        </w:tc>
        <w:tc>
          <w:tcPr>
            <w:tcW w:w="282"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1C56EA">
            <w:pPr>
              <w:pStyle w:val="43"/>
              <w:bidi w:val="0"/>
              <w:rPr>
                <w:rFonts w:hint="default"/>
                <w:b/>
                <w:bCs/>
              </w:rPr>
            </w:pPr>
          </w:p>
        </w:tc>
        <w:tc>
          <w:tcPr>
            <w:tcW w:w="32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39CFE5">
            <w:pPr>
              <w:pStyle w:val="43"/>
              <w:bidi w:val="0"/>
              <w:rPr>
                <w:rFonts w:hint="default"/>
                <w:b/>
                <w:bCs/>
              </w:rPr>
            </w:pPr>
          </w:p>
        </w:tc>
        <w:tc>
          <w:tcPr>
            <w:tcW w:w="193"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FDCE65">
            <w:pPr>
              <w:pStyle w:val="43"/>
              <w:bidi w:val="0"/>
              <w:rPr>
                <w:rFonts w:hint="default"/>
                <w:b/>
                <w:bCs/>
              </w:rPr>
            </w:pPr>
          </w:p>
        </w:tc>
        <w:tc>
          <w:tcPr>
            <w:tcW w:w="42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81BCA">
            <w:pPr>
              <w:pStyle w:val="43"/>
              <w:bidi w:val="0"/>
              <w:rPr>
                <w:rFonts w:hint="default"/>
                <w:b/>
                <w:bCs/>
              </w:rPr>
            </w:pPr>
          </w:p>
        </w:tc>
        <w:tc>
          <w:tcPr>
            <w:tcW w:w="342"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F34227">
            <w:pPr>
              <w:pStyle w:val="43"/>
              <w:bidi w:val="0"/>
              <w:rPr>
                <w:rFonts w:hint="default"/>
                <w:b/>
                <w:bCs/>
              </w:rPr>
            </w:pPr>
          </w:p>
        </w:tc>
        <w:tc>
          <w:tcPr>
            <w:tcW w:w="503" w:type="pct"/>
            <w:gridSpan w:val="2"/>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C37A12">
            <w:pPr>
              <w:pStyle w:val="43"/>
              <w:bidi w:val="0"/>
              <w:rPr>
                <w:rFonts w:hint="default"/>
                <w:b/>
                <w:bCs/>
              </w:rPr>
            </w:pPr>
          </w:p>
        </w:tc>
        <w:tc>
          <w:tcPr>
            <w:tcW w:w="571" w:type="pct"/>
            <w:gridSpan w:val="4"/>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CBA382">
            <w:pPr>
              <w:pStyle w:val="43"/>
              <w:bidi w:val="0"/>
              <w:rPr>
                <w:rFonts w:hint="default"/>
                <w:b/>
                <w:bCs/>
              </w:rPr>
            </w:pPr>
          </w:p>
        </w:tc>
        <w:tc>
          <w:tcPr>
            <w:tcW w:w="571" w:type="pct"/>
            <w:gridSpan w:val="4"/>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3E0B9">
            <w:pPr>
              <w:pStyle w:val="43"/>
              <w:bidi w:val="0"/>
              <w:rPr>
                <w:rFonts w:hint="default"/>
                <w:b/>
                <w:bCs/>
              </w:rPr>
            </w:pPr>
          </w:p>
        </w:tc>
        <w:tc>
          <w:tcPr>
            <w:tcW w:w="240"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C14E82">
            <w:pPr>
              <w:pStyle w:val="43"/>
              <w:bidi w:val="0"/>
              <w:rPr>
                <w:rFonts w:hint="default"/>
                <w:b/>
                <w:bCs/>
              </w:rPr>
            </w:pPr>
          </w:p>
        </w:tc>
        <w:tc>
          <w:tcPr>
            <w:tcW w:w="319"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EA6620">
            <w:pPr>
              <w:pStyle w:val="43"/>
              <w:bidi w:val="0"/>
              <w:rPr>
                <w:rFonts w:hint="default"/>
                <w:b/>
                <w:bCs/>
              </w:rPr>
            </w:pPr>
          </w:p>
        </w:tc>
        <w:tc>
          <w:tcPr>
            <w:tcW w:w="571" w:type="pct"/>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77F64C">
            <w:pPr>
              <w:pStyle w:val="43"/>
              <w:bidi w:val="0"/>
              <w:rPr>
                <w:rFonts w:hint="default"/>
                <w:b/>
                <w:bCs/>
              </w:rPr>
            </w:pPr>
            <w:r>
              <w:rPr>
                <w:rFonts w:hint="default"/>
                <w:b/>
                <w:bCs/>
                <w:lang w:val="en-US" w:eastAsia="zh-CN"/>
              </w:rPr>
              <w:t>声压级/dB(A)</w:t>
            </w:r>
          </w:p>
        </w:tc>
        <w:tc>
          <w:tcPr>
            <w:tcW w:w="423" w:type="pct"/>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7EF9D1">
            <w:pPr>
              <w:pStyle w:val="43"/>
              <w:bidi w:val="0"/>
              <w:rPr>
                <w:rFonts w:hint="default"/>
                <w:b/>
                <w:bCs/>
              </w:rPr>
            </w:pPr>
            <w:r>
              <w:rPr>
                <w:rFonts w:hint="default"/>
                <w:b/>
                <w:bCs/>
                <w:lang w:val="en-US" w:eastAsia="zh-CN"/>
              </w:rPr>
              <w:t>建筑物外距离/m</w:t>
            </w:r>
          </w:p>
        </w:tc>
      </w:tr>
      <w:tr w14:paraId="11775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159946">
            <w:pPr>
              <w:pStyle w:val="43"/>
              <w:bidi w:val="0"/>
              <w:rPr>
                <w:rFonts w:hint="default"/>
                <w:b/>
                <w:bCs/>
              </w:rPr>
            </w:pPr>
          </w:p>
        </w:tc>
        <w:tc>
          <w:tcPr>
            <w:tcW w:w="282"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03DF4A">
            <w:pPr>
              <w:pStyle w:val="43"/>
              <w:bidi w:val="0"/>
              <w:rPr>
                <w:rFonts w:hint="default"/>
                <w:b/>
                <w:bCs/>
              </w:rPr>
            </w:pPr>
          </w:p>
        </w:tc>
        <w:tc>
          <w:tcPr>
            <w:tcW w:w="32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171392">
            <w:pPr>
              <w:pStyle w:val="43"/>
              <w:bidi w:val="0"/>
              <w:rPr>
                <w:rFonts w:hint="default"/>
                <w:b/>
                <w:bCs/>
              </w:rPr>
            </w:pPr>
          </w:p>
        </w:tc>
        <w:tc>
          <w:tcPr>
            <w:tcW w:w="193"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56FEA8">
            <w:pPr>
              <w:pStyle w:val="43"/>
              <w:bidi w:val="0"/>
              <w:rPr>
                <w:rFonts w:hint="default"/>
                <w:b/>
                <w:bCs/>
              </w:rPr>
            </w:pP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88FCE9">
            <w:pPr>
              <w:pStyle w:val="43"/>
              <w:bidi w:val="0"/>
              <w:rPr>
                <w:rFonts w:hint="default"/>
                <w:b/>
                <w:bCs/>
              </w:rPr>
            </w:pPr>
            <w:r>
              <w:rPr>
                <w:rFonts w:hint="default"/>
                <w:b/>
                <w:bCs/>
                <w:lang w:val="en-US" w:eastAsia="zh-CN"/>
              </w:rPr>
              <w:t>X</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418F17">
            <w:pPr>
              <w:pStyle w:val="43"/>
              <w:bidi w:val="0"/>
              <w:rPr>
                <w:rFonts w:hint="default"/>
                <w:b/>
                <w:bCs/>
              </w:rPr>
            </w:pPr>
            <w:r>
              <w:rPr>
                <w:rFonts w:hint="default"/>
                <w:b/>
                <w:bCs/>
                <w:lang w:val="en-US" w:eastAsia="zh-CN"/>
              </w:rPr>
              <w:t>Y</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DA6149">
            <w:pPr>
              <w:pStyle w:val="43"/>
              <w:bidi w:val="0"/>
              <w:rPr>
                <w:rFonts w:hint="default"/>
                <w:b/>
                <w:bCs/>
              </w:rPr>
            </w:pPr>
            <w:r>
              <w:rPr>
                <w:rFonts w:hint="default"/>
                <w:b/>
                <w:bCs/>
                <w:lang w:val="en-US" w:eastAsia="zh-CN"/>
              </w:rPr>
              <w:t>Z</w:t>
            </w:r>
          </w:p>
        </w:tc>
        <w:tc>
          <w:tcPr>
            <w:tcW w:w="342"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8D2F2D">
            <w:pPr>
              <w:pStyle w:val="43"/>
              <w:bidi w:val="0"/>
              <w:rPr>
                <w:rFonts w:hint="default"/>
                <w:b/>
                <w:bCs/>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8006C2">
            <w:pPr>
              <w:pStyle w:val="43"/>
              <w:bidi w:val="0"/>
              <w:rPr>
                <w:rFonts w:hint="default"/>
                <w:b/>
                <w:bCs/>
              </w:rPr>
            </w:pPr>
            <w:r>
              <w:rPr>
                <w:rFonts w:hint="default"/>
                <w:b/>
                <w:bCs/>
                <w:lang w:val="en-US" w:eastAsia="zh-CN"/>
              </w:rPr>
              <w:t>声压级/dB(A)</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C63098">
            <w:pPr>
              <w:pStyle w:val="43"/>
              <w:bidi w:val="0"/>
              <w:rPr>
                <w:rFonts w:hint="default"/>
                <w:b/>
                <w:bCs/>
              </w:rPr>
            </w:pPr>
            <w:r>
              <w:rPr>
                <w:rFonts w:hint="default"/>
                <w:b/>
                <w:bCs/>
                <w:lang w:val="en-US" w:eastAsia="zh-CN"/>
              </w:rPr>
              <w:t>距声源距离/m</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8E9013">
            <w:pPr>
              <w:pStyle w:val="43"/>
              <w:bidi w:val="0"/>
              <w:rPr>
                <w:rFonts w:hint="default"/>
                <w:b/>
                <w:bCs/>
              </w:rPr>
            </w:pPr>
            <w:r>
              <w:rPr>
                <w:rFonts w:hint="default"/>
                <w:b/>
                <w:bCs/>
                <w:lang w:val="en-US" w:eastAsia="zh-CN"/>
              </w:rPr>
              <w:t>东</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739BE8">
            <w:pPr>
              <w:pStyle w:val="43"/>
              <w:bidi w:val="0"/>
              <w:rPr>
                <w:rFonts w:hint="default"/>
                <w:b/>
                <w:bCs/>
              </w:rPr>
            </w:pPr>
            <w:r>
              <w:rPr>
                <w:rFonts w:hint="default"/>
                <w:b/>
                <w:bCs/>
                <w:lang w:val="en-US" w:eastAsia="zh-CN"/>
              </w:rPr>
              <w:t>南</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AB35E4">
            <w:pPr>
              <w:pStyle w:val="43"/>
              <w:bidi w:val="0"/>
              <w:rPr>
                <w:rFonts w:hint="default"/>
                <w:b/>
                <w:bCs/>
              </w:rPr>
            </w:pPr>
            <w:r>
              <w:rPr>
                <w:rFonts w:hint="default"/>
                <w:b/>
                <w:bCs/>
                <w:lang w:val="en-US" w:eastAsia="zh-CN"/>
              </w:rPr>
              <w:t>西</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FCE003">
            <w:pPr>
              <w:pStyle w:val="43"/>
              <w:bidi w:val="0"/>
              <w:rPr>
                <w:rFonts w:hint="default"/>
                <w:b/>
                <w:bCs/>
              </w:rPr>
            </w:pPr>
            <w:r>
              <w:rPr>
                <w:rFonts w:hint="default"/>
                <w:b/>
                <w:bCs/>
                <w:lang w:val="en-US" w:eastAsia="zh-CN"/>
              </w:rPr>
              <w:t>北</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4A93B0">
            <w:pPr>
              <w:pStyle w:val="43"/>
              <w:bidi w:val="0"/>
              <w:rPr>
                <w:rFonts w:hint="default"/>
                <w:b/>
                <w:bCs/>
              </w:rPr>
            </w:pPr>
            <w:r>
              <w:rPr>
                <w:rFonts w:hint="default"/>
                <w:b/>
                <w:bCs/>
                <w:lang w:val="en-US" w:eastAsia="zh-CN"/>
              </w:rPr>
              <w:t>东</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FBEB22">
            <w:pPr>
              <w:pStyle w:val="43"/>
              <w:bidi w:val="0"/>
              <w:rPr>
                <w:rFonts w:hint="default"/>
                <w:b/>
                <w:bCs/>
              </w:rPr>
            </w:pPr>
            <w:r>
              <w:rPr>
                <w:rFonts w:hint="default"/>
                <w:b/>
                <w:bCs/>
                <w:lang w:val="en-US" w:eastAsia="zh-CN"/>
              </w:rPr>
              <w:t>南</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1A8CD2">
            <w:pPr>
              <w:pStyle w:val="43"/>
              <w:bidi w:val="0"/>
              <w:rPr>
                <w:rFonts w:hint="default"/>
                <w:b/>
                <w:bCs/>
              </w:rPr>
            </w:pPr>
            <w:r>
              <w:rPr>
                <w:rFonts w:hint="default"/>
                <w:b/>
                <w:bCs/>
                <w:lang w:val="en-US" w:eastAsia="zh-CN"/>
              </w:rPr>
              <w:t>西</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9C1036">
            <w:pPr>
              <w:pStyle w:val="43"/>
              <w:bidi w:val="0"/>
              <w:rPr>
                <w:rFonts w:hint="default"/>
                <w:b/>
                <w:bCs/>
              </w:rPr>
            </w:pPr>
            <w:r>
              <w:rPr>
                <w:rFonts w:hint="default"/>
                <w:b/>
                <w:bCs/>
                <w:lang w:val="en-US" w:eastAsia="zh-CN"/>
              </w:rPr>
              <w:t>北</w:t>
            </w:r>
          </w:p>
        </w:tc>
        <w:tc>
          <w:tcPr>
            <w:tcW w:w="240"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ACB1AC">
            <w:pPr>
              <w:pStyle w:val="43"/>
              <w:bidi w:val="0"/>
              <w:rPr>
                <w:rFonts w:hint="default"/>
                <w:b/>
                <w:bCs/>
              </w:rPr>
            </w:pPr>
          </w:p>
        </w:tc>
        <w:tc>
          <w:tcPr>
            <w:tcW w:w="319"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B265E4">
            <w:pPr>
              <w:pStyle w:val="43"/>
              <w:bidi w:val="0"/>
              <w:rPr>
                <w:rFonts w:hint="default"/>
                <w:b/>
                <w:bCs/>
              </w:rPr>
            </w:pP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0A8ABC">
            <w:pPr>
              <w:pStyle w:val="43"/>
              <w:bidi w:val="0"/>
              <w:rPr>
                <w:rFonts w:hint="default"/>
                <w:b/>
                <w:bCs/>
              </w:rPr>
            </w:pPr>
            <w:r>
              <w:rPr>
                <w:rFonts w:hint="default"/>
                <w:b/>
                <w:bCs/>
                <w:lang w:val="en-US" w:eastAsia="zh-CN"/>
              </w:rPr>
              <w:t>东</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CB29E8">
            <w:pPr>
              <w:pStyle w:val="43"/>
              <w:bidi w:val="0"/>
              <w:rPr>
                <w:rFonts w:hint="default"/>
                <w:b/>
                <w:bCs/>
              </w:rPr>
            </w:pPr>
            <w:r>
              <w:rPr>
                <w:rFonts w:hint="default"/>
                <w:b/>
                <w:bCs/>
                <w:lang w:val="en-US" w:eastAsia="zh-CN"/>
              </w:rPr>
              <w:t>南</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E603DF">
            <w:pPr>
              <w:pStyle w:val="43"/>
              <w:bidi w:val="0"/>
              <w:rPr>
                <w:rFonts w:hint="default"/>
                <w:b/>
                <w:bCs/>
              </w:rPr>
            </w:pPr>
            <w:r>
              <w:rPr>
                <w:rFonts w:hint="default"/>
                <w:b/>
                <w:bCs/>
                <w:lang w:val="en-US" w:eastAsia="zh-CN"/>
              </w:rPr>
              <w:t>西</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7E625">
            <w:pPr>
              <w:pStyle w:val="43"/>
              <w:bidi w:val="0"/>
              <w:rPr>
                <w:rFonts w:hint="default"/>
                <w:b/>
                <w:bCs/>
              </w:rPr>
            </w:pPr>
            <w:r>
              <w:rPr>
                <w:rFonts w:hint="default"/>
                <w:b/>
                <w:bCs/>
                <w:lang w:val="en-US" w:eastAsia="zh-CN"/>
              </w:rPr>
              <w:t>北</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9D7C0C">
            <w:pPr>
              <w:pStyle w:val="43"/>
              <w:bidi w:val="0"/>
              <w:rPr>
                <w:rFonts w:hint="default"/>
                <w:b/>
                <w:bCs/>
              </w:rPr>
            </w:pPr>
            <w:r>
              <w:rPr>
                <w:rFonts w:hint="default"/>
                <w:b/>
                <w:bCs/>
                <w:lang w:val="en-US" w:eastAsia="zh-CN"/>
              </w:rPr>
              <w:t>东</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68BE97">
            <w:pPr>
              <w:pStyle w:val="43"/>
              <w:bidi w:val="0"/>
              <w:rPr>
                <w:rFonts w:hint="default"/>
                <w:b/>
                <w:bCs/>
              </w:rPr>
            </w:pPr>
            <w:r>
              <w:rPr>
                <w:rFonts w:hint="default"/>
                <w:b/>
                <w:bCs/>
                <w:lang w:val="en-US" w:eastAsia="zh-CN"/>
              </w:rPr>
              <w:t>南</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0FA106">
            <w:pPr>
              <w:pStyle w:val="43"/>
              <w:bidi w:val="0"/>
              <w:rPr>
                <w:rFonts w:hint="default"/>
                <w:b/>
                <w:bCs/>
              </w:rPr>
            </w:pPr>
            <w:r>
              <w:rPr>
                <w:rFonts w:hint="default"/>
                <w:b/>
                <w:bCs/>
                <w:lang w:val="en-US" w:eastAsia="zh-CN"/>
              </w:rPr>
              <w:t>西</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F4B38B">
            <w:pPr>
              <w:pStyle w:val="43"/>
              <w:bidi w:val="0"/>
              <w:rPr>
                <w:rFonts w:hint="default"/>
                <w:b/>
                <w:bCs/>
              </w:rPr>
            </w:pPr>
            <w:r>
              <w:rPr>
                <w:rFonts w:hint="default"/>
                <w:b/>
                <w:bCs/>
                <w:lang w:val="en-US" w:eastAsia="zh-CN"/>
              </w:rPr>
              <w:t>北</w:t>
            </w:r>
          </w:p>
        </w:tc>
      </w:tr>
      <w:tr w14:paraId="6EF0B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6E3854">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91EBBA">
            <w:pPr>
              <w:pStyle w:val="43"/>
              <w:bidi w:val="0"/>
              <w:rPr>
                <w:rFonts w:hint="default"/>
              </w:rPr>
            </w:pPr>
            <w:r>
              <w:rPr>
                <w:rFonts w:hint="default"/>
                <w:lang w:val="en-US" w:eastAsia="zh-CN"/>
              </w:rPr>
              <w:t>颚式破碎机</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BE1E27">
            <w:pPr>
              <w:pStyle w:val="43"/>
              <w:bidi w:val="0"/>
              <w:rPr>
                <w:rFonts w:hint="default"/>
              </w:rPr>
            </w:pPr>
            <w:r>
              <w:rPr>
                <w:rFonts w:hint="default"/>
                <w:lang w:val="en-US" w:eastAsia="zh-CN"/>
              </w:rPr>
              <w:t>PE800*1060H-001</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FE1BE3">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32E4DA">
            <w:pPr>
              <w:pStyle w:val="43"/>
              <w:bidi w:val="0"/>
              <w:rPr>
                <w:rFonts w:hint="default"/>
              </w:rPr>
            </w:pPr>
            <w:r>
              <w:rPr>
                <w:rFonts w:hint="default"/>
                <w:lang w:val="en-US" w:eastAsia="zh-CN"/>
              </w:rPr>
              <w:t>-278.62</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FD7909">
            <w:pPr>
              <w:pStyle w:val="43"/>
              <w:bidi w:val="0"/>
              <w:rPr>
                <w:rFonts w:hint="default"/>
              </w:rPr>
            </w:pPr>
            <w:r>
              <w:rPr>
                <w:rFonts w:hint="default"/>
                <w:lang w:val="en-US" w:eastAsia="zh-CN"/>
              </w:rPr>
              <w:t>-304.19</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C6AD6F">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4250EE">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F996A">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048FEB">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E543CC">
            <w:pPr>
              <w:pStyle w:val="43"/>
              <w:bidi w:val="0"/>
              <w:rPr>
                <w:rFonts w:hint="default"/>
              </w:rPr>
            </w:pPr>
            <w:r>
              <w:rPr>
                <w:rFonts w:hint="default"/>
                <w:lang w:val="en-US" w:eastAsia="zh-CN"/>
              </w:rPr>
              <w:t>36.39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71EAE3">
            <w:pPr>
              <w:pStyle w:val="43"/>
              <w:bidi w:val="0"/>
              <w:rPr>
                <w:rFonts w:hint="default"/>
              </w:rPr>
            </w:pPr>
            <w:r>
              <w:rPr>
                <w:rFonts w:hint="default"/>
                <w:lang w:val="en-US" w:eastAsia="zh-CN"/>
              </w:rPr>
              <w:t>48.52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19D3C2">
            <w:pPr>
              <w:pStyle w:val="43"/>
              <w:bidi w:val="0"/>
              <w:rPr>
                <w:rFonts w:hint="default"/>
              </w:rPr>
            </w:pPr>
            <w:r>
              <w:rPr>
                <w:rFonts w:hint="default"/>
                <w:lang w:val="en-US" w:eastAsia="zh-CN"/>
              </w:rPr>
              <w:t>22.87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4AB0AA">
            <w:pPr>
              <w:pStyle w:val="43"/>
              <w:bidi w:val="0"/>
              <w:rPr>
                <w:rFonts w:hint="default"/>
              </w:rPr>
            </w:pPr>
            <w:r>
              <w:rPr>
                <w:rFonts w:hint="default"/>
                <w:lang w:val="en-US" w:eastAsia="zh-CN"/>
              </w:rPr>
              <w:t>22.17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543F2B">
            <w:pPr>
              <w:pStyle w:val="43"/>
              <w:bidi w:val="0"/>
              <w:rPr>
                <w:rFonts w:hint="default"/>
              </w:rPr>
            </w:pPr>
            <w:r>
              <w:rPr>
                <w:rFonts w:hint="default"/>
                <w:lang w:val="en-US" w:eastAsia="zh-CN"/>
              </w:rPr>
              <w:t>63.78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1C4141">
            <w:pPr>
              <w:pStyle w:val="43"/>
              <w:bidi w:val="0"/>
              <w:rPr>
                <w:rFonts w:hint="default"/>
              </w:rPr>
            </w:pPr>
            <w:r>
              <w:rPr>
                <w:rFonts w:hint="default"/>
                <w:lang w:val="en-US" w:eastAsia="zh-CN"/>
              </w:rPr>
              <w:t>61.28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D0BC30">
            <w:pPr>
              <w:pStyle w:val="43"/>
              <w:bidi w:val="0"/>
              <w:rPr>
                <w:rFonts w:hint="default"/>
              </w:rPr>
            </w:pPr>
            <w:r>
              <w:rPr>
                <w:rFonts w:hint="default"/>
                <w:lang w:val="en-US" w:eastAsia="zh-CN"/>
              </w:rPr>
              <w:t>67.82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77FFCB">
            <w:pPr>
              <w:pStyle w:val="43"/>
              <w:bidi w:val="0"/>
              <w:rPr>
                <w:rFonts w:hint="default"/>
              </w:rPr>
            </w:pPr>
            <w:r>
              <w:rPr>
                <w:rFonts w:hint="default"/>
                <w:lang w:val="en-US" w:eastAsia="zh-CN"/>
              </w:rPr>
              <w:t>68.08</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1E3DCC">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947431">
            <w:pPr>
              <w:pStyle w:val="43"/>
              <w:bidi w:val="0"/>
              <w:rPr>
                <w:rFonts w:hint="default"/>
                <w:lang w:val="en-US"/>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3B7545">
            <w:pPr>
              <w:pStyle w:val="43"/>
              <w:bidi w:val="0"/>
              <w:rPr>
                <w:rFonts w:hint="default"/>
              </w:rPr>
            </w:pPr>
            <w:r>
              <w:rPr>
                <w:rFonts w:hint="default"/>
                <w:lang w:val="en-US" w:eastAsia="zh-CN"/>
              </w:rPr>
              <w:t>37.55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7CE85A">
            <w:pPr>
              <w:pStyle w:val="43"/>
              <w:bidi w:val="0"/>
              <w:rPr>
                <w:rFonts w:hint="default"/>
              </w:rPr>
            </w:pPr>
            <w:r>
              <w:rPr>
                <w:rFonts w:hint="default"/>
                <w:lang w:val="en-US" w:eastAsia="zh-CN"/>
              </w:rPr>
              <w:t>35.10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C22607">
            <w:pPr>
              <w:pStyle w:val="43"/>
              <w:bidi w:val="0"/>
              <w:rPr>
                <w:rFonts w:hint="default"/>
              </w:rPr>
            </w:pPr>
            <w:r>
              <w:rPr>
                <w:rFonts w:hint="default"/>
                <w:lang w:val="en-US" w:eastAsia="zh-CN"/>
              </w:rPr>
              <w:t>41.44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D38AFC">
            <w:pPr>
              <w:pStyle w:val="43"/>
              <w:bidi w:val="0"/>
              <w:rPr>
                <w:rFonts w:hint="default"/>
              </w:rPr>
            </w:pPr>
            <w:r>
              <w:rPr>
                <w:rFonts w:hint="default"/>
                <w:lang w:val="en-US" w:eastAsia="zh-CN"/>
              </w:rPr>
              <w:t>41.70</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8602F8">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D20D62">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D25132">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DF8432">
            <w:pPr>
              <w:pStyle w:val="43"/>
              <w:bidi w:val="0"/>
              <w:rPr>
                <w:rFonts w:hint="default"/>
              </w:rPr>
            </w:pPr>
            <w:r>
              <w:rPr>
                <w:rFonts w:hint="default"/>
                <w:lang w:val="en-US" w:eastAsia="zh-CN"/>
              </w:rPr>
              <w:t>1</w:t>
            </w:r>
          </w:p>
        </w:tc>
      </w:tr>
      <w:tr w14:paraId="50CF8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B897C0">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63A84F">
            <w:pPr>
              <w:pStyle w:val="43"/>
              <w:bidi w:val="0"/>
              <w:rPr>
                <w:rFonts w:hint="default"/>
              </w:rPr>
            </w:pPr>
            <w:r>
              <w:rPr>
                <w:rFonts w:hint="default"/>
                <w:lang w:val="en-US" w:eastAsia="zh-CN"/>
              </w:rPr>
              <w:t>重型锤式破碎机</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DD3FB4">
            <w:pPr>
              <w:pStyle w:val="43"/>
              <w:bidi w:val="0"/>
              <w:rPr>
                <w:rFonts w:hint="default"/>
              </w:rPr>
            </w:pPr>
            <w:r>
              <w:rPr>
                <w:rFonts w:hint="default"/>
                <w:lang w:val="en-US" w:eastAsia="zh-CN"/>
              </w:rPr>
              <w:t>XGN-Z1815</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26A5ED">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EB542D">
            <w:pPr>
              <w:pStyle w:val="43"/>
              <w:bidi w:val="0"/>
              <w:rPr>
                <w:rFonts w:hint="default"/>
              </w:rPr>
            </w:pPr>
            <w:r>
              <w:rPr>
                <w:rFonts w:hint="default"/>
                <w:lang w:val="en-US" w:eastAsia="zh-CN"/>
              </w:rPr>
              <w:t>-255.87</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DCFB2C">
            <w:pPr>
              <w:pStyle w:val="43"/>
              <w:bidi w:val="0"/>
              <w:rPr>
                <w:rFonts w:hint="default"/>
              </w:rPr>
            </w:pPr>
            <w:r>
              <w:rPr>
                <w:rFonts w:hint="default"/>
                <w:lang w:val="en-US" w:eastAsia="zh-CN"/>
              </w:rPr>
              <w:t>-331.61</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8631A6">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62542">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65D6B">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8F480F">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A05F28">
            <w:pPr>
              <w:pStyle w:val="43"/>
              <w:bidi w:val="0"/>
              <w:rPr>
                <w:rFonts w:hint="default"/>
              </w:rPr>
            </w:pPr>
            <w:r>
              <w:rPr>
                <w:rFonts w:hint="default"/>
                <w:lang w:val="en-US" w:eastAsia="zh-CN"/>
              </w:rPr>
              <w:t>58.39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07AA10">
            <w:pPr>
              <w:pStyle w:val="43"/>
              <w:bidi w:val="0"/>
              <w:rPr>
                <w:rFonts w:hint="default"/>
              </w:rPr>
            </w:pPr>
            <w:r>
              <w:rPr>
                <w:rFonts w:hint="default"/>
                <w:lang w:val="en-US" w:eastAsia="zh-CN"/>
              </w:rPr>
              <w:t>37.18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DE3F21">
            <w:pPr>
              <w:pStyle w:val="43"/>
              <w:bidi w:val="0"/>
              <w:rPr>
                <w:rFonts w:hint="default"/>
              </w:rPr>
            </w:pPr>
            <w:r>
              <w:rPr>
                <w:rFonts w:hint="default"/>
                <w:lang w:val="en-US" w:eastAsia="zh-CN"/>
              </w:rPr>
              <w:t>53.11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1F6D6C">
            <w:pPr>
              <w:pStyle w:val="43"/>
              <w:bidi w:val="0"/>
              <w:rPr>
                <w:rFonts w:hint="default"/>
              </w:rPr>
            </w:pPr>
            <w:r>
              <w:rPr>
                <w:rFonts w:hint="default"/>
                <w:lang w:val="en-US" w:eastAsia="zh-CN"/>
              </w:rPr>
              <w:t>35.58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90BDAD">
            <w:pPr>
              <w:pStyle w:val="43"/>
              <w:bidi w:val="0"/>
              <w:rPr>
                <w:rFonts w:hint="default"/>
              </w:rPr>
            </w:pPr>
            <w:r>
              <w:rPr>
                <w:rFonts w:hint="default"/>
                <w:lang w:val="en-US" w:eastAsia="zh-CN"/>
              </w:rPr>
              <w:t>59.67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753BB0">
            <w:pPr>
              <w:pStyle w:val="43"/>
              <w:bidi w:val="0"/>
              <w:rPr>
                <w:rFonts w:hint="default"/>
              </w:rPr>
            </w:pPr>
            <w:r>
              <w:rPr>
                <w:rFonts w:hint="default"/>
                <w:lang w:val="en-US" w:eastAsia="zh-CN"/>
              </w:rPr>
              <w:t>63.59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915508">
            <w:pPr>
              <w:pStyle w:val="43"/>
              <w:bidi w:val="0"/>
              <w:rPr>
                <w:rFonts w:hint="default"/>
              </w:rPr>
            </w:pPr>
            <w:r>
              <w:rPr>
                <w:rFonts w:hint="default"/>
                <w:lang w:val="en-US" w:eastAsia="zh-CN"/>
              </w:rPr>
              <w:t>60.50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DEDC7C">
            <w:pPr>
              <w:pStyle w:val="43"/>
              <w:bidi w:val="0"/>
              <w:rPr>
                <w:rFonts w:hint="default"/>
              </w:rPr>
            </w:pPr>
            <w:r>
              <w:rPr>
                <w:rFonts w:hint="default"/>
                <w:lang w:val="en-US" w:eastAsia="zh-CN"/>
              </w:rPr>
              <w:t>63.98</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3F0006">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EA7CAD">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AF1D81">
            <w:pPr>
              <w:pStyle w:val="43"/>
              <w:bidi w:val="0"/>
              <w:rPr>
                <w:rFonts w:hint="default"/>
              </w:rPr>
            </w:pPr>
            <w:r>
              <w:rPr>
                <w:rFonts w:hint="default"/>
                <w:lang w:val="en-US" w:eastAsia="zh-CN"/>
              </w:rPr>
              <w:t>33.53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0921CC">
            <w:pPr>
              <w:pStyle w:val="43"/>
              <w:bidi w:val="0"/>
              <w:rPr>
                <w:rFonts w:hint="default"/>
              </w:rPr>
            </w:pPr>
            <w:r>
              <w:rPr>
                <w:rFonts w:hint="default"/>
                <w:lang w:val="en-US" w:eastAsia="zh-CN"/>
              </w:rPr>
              <w:t>37.36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7509D8">
            <w:pPr>
              <w:pStyle w:val="43"/>
              <w:bidi w:val="0"/>
              <w:rPr>
                <w:rFonts w:hint="default"/>
              </w:rPr>
            </w:pPr>
            <w:r>
              <w:rPr>
                <w:rFonts w:hint="default"/>
                <w:lang w:val="en-US" w:eastAsia="zh-CN"/>
              </w:rPr>
              <w:t>34.33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D040D5">
            <w:pPr>
              <w:pStyle w:val="43"/>
              <w:bidi w:val="0"/>
              <w:rPr>
                <w:rFonts w:hint="default"/>
              </w:rPr>
            </w:pPr>
            <w:r>
              <w:rPr>
                <w:rFonts w:hint="default"/>
                <w:lang w:val="en-US" w:eastAsia="zh-CN"/>
              </w:rPr>
              <w:t>37.74</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EACE2A">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5BED43">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3FFF1D">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CB67BB">
            <w:pPr>
              <w:pStyle w:val="43"/>
              <w:bidi w:val="0"/>
              <w:rPr>
                <w:rFonts w:hint="default"/>
              </w:rPr>
            </w:pPr>
            <w:r>
              <w:rPr>
                <w:rFonts w:hint="default"/>
                <w:lang w:val="en-US" w:eastAsia="zh-CN"/>
              </w:rPr>
              <w:t>1</w:t>
            </w:r>
          </w:p>
        </w:tc>
      </w:tr>
      <w:tr w14:paraId="7BE9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0411F6">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D06182">
            <w:pPr>
              <w:pStyle w:val="43"/>
              <w:bidi w:val="0"/>
              <w:rPr>
                <w:rFonts w:hint="default"/>
              </w:rPr>
            </w:pPr>
            <w:r>
              <w:rPr>
                <w:rFonts w:hint="default"/>
                <w:lang w:val="en-US" w:eastAsia="zh-CN"/>
              </w:rPr>
              <w:t>锤式</w:t>
            </w:r>
            <w:r>
              <w:rPr>
                <w:rFonts w:hint="eastAsia"/>
                <w:lang w:val="en-US" w:eastAsia="zh-CN"/>
              </w:rPr>
              <w:t>反击</w:t>
            </w:r>
            <w:r>
              <w:rPr>
                <w:rFonts w:hint="default"/>
                <w:lang w:val="en-US" w:eastAsia="zh-CN"/>
              </w:rPr>
              <w:t>破碎机</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04BF8D">
            <w:pPr>
              <w:pStyle w:val="43"/>
              <w:bidi w:val="0"/>
              <w:rPr>
                <w:rFonts w:hint="default"/>
              </w:rPr>
            </w:pPr>
            <w:r>
              <w:rPr>
                <w:rFonts w:hint="default"/>
                <w:lang w:val="en-US" w:eastAsia="zh-CN"/>
              </w:rPr>
              <w:t>ZG-1520</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666D62">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69A09">
            <w:pPr>
              <w:pStyle w:val="43"/>
              <w:bidi w:val="0"/>
              <w:rPr>
                <w:rFonts w:hint="default"/>
              </w:rPr>
            </w:pPr>
            <w:r>
              <w:rPr>
                <w:rFonts w:hint="default"/>
                <w:lang w:val="en-US" w:eastAsia="zh-CN"/>
              </w:rPr>
              <w:t>-224.95</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C822F">
            <w:pPr>
              <w:pStyle w:val="43"/>
              <w:bidi w:val="0"/>
              <w:rPr>
                <w:rFonts w:hint="default"/>
              </w:rPr>
            </w:pPr>
            <w:r>
              <w:rPr>
                <w:rFonts w:hint="default"/>
                <w:lang w:val="en-US" w:eastAsia="zh-CN"/>
              </w:rPr>
              <w:t>-350.28</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70C962">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B40E56">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9C4CA8">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0B8B2A">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0A2BBC">
            <w:pPr>
              <w:pStyle w:val="43"/>
              <w:bidi w:val="0"/>
              <w:rPr>
                <w:rFonts w:hint="default"/>
              </w:rPr>
            </w:pPr>
            <w:r>
              <w:rPr>
                <w:rFonts w:hint="default"/>
                <w:lang w:val="en-US" w:eastAsia="zh-CN"/>
              </w:rPr>
              <w:t>55.29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1157BA">
            <w:pPr>
              <w:pStyle w:val="43"/>
              <w:bidi w:val="0"/>
              <w:rPr>
                <w:rFonts w:hint="default"/>
              </w:rPr>
            </w:pPr>
            <w:r>
              <w:rPr>
                <w:rFonts w:hint="default"/>
                <w:lang w:val="en-US" w:eastAsia="zh-CN"/>
              </w:rPr>
              <w:t>40.26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75604D">
            <w:pPr>
              <w:pStyle w:val="43"/>
              <w:bidi w:val="0"/>
              <w:rPr>
                <w:rFonts w:hint="default"/>
              </w:rPr>
            </w:pPr>
            <w:r>
              <w:rPr>
                <w:rFonts w:hint="default"/>
                <w:lang w:val="en-US" w:eastAsia="zh-CN"/>
              </w:rPr>
              <w:t>57.51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3DD8A0">
            <w:pPr>
              <w:pStyle w:val="43"/>
              <w:bidi w:val="0"/>
              <w:rPr>
                <w:rFonts w:hint="default"/>
              </w:rPr>
            </w:pPr>
            <w:r>
              <w:rPr>
                <w:rFonts w:hint="default"/>
                <w:lang w:val="en-US" w:eastAsia="zh-CN"/>
              </w:rPr>
              <w:t>35.30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6B81E1">
            <w:pPr>
              <w:pStyle w:val="43"/>
              <w:bidi w:val="0"/>
              <w:rPr>
                <w:rFonts w:hint="default"/>
              </w:rPr>
            </w:pPr>
            <w:r>
              <w:rPr>
                <w:rFonts w:hint="default"/>
                <w:lang w:val="en-US" w:eastAsia="zh-CN"/>
              </w:rPr>
              <w:t>60.15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A5D3B5">
            <w:pPr>
              <w:pStyle w:val="43"/>
              <w:bidi w:val="0"/>
              <w:rPr>
                <w:rFonts w:hint="default"/>
              </w:rPr>
            </w:pPr>
            <w:r>
              <w:rPr>
                <w:rFonts w:hint="default"/>
                <w:lang w:val="en-US" w:eastAsia="zh-CN"/>
              </w:rPr>
              <w:t>62.90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D88195">
            <w:pPr>
              <w:pStyle w:val="43"/>
              <w:bidi w:val="0"/>
              <w:rPr>
                <w:rFonts w:hint="default"/>
              </w:rPr>
            </w:pPr>
            <w:r>
              <w:rPr>
                <w:rFonts w:hint="default"/>
                <w:lang w:val="en-US" w:eastAsia="zh-CN"/>
              </w:rPr>
              <w:t>59.80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14BB8">
            <w:pPr>
              <w:pStyle w:val="43"/>
              <w:bidi w:val="0"/>
              <w:rPr>
                <w:rFonts w:hint="default"/>
              </w:rPr>
            </w:pPr>
            <w:r>
              <w:rPr>
                <w:rFonts w:hint="default"/>
                <w:lang w:val="en-US" w:eastAsia="zh-CN"/>
              </w:rPr>
              <w:t>64.04</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EFB5FA">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45BD5F">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38B9BF">
            <w:pPr>
              <w:pStyle w:val="43"/>
              <w:bidi w:val="0"/>
              <w:rPr>
                <w:rFonts w:hint="default"/>
              </w:rPr>
            </w:pPr>
            <w:r>
              <w:rPr>
                <w:rFonts w:hint="default"/>
                <w:lang w:val="en-US" w:eastAsia="zh-CN"/>
              </w:rPr>
              <w:t>33.99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C086C2">
            <w:pPr>
              <w:pStyle w:val="43"/>
              <w:bidi w:val="0"/>
              <w:rPr>
                <w:rFonts w:hint="default"/>
              </w:rPr>
            </w:pPr>
            <w:r>
              <w:rPr>
                <w:rFonts w:hint="default"/>
                <w:lang w:val="en-US" w:eastAsia="zh-CN"/>
              </w:rPr>
              <w:t>36.69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841BAD">
            <w:pPr>
              <w:pStyle w:val="43"/>
              <w:bidi w:val="0"/>
              <w:rPr>
                <w:rFonts w:hint="default"/>
              </w:rPr>
            </w:pPr>
            <w:r>
              <w:rPr>
                <w:rFonts w:hint="default"/>
                <w:lang w:val="en-US" w:eastAsia="zh-CN"/>
              </w:rPr>
              <w:t>33.65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E623C1">
            <w:pPr>
              <w:pStyle w:val="43"/>
              <w:bidi w:val="0"/>
              <w:rPr>
                <w:rFonts w:hint="default"/>
              </w:rPr>
            </w:pPr>
            <w:r>
              <w:rPr>
                <w:rFonts w:hint="default"/>
                <w:lang w:val="en-US" w:eastAsia="zh-CN"/>
              </w:rPr>
              <w:t>37.80</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2C05B8">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E05CD3">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D3AEE5">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B33EC3">
            <w:pPr>
              <w:pStyle w:val="43"/>
              <w:bidi w:val="0"/>
              <w:rPr>
                <w:rFonts w:hint="default"/>
              </w:rPr>
            </w:pPr>
            <w:r>
              <w:rPr>
                <w:rFonts w:hint="default"/>
                <w:lang w:val="en-US" w:eastAsia="zh-CN"/>
              </w:rPr>
              <w:t>1</w:t>
            </w:r>
          </w:p>
        </w:tc>
      </w:tr>
      <w:tr w14:paraId="426AC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B7B97E">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12DF1E">
            <w:pPr>
              <w:pStyle w:val="43"/>
              <w:bidi w:val="0"/>
              <w:rPr>
                <w:rFonts w:hint="default"/>
              </w:rPr>
            </w:pPr>
            <w:r>
              <w:rPr>
                <w:rFonts w:hint="default"/>
                <w:lang w:val="en-US" w:eastAsia="zh-CN"/>
              </w:rPr>
              <w:t>制砂机1</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08749">
            <w:pPr>
              <w:pStyle w:val="43"/>
              <w:bidi w:val="0"/>
              <w:rPr>
                <w:rFonts w:hint="default"/>
              </w:rPr>
            </w:pPr>
            <w:r>
              <w:rPr>
                <w:rFonts w:hint="default"/>
                <w:lang w:val="en-US" w:eastAsia="zh-CN"/>
              </w:rPr>
              <w:t>PFK-1312</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4B01AF">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F341AC">
            <w:pPr>
              <w:pStyle w:val="43"/>
              <w:bidi w:val="0"/>
              <w:rPr>
                <w:rFonts w:hint="default"/>
              </w:rPr>
            </w:pPr>
            <w:r>
              <w:rPr>
                <w:rFonts w:hint="default"/>
                <w:lang w:val="en-US" w:eastAsia="zh-CN"/>
              </w:rPr>
              <w:t>-321.79</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5E57AE">
            <w:pPr>
              <w:pStyle w:val="43"/>
              <w:bidi w:val="0"/>
              <w:rPr>
                <w:rFonts w:hint="default"/>
              </w:rPr>
            </w:pPr>
            <w:r>
              <w:rPr>
                <w:rFonts w:hint="default"/>
                <w:lang w:val="en-US" w:eastAsia="zh-CN"/>
              </w:rPr>
              <w:t>-314.69</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D653AC">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AA884D">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F6A7E5">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623700">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267DF2">
            <w:pPr>
              <w:pStyle w:val="43"/>
              <w:bidi w:val="0"/>
              <w:rPr>
                <w:rFonts w:hint="default"/>
              </w:rPr>
            </w:pPr>
            <w:r>
              <w:rPr>
                <w:rFonts w:hint="default"/>
                <w:lang w:val="en-US" w:eastAsia="zh-CN"/>
              </w:rPr>
              <w:t>7.59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329C2">
            <w:pPr>
              <w:pStyle w:val="43"/>
              <w:bidi w:val="0"/>
              <w:rPr>
                <w:rFonts w:hint="default"/>
              </w:rPr>
            </w:pPr>
            <w:r>
              <w:rPr>
                <w:rFonts w:hint="default"/>
                <w:lang w:val="en-US" w:eastAsia="zh-CN"/>
              </w:rPr>
              <w:t>54.19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F58C2B">
            <w:pPr>
              <w:pStyle w:val="43"/>
              <w:bidi w:val="0"/>
              <w:rPr>
                <w:rFonts w:hint="default"/>
              </w:rPr>
            </w:pPr>
            <w:r>
              <w:rPr>
                <w:rFonts w:hint="default"/>
                <w:lang w:val="en-US" w:eastAsia="zh-CN"/>
              </w:rPr>
              <w:t>17.09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182C89">
            <w:pPr>
              <w:pStyle w:val="43"/>
              <w:bidi w:val="0"/>
              <w:rPr>
                <w:rFonts w:hint="default"/>
              </w:rPr>
            </w:pPr>
            <w:r>
              <w:rPr>
                <w:rFonts w:hint="default"/>
                <w:lang w:val="en-US" w:eastAsia="zh-CN"/>
              </w:rPr>
              <w:t>37.73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9606C4">
            <w:pPr>
              <w:pStyle w:val="43"/>
              <w:bidi w:val="0"/>
              <w:rPr>
                <w:rFonts w:hint="default"/>
              </w:rPr>
            </w:pPr>
            <w:r>
              <w:rPr>
                <w:rFonts w:hint="default"/>
                <w:lang w:val="en-US" w:eastAsia="zh-CN"/>
              </w:rPr>
              <w:t>77.40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2AA8B6">
            <w:pPr>
              <w:pStyle w:val="43"/>
              <w:bidi w:val="0"/>
              <w:rPr>
                <w:rFonts w:hint="default"/>
              </w:rPr>
            </w:pPr>
            <w:r>
              <w:rPr>
                <w:rFonts w:hint="default"/>
                <w:lang w:val="en-US" w:eastAsia="zh-CN"/>
              </w:rPr>
              <w:t>60.32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4AD23E">
            <w:pPr>
              <w:pStyle w:val="43"/>
              <w:bidi w:val="0"/>
              <w:rPr>
                <w:rFonts w:hint="default"/>
              </w:rPr>
            </w:pPr>
            <w:r>
              <w:rPr>
                <w:rFonts w:hint="default"/>
                <w:lang w:val="en-US" w:eastAsia="zh-CN"/>
              </w:rPr>
              <w:t>70.34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913A99">
            <w:pPr>
              <w:pStyle w:val="43"/>
              <w:bidi w:val="0"/>
              <w:rPr>
                <w:rFonts w:hint="default"/>
              </w:rPr>
            </w:pPr>
            <w:r>
              <w:rPr>
                <w:rFonts w:hint="default"/>
                <w:lang w:val="en-US" w:eastAsia="zh-CN"/>
              </w:rPr>
              <w:t>63.47</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08FD57">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3CCD4B">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E54848">
            <w:pPr>
              <w:pStyle w:val="43"/>
              <w:bidi w:val="0"/>
              <w:rPr>
                <w:rFonts w:hint="default"/>
              </w:rPr>
            </w:pPr>
            <w:r>
              <w:rPr>
                <w:rFonts w:hint="default"/>
                <w:lang w:val="en-US" w:eastAsia="zh-CN"/>
              </w:rPr>
              <w:t>50.32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AC1CB4">
            <w:pPr>
              <w:pStyle w:val="43"/>
              <w:bidi w:val="0"/>
              <w:rPr>
                <w:rFonts w:hint="default"/>
              </w:rPr>
            </w:pPr>
            <w:r>
              <w:rPr>
                <w:rFonts w:hint="default"/>
                <w:lang w:val="en-US" w:eastAsia="zh-CN"/>
              </w:rPr>
              <w:t>34.16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AEAC7B">
            <w:pPr>
              <w:pStyle w:val="43"/>
              <w:bidi w:val="0"/>
              <w:rPr>
                <w:rFonts w:hint="default"/>
              </w:rPr>
            </w:pPr>
            <w:r>
              <w:rPr>
                <w:rFonts w:hint="default"/>
                <w:lang w:val="en-US" w:eastAsia="zh-CN"/>
              </w:rPr>
              <w:t>43.85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06A3BA">
            <w:pPr>
              <w:pStyle w:val="43"/>
              <w:bidi w:val="0"/>
              <w:rPr>
                <w:rFonts w:hint="default"/>
              </w:rPr>
            </w:pPr>
            <w:r>
              <w:rPr>
                <w:rFonts w:hint="default"/>
                <w:lang w:val="en-US" w:eastAsia="zh-CN"/>
              </w:rPr>
              <w:t>37.24</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345740">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93A12F">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7BF97">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B59FDE">
            <w:pPr>
              <w:pStyle w:val="43"/>
              <w:bidi w:val="0"/>
              <w:rPr>
                <w:rFonts w:hint="default"/>
              </w:rPr>
            </w:pPr>
            <w:r>
              <w:rPr>
                <w:rFonts w:hint="default"/>
                <w:lang w:val="en-US" w:eastAsia="zh-CN"/>
              </w:rPr>
              <w:t>1</w:t>
            </w:r>
          </w:p>
        </w:tc>
      </w:tr>
      <w:tr w14:paraId="07BB1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42A55C">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78FF3">
            <w:pPr>
              <w:pStyle w:val="43"/>
              <w:bidi w:val="0"/>
              <w:rPr>
                <w:rFonts w:hint="default"/>
              </w:rPr>
            </w:pPr>
            <w:r>
              <w:rPr>
                <w:rFonts w:hint="default"/>
                <w:lang w:val="en-US" w:eastAsia="zh-CN"/>
              </w:rPr>
              <w:t>制砂机2</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80095">
            <w:pPr>
              <w:pStyle w:val="43"/>
              <w:bidi w:val="0"/>
              <w:rPr>
                <w:rFonts w:hint="default"/>
              </w:rPr>
            </w:pPr>
            <w:r>
              <w:rPr>
                <w:rFonts w:hint="default"/>
                <w:lang w:val="en-US" w:eastAsia="zh-CN"/>
              </w:rPr>
              <w:t>PFK-1312</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8F0367">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49F5A0">
            <w:pPr>
              <w:pStyle w:val="43"/>
              <w:bidi w:val="0"/>
              <w:rPr>
                <w:rFonts w:hint="default"/>
              </w:rPr>
            </w:pPr>
            <w:r>
              <w:rPr>
                <w:rFonts w:hint="default"/>
                <w:lang w:val="en-US" w:eastAsia="zh-CN"/>
              </w:rPr>
              <w:t>-318.87</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826B8A">
            <w:pPr>
              <w:pStyle w:val="43"/>
              <w:bidi w:val="0"/>
              <w:rPr>
                <w:rFonts w:hint="default"/>
              </w:rPr>
            </w:pPr>
            <w:r>
              <w:rPr>
                <w:rFonts w:hint="default"/>
                <w:lang w:val="en-US" w:eastAsia="zh-CN"/>
              </w:rPr>
              <w:t>-314.69</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3D4118">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7944DD">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6388F9">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FA6C40">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DFD8B2">
            <w:pPr>
              <w:pStyle w:val="43"/>
              <w:bidi w:val="0"/>
              <w:rPr>
                <w:rFonts w:hint="default"/>
              </w:rPr>
            </w:pPr>
            <w:r>
              <w:rPr>
                <w:rFonts w:hint="default"/>
                <w:lang w:val="en-US" w:eastAsia="zh-CN"/>
              </w:rPr>
              <w:t>4.67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879F7B">
            <w:pPr>
              <w:pStyle w:val="43"/>
              <w:bidi w:val="0"/>
              <w:rPr>
                <w:rFonts w:hint="default"/>
              </w:rPr>
            </w:pPr>
            <w:r>
              <w:rPr>
                <w:rFonts w:hint="default"/>
                <w:lang w:val="en-US" w:eastAsia="zh-CN"/>
              </w:rPr>
              <w:t>54.33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2D17AE">
            <w:pPr>
              <w:pStyle w:val="43"/>
              <w:bidi w:val="0"/>
              <w:rPr>
                <w:rFonts w:hint="default"/>
              </w:rPr>
            </w:pPr>
            <w:r>
              <w:rPr>
                <w:rFonts w:hint="default"/>
                <w:lang w:val="en-US" w:eastAsia="zh-CN"/>
              </w:rPr>
              <w:t>20.01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22E8B9">
            <w:pPr>
              <w:pStyle w:val="43"/>
              <w:bidi w:val="0"/>
              <w:rPr>
                <w:rFonts w:hint="default"/>
              </w:rPr>
            </w:pPr>
            <w:r>
              <w:rPr>
                <w:rFonts w:hint="default"/>
                <w:lang w:val="en-US" w:eastAsia="zh-CN"/>
              </w:rPr>
              <w:t>37.73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DD94B8">
            <w:pPr>
              <w:pStyle w:val="43"/>
              <w:bidi w:val="0"/>
              <w:rPr>
                <w:rFonts w:hint="default"/>
              </w:rPr>
            </w:pPr>
            <w:r>
              <w:rPr>
                <w:rFonts w:hint="default"/>
                <w:lang w:val="en-US" w:eastAsia="zh-CN"/>
              </w:rPr>
              <w:t>81.61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2D4187">
            <w:pPr>
              <w:pStyle w:val="43"/>
              <w:bidi w:val="0"/>
              <w:rPr>
                <w:rFonts w:hint="default"/>
              </w:rPr>
            </w:pPr>
            <w:r>
              <w:rPr>
                <w:rFonts w:hint="default"/>
                <w:lang w:val="en-US" w:eastAsia="zh-CN"/>
              </w:rPr>
              <w:t>60.30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1CAE0">
            <w:pPr>
              <w:pStyle w:val="43"/>
              <w:bidi w:val="0"/>
              <w:rPr>
                <w:rFonts w:hint="default"/>
              </w:rPr>
            </w:pPr>
            <w:r>
              <w:rPr>
                <w:rFonts w:hint="default"/>
                <w:lang w:val="en-US" w:eastAsia="zh-CN"/>
              </w:rPr>
              <w:t>68.98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A7938">
            <w:pPr>
              <w:pStyle w:val="43"/>
              <w:bidi w:val="0"/>
              <w:rPr>
                <w:rFonts w:hint="default"/>
              </w:rPr>
            </w:pPr>
            <w:r>
              <w:rPr>
                <w:rFonts w:hint="default"/>
                <w:lang w:val="en-US" w:eastAsia="zh-CN"/>
              </w:rPr>
              <w:t>63.47</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ADE6E6">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053C5">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E9C87E">
            <w:pPr>
              <w:pStyle w:val="43"/>
              <w:bidi w:val="0"/>
              <w:rPr>
                <w:rFonts w:hint="default"/>
              </w:rPr>
            </w:pPr>
            <w:r>
              <w:rPr>
                <w:rFonts w:hint="default"/>
                <w:lang w:val="en-US" w:eastAsia="zh-CN"/>
              </w:rPr>
              <w:t>53.93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452960">
            <w:pPr>
              <w:pStyle w:val="43"/>
              <w:bidi w:val="0"/>
              <w:rPr>
                <w:rFonts w:hint="default"/>
              </w:rPr>
            </w:pPr>
            <w:r>
              <w:rPr>
                <w:rFonts w:hint="default"/>
                <w:lang w:val="en-US" w:eastAsia="zh-CN"/>
              </w:rPr>
              <w:t>34.14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15E835">
            <w:pPr>
              <w:pStyle w:val="43"/>
              <w:bidi w:val="0"/>
              <w:rPr>
                <w:rFonts w:hint="default"/>
              </w:rPr>
            </w:pPr>
            <w:r>
              <w:rPr>
                <w:rFonts w:hint="default"/>
                <w:lang w:val="en-US" w:eastAsia="zh-CN"/>
              </w:rPr>
              <w:t>42.55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640E0C">
            <w:pPr>
              <w:pStyle w:val="43"/>
              <w:bidi w:val="0"/>
              <w:rPr>
                <w:rFonts w:hint="default"/>
              </w:rPr>
            </w:pPr>
            <w:r>
              <w:rPr>
                <w:rFonts w:hint="default"/>
                <w:lang w:val="en-US" w:eastAsia="zh-CN"/>
              </w:rPr>
              <w:t>37.24</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B16FE0">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302279">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787D11">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F83F3E">
            <w:pPr>
              <w:pStyle w:val="43"/>
              <w:bidi w:val="0"/>
              <w:rPr>
                <w:rFonts w:hint="default"/>
              </w:rPr>
            </w:pPr>
            <w:r>
              <w:rPr>
                <w:rFonts w:hint="default"/>
                <w:lang w:val="en-US" w:eastAsia="zh-CN"/>
              </w:rPr>
              <w:t>1</w:t>
            </w:r>
          </w:p>
        </w:tc>
      </w:tr>
      <w:tr w14:paraId="6B6DC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2EBB6D">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5ABC61">
            <w:pPr>
              <w:pStyle w:val="43"/>
              <w:bidi w:val="0"/>
              <w:rPr>
                <w:rFonts w:hint="default"/>
              </w:rPr>
            </w:pPr>
            <w:r>
              <w:rPr>
                <w:rFonts w:hint="default"/>
                <w:lang w:val="en-US" w:eastAsia="zh-CN"/>
              </w:rPr>
              <w:t>制砂机3</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89BF57">
            <w:pPr>
              <w:pStyle w:val="43"/>
              <w:bidi w:val="0"/>
              <w:rPr>
                <w:rFonts w:hint="default"/>
              </w:rPr>
            </w:pPr>
            <w:r>
              <w:rPr>
                <w:rFonts w:hint="default"/>
                <w:lang w:val="en-US" w:eastAsia="zh-CN"/>
              </w:rPr>
              <w:t>PFK-1312</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E357E0">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8F9200">
            <w:pPr>
              <w:pStyle w:val="43"/>
              <w:bidi w:val="0"/>
              <w:rPr>
                <w:rFonts w:hint="default"/>
              </w:rPr>
            </w:pPr>
            <w:r>
              <w:rPr>
                <w:rFonts w:hint="default"/>
                <w:lang w:val="en-US" w:eastAsia="zh-CN"/>
              </w:rPr>
              <w:t>-323.54</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5260AB">
            <w:pPr>
              <w:pStyle w:val="43"/>
              <w:bidi w:val="0"/>
              <w:rPr>
                <w:rFonts w:hint="default"/>
              </w:rPr>
            </w:pPr>
            <w:r>
              <w:rPr>
                <w:rFonts w:hint="default"/>
                <w:lang w:val="en-US" w:eastAsia="zh-CN"/>
              </w:rPr>
              <w:t>-326.95</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71D0AC">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1E0C2D">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4ADC6C">
            <w:pPr>
              <w:pStyle w:val="43"/>
              <w:bidi w:val="0"/>
              <w:rPr>
                <w:rFonts w:hint="default"/>
              </w:rPr>
            </w:pPr>
            <w:r>
              <w:rPr>
                <w:rFonts w:hint="default"/>
                <w:lang w:val="en-US" w:eastAsia="zh-CN"/>
              </w:rPr>
              <w:t>95.00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295679">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72B91E">
            <w:pPr>
              <w:pStyle w:val="43"/>
              <w:bidi w:val="0"/>
              <w:rPr>
                <w:rFonts w:hint="default"/>
              </w:rPr>
            </w:pPr>
            <w:r>
              <w:rPr>
                <w:rFonts w:hint="default"/>
                <w:lang w:val="en-US" w:eastAsia="zh-CN"/>
              </w:rPr>
              <w:t>9.34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954A60">
            <w:pPr>
              <w:pStyle w:val="43"/>
              <w:bidi w:val="0"/>
              <w:rPr>
                <w:rFonts w:hint="default"/>
              </w:rPr>
            </w:pPr>
            <w:r>
              <w:rPr>
                <w:rFonts w:hint="default"/>
                <w:lang w:val="en-US" w:eastAsia="zh-CN"/>
              </w:rPr>
              <w:t>41.92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CA02CF">
            <w:pPr>
              <w:pStyle w:val="43"/>
              <w:bidi w:val="0"/>
              <w:rPr>
                <w:rFonts w:hint="default"/>
              </w:rPr>
            </w:pPr>
            <w:r>
              <w:rPr>
                <w:rFonts w:hint="default"/>
                <w:lang w:val="en-US" w:eastAsia="zh-CN"/>
              </w:rPr>
              <w:t>16.90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E9C296">
            <w:pPr>
              <w:pStyle w:val="43"/>
              <w:bidi w:val="0"/>
              <w:rPr>
                <w:rFonts w:hint="default"/>
              </w:rPr>
            </w:pPr>
            <w:r>
              <w:rPr>
                <w:rFonts w:hint="default"/>
                <w:lang w:val="en-US" w:eastAsia="zh-CN"/>
              </w:rPr>
              <w:t>49.91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3D7D63">
            <w:pPr>
              <w:pStyle w:val="43"/>
              <w:bidi w:val="0"/>
              <w:rPr>
                <w:rFonts w:hint="default"/>
              </w:rPr>
            </w:pPr>
            <w:r>
              <w:rPr>
                <w:rFonts w:hint="default"/>
                <w:lang w:val="en-US" w:eastAsia="zh-CN"/>
              </w:rPr>
              <w:t>75.59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BF2FD3">
            <w:pPr>
              <w:pStyle w:val="43"/>
              <w:bidi w:val="0"/>
              <w:rPr>
                <w:rFonts w:hint="default"/>
              </w:rPr>
            </w:pPr>
            <w:r>
              <w:rPr>
                <w:rFonts w:hint="default"/>
                <w:lang w:val="en-US" w:eastAsia="zh-CN"/>
              </w:rPr>
              <w:t>62.55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8E8D3A">
            <w:pPr>
              <w:pStyle w:val="43"/>
              <w:bidi w:val="0"/>
              <w:rPr>
                <w:rFonts w:hint="default"/>
              </w:rPr>
            </w:pPr>
            <w:r>
              <w:rPr>
                <w:rFonts w:hint="default"/>
                <w:lang w:val="en-US" w:eastAsia="zh-CN"/>
              </w:rPr>
              <w:t>70.44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CCA781">
            <w:pPr>
              <w:pStyle w:val="43"/>
              <w:bidi w:val="0"/>
              <w:rPr>
                <w:rFonts w:hint="default"/>
              </w:rPr>
            </w:pPr>
            <w:r>
              <w:rPr>
                <w:rFonts w:hint="default"/>
                <w:lang w:val="en-US" w:eastAsia="zh-CN"/>
              </w:rPr>
              <w:t>61.04</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E888C5">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54F760">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6E92CB">
            <w:pPr>
              <w:pStyle w:val="43"/>
              <w:bidi w:val="0"/>
              <w:rPr>
                <w:rFonts w:hint="default"/>
              </w:rPr>
            </w:pPr>
            <w:r>
              <w:rPr>
                <w:rFonts w:hint="default"/>
                <w:lang w:val="en-US" w:eastAsia="zh-CN"/>
              </w:rPr>
              <w:t>48.71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5A7978">
            <w:pPr>
              <w:pStyle w:val="43"/>
              <w:bidi w:val="0"/>
              <w:rPr>
                <w:rFonts w:hint="default"/>
              </w:rPr>
            </w:pPr>
            <w:r>
              <w:rPr>
                <w:rFonts w:hint="default"/>
                <w:lang w:val="en-US" w:eastAsia="zh-CN"/>
              </w:rPr>
              <w:t>36.35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D4BE56">
            <w:pPr>
              <w:pStyle w:val="43"/>
              <w:bidi w:val="0"/>
              <w:rPr>
                <w:rFonts w:hint="default"/>
              </w:rPr>
            </w:pPr>
            <w:r>
              <w:rPr>
                <w:rFonts w:hint="default"/>
                <w:lang w:val="en-US" w:eastAsia="zh-CN"/>
              </w:rPr>
              <w:t>43.94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1747AB">
            <w:pPr>
              <w:pStyle w:val="43"/>
              <w:bidi w:val="0"/>
              <w:rPr>
                <w:rFonts w:hint="default"/>
              </w:rPr>
            </w:pPr>
            <w:r>
              <w:rPr>
                <w:rFonts w:hint="default"/>
                <w:lang w:val="en-US" w:eastAsia="zh-CN"/>
              </w:rPr>
              <w:t>34.86</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BCAAD1">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3D8731">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0CD7BE">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B210B8">
            <w:pPr>
              <w:pStyle w:val="43"/>
              <w:bidi w:val="0"/>
              <w:rPr>
                <w:rFonts w:hint="default"/>
              </w:rPr>
            </w:pPr>
            <w:r>
              <w:rPr>
                <w:rFonts w:hint="default"/>
                <w:lang w:val="en-US" w:eastAsia="zh-CN"/>
              </w:rPr>
              <w:t>1</w:t>
            </w:r>
          </w:p>
        </w:tc>
      </w:tr>
      <w:tr w14:paraId="690D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C578B7">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58835B">
            <w:pPr>
              <w:pStyle w:val="43"/>
              <w:bidi w:val="0"/>
              <w:rPr>
                <w:rFonts w:hint="default"/>
              </w:rPr>
            </w:pPr>
            <w:r>
              <w:rPr>
                <w:rFonts w:hint="default"/>
                <w:lang w:val="en-US" w:eastAsia="zh-CN"/>
              </w:rPr>
              <w:t>振动筛1</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A7DB50">
            <w:pPr>
              <w:pStyle w:val="43"/>
              <w:bidi w:val="0"/>
              <w:rPr>
                <w:rFonts w:hint="default"/>
              </w:rPr>
            </w:pPr>
            <w:r>
              <w:rPr>
                <w:rFonts w:hint="default"/>
                <w:lang w:val="en-US" w:eastAsia="zh-CN"/>
              </w:rPr>
              <w:t>BSYZ2460</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B8C1E0">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B97D60">
            <w:pPr>
              <w:pStyle w:val="43"/>
              <w:bidi w:val="0"/>
              <w:rPr>
                <w:rFonts w:hint="default"/>
              </w:rPr>
            </w:pPr>
            <w:r>
              <w:rPr>
                <w:rFonts w:hint="default"/>
                <w:lang w:val="en-US" w:eastAsia="zh-CN"/>
              </w:rPr>
              <w:t>-257.03</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5746AD">
            <w:pPr>
              <w:pStyle w:val="43"/>
              <w:bidi w:val="0"/>
              <w:rPr>
                <w:rFonts w:hint="default"/>
              </w:rPr>
            </w:pPr>
            <w:r>
              <w:rPr>
                <w:rFonts w:hint="default"/>
                <w:lang w:val="en-US" w:eastAsia="zh-CN"/>
              </w:rPr>
              <w:t>-329.86</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B9661E">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245D7B">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3A5931">
            <w:pPr>
              <w:pStyle w:val="43"/>
              <w:bidi w:val="0"/>
              <w:rPr>
                <w:rFonts w:hint="default"/>
              </w:rPr>
            </w:pPr>
            <w:r>
              <w:rPr>
                <w:rFonts w:hint="default"/>
                <w:lang w:val="en-US" w:eastAsia="zh-CN"/>
              </w:rPr>
              <w:t>90.00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968483">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CCA4D8">
            <w:pPr>
              <w:pStyle w:val="43"/>
              <w:bidi w:val="0"/>
              <w:rPr>
                <w:rFonts w:hint="default"/>
              </w:rPr>
            </w:pPr>
            <w:r>
              <w:rPr>
                <w:rFonts w:hint="default"/>
                <w:lang w:val="en-US" w:eastAsia="zh-CN"/>
              </w:rPr>
              <w:t>56.70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56854B">
            <w:pPr>
              <w:pStyle w:val="43"/>
              <w:bidi w:val="0"/>
              <w:rPr>
                <w:rFonts w:hint="default"/>
              </w:rPr>
            </w:pPr>
            <w:r>
              <w:rPr>
                <w:rFonts w:hint="default"/>
                <w:lang w:val="en-US" w:eastAsia="zh-CN"/>
              </w:rPr>
              <w:t>38.10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7BA242">
            <w:pPr>
              <w:pStyle w:val="43"/>
              <w:bidi w:val="0"/>
              <w:rPr>
                <w:rFonts w:hint="default"/>
              </w:rPr>
            </w:pPr>
            <w:r>
              <w:rPr>
                <w:rFonts w:hint="default"/>
                <w:lang w:val="en-US" w:eastAsia="zh-CN"/>
              </w:rPr>
              <w:t>51.10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35B929">
            <w:pPr>
              <w:pStyle w:val="43"/>
              <w:bidi w:val="0"/>
              <w:rPr>
                <w:rFonts w:hint="default"/>
              </w:rPr>
            </w:pPr>
            <w:r>
              <w:rPr>
                <w:rFonts w:hint="default"/>
                <w:lang w:val="en-US" w:eastAsia="zh-CN"/>
              </w:rPr>
              <w:t>34.55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8F511A">
            <w:pPr>
              <w:pStyle w:val="43"/>
              <w:bidi w:val="0"/>
              <w:rPr>
                <w:rFonts w:hint="default"/>
              </w:rPr>
            </w:pPr>
            <w:r>
              <w:rPr>
                <w:rFonts w:hint="default"/>
                <w:lang w:val="en-US" w:eastAsia="zh-CN"/>
              </w:rPr>
              <w:t>54.93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D875C3">
            <w:pPr>
              <w:pStyle w:val="43"/>
              <w:bidi w:val="0"/>
              <w:rPr>
                <w:rFonts w:hint="default"/>
              </w:rPr>
            </w:pPr>
            <w:r>
              <w:rPr>
                <w:rFonts w:hint="default"/>
                <w:lang w:val="en-US" w:eastAsia="zh-CN"/>
              </w:rPr>
              <w:t>58.38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5CEA8C">
            <w:pPr>
              <w:pStyle w:val="43"/>
              <w:bidi w:val="0"/>
              <w:rPr>
                <w:rFonts w:hint="default"/>
              </w:rPr>
            </w:pPr>
            <w:r>
              <w:rPr>
                <w:rFonts w:hint="default"/>
                <w:lang w:val="en-US" w:eastAsia="zh-CN"/>
              </w:rPr>
              <w:t>55.83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38280C">
            <w:pPr>
              <w:pStyle w:val="43"/>
              <w:bidi w:val="0"/>
              <w:rPr>
                <w:rFonts w:hint="default"/>
              </w:rPr>
            </w:pPr>
            <w:r>
              <w:rPr>
                <w:rFonts w:hint="default"/>
                <w:lang w:val="en-US" w:eastAsia="zh-CN"/>
              </w:rPr>
              <w:t>59.23</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CB514C">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7858C">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C9B5F8">
            <w:pPr>
              <w:pStyle w:val="43"/>
              <w:bidi w:val="0"/>
              <w:rPr>
                <w:rFonts w:hint="default"/>
              </w:rPr>
            </w:pPr>
            <w:r>
              <w:rPr>
                <w:rFonts w:hint="default"/>
                <w:lang w:val="en-US" w:eastAsia="zh-CN"/>
              </w:rPr>
              <w:t>28.78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E58CE3">
            <w:pPr>
              <w:pStyle w:val="43"/>
              <w:bidi w:val="0"/>
              <w:rPr>
                <w:rFonts w:hint="default"/>
              </w:rPr>
            </w:pPr>
            <w:r>
              <w:rPr>
                <w:rFonts w:hint="default"/>
                <w:lang w:val="en-US" w:eastAsia="zh-CN"/>
              </w:rPr>
              <w:t>32.16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BF258">
            <w:pPr>
              <w:pStyle w:val="43"/>
              <w:bidi w:val="0"/>
              <w:rPr>
                <w:rFonts w:hint="default"/>
              </w:rPr>
            </w:pPr>
            <w:r>
              <w:rPr>
                <w:rFonts w:hint="default"/>
                <w:lang w:val="en-US" w:eastAsia="zh-CN"/>
              </w:rPr>
              <w:t>29.66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96C700">
            <w:pPr>
              <w:pStyle w:val="43"/>
              <w:bidi w:val="0"/>
              <w:rPr>
                <w:rFonts w:hint="default"/>
              </w:rPr>
            </w:pPr>
            <w:r>
              <w:rPr>
                <w:rFonts w:hint="default"/>
                <w:lang w:val="en-US" w:eastAsia="zh-CN"/>
              </w:rPr>
              <w:t>32.98</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FFE619">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32D71C">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CA4BCD">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FE12EB">
            <w:pPr>
              <w:pStyle w:val="43"/>
              <w:bidi w:val="0"/>
              <w:rPr>
                <w:rFonts w:hint="default"/>
              </w:rPr>
            </w:pPr>
            <w:r>
              <w:rPr>
                <w:rFonts w:hint="default"/>
                <w:lang w:val="en-US" w:eastAsia="zh-CN"/>
              </w:rPr>
              <w:t>1</w:t>
            </w:r>
          </w:p>
        </w:tc>
      </w:tr>
      <w:tr w14:paraId="328C5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E68C2B">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9FBB58">
            <w:pPr>
              <w:pStyle w:val="43"/>
              <w:bidi w:val="0"/>
              <w:rPr>
                <w:rFonts w:hint="default"/>
              </w:rPr>
            </w:pPr>
            <w:r>
              <w:rPr>
                <w:rFonts w:hint="default"/>
                <w:lang w:val="en-US" w:eastAsia="zh-CN"/>
              </w:rPr>
              <w:t>振动筛2</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5D8520">
            <w:pPr>
              <w:pStyle w:val="43"/>
              <w:bidi w:val="0"/>
              <w:rPr>
                <w:rFonts w:hint="default"/>
              </w:rPr>
            </w:pPr>
            <w:r>
              <w:rPr>
                <w:rFonts w:hint="default"/>
                <w:lang w:val="en-US" w:eastAsia="zh-CN"/>
              </w:rPr>
              <w:t>BSYZ2460</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E8ECEC">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ED0DBA">
            <w:pPr>
              <w:pStyle w:val="43"/>
              <w:bidi w:val="0"/>
              <w:rPr>
                <w:rFonts w:hint="default"/>
              </w:rPr>
            </w:pPr>
            <w:r>
              <w:rPr>
                <w:rFonts w:hint="default"/>
                <w:lang w:val="en-US" w:eastAsia="zh-CN"/>
              </w:rPr>
              <w:t>-239.53</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9F16D8">
            <w:pPr>
              <w:pStyle w:val="43"/>
              <w:bidi w:val="0"/>
              <w:rPr>
                <w:rFonts w:hint="default"/>
              </w:rPr>
            </w:pPr>
            <w:r>
              <w:rPr>
                <w:rFonts w:hint="default"/>
                <w:lang w:val="en-US" w:eastAsia="zh-CN"/>
              </w:rPr>
              <w:t>-346.78</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31A8D8">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0CE4DB">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870448">
            <w:pPr>
              <w:pStyle w:val="43"/>
              <w:bidi w:val="0"/>
              <w:rPr>
                <w:rFonts w:hint="default"/>
              </w:rPr>
            </w:pPr>
            <w:r>
              <w:rPr>
                <w:rFonts w:hint="default"/>
                <w:lang w:val="en-US" w:eastAsia="zh-CN"/>
              </w:rPr>
              <w:t>90.00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0750AA">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E30EDE">
            <w:pPr>
              <w:pStyle w:val="43"/>
              <w:bidi w:val="0"/>
              <w:rPr>
                <w:rFonts w:hint="default"/>
              </w:rPr>
            </w:pPr>
            <w:r>
              <w:rPr>
                <w:rFonts w:hint="default"/>
                <w:lang w:val="en-US" w:eastAsia="zh-CN"/>
              </w:rPr>
              <w:t>66.82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FDFA2E">
            <w:pPr>
              <w:pStyle w:val="43"/>
              <w:bidi w:val="0"/>
              <w:rPr>
                <w:rFonts w:hint="default"/>
              </w:rPr>
            </w:pPr>
            <w:r>
              <w:rPr>
                <w:rFonts w:hint="default"/>
                <w:lang w:val="en-US" w:eastAsia="zh-CN"/>
              </w:rPr>
              <w:t>33.53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9BFB90">
            <w:pPr>
              <w:pStyle w:val="43"/>
              <w:bidi w:val="0"/>
              <w:rPr>
                <w:rFonts w:hint="default"/>
              </w:rPr>
            </w:pPr>
            <w:r>
              <w:rPr>
                <w:rFonts w:hint="default"/>
                <w:lang w:val="en-US" w:eastAsia="zh-CN"/>
              </w:rPr>
              <w:t>47.90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7953DD">
            <w:pPr>
              <w:pStyle w:val="43"/>
              <w:bidi w:val="0"/>
              <w:rPr>
                <w:rFonts w:hint="default"/>
              </w:rPr>
            </w:pPr>
            <w:r>
              <w:rPr>
                <w:rFonts w:hint="default"/>
                <w:lang w:val="en-US" w:eastAsia="zh-CN"/>
              </w:rPr>
              <w:t>40.71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D2AA67">
            <w:pPr>
              <w:pStyle w:val="43"/>
              <w:bidi w:val="0"/>
              <w:rPr>
                <w:rFonts w:hint="default"/>
              </w:rPr>
            </w:pPr>
            <w:r>
              <w:rPr>
                <w:rFonts w:hint="default"/>
                <w:lang w:val="en-US" w:eastAsia="zh-CN"/>
              </w:rPr>
              <w:t>53.50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6CF595">
            <w:pPr>
              <w:pStyle w:val="43"/>
              <w:bidi w:val="0"/>
              <w:rPr>
                <w:rFonts w:hint="default"/>
              </w:rPr>
            </w:pPr>
            <w:r>
              <w:rPr>
                <w:rFonts w:hint="default"/>
                <w:lang w:val="en-US" w:eastAsia="zh-CN"/>
              </w:rPr>
              <w:t>59.49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E5DED2">
            <w:pPr>
              <w:pStyle w:val="43"/>
              <w:bidi w:val="0"/>
              <w:rPr>
                <w:rFonts w:hint="default"/>
              </w:rPr>
            </w:pPr>
            <w:r>
              <w:rPr>
                <w:rFonts w:hint="default"/>
                <w:lang w:val="en-US" w:eastAsia="zh-CN"/>
              </w:rPr>
              <w:t>56.39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CCE6A1">
            <w:pPr>
              <w:pStyle w:val="43"/>
              <w:bidi w:val="0"/>
              <w:rPr>
                <w:rFonts w:hint="default"/>
              </w:rPr>
            </w:pPr>
            <w:r>
              <w:rPr>
                <w:rFonts w:hint="default"/>
                <w:lang w:val="en-US" w:eastAsia="zh-CN"/>
              </w:rPr>
              <w:t>57.81</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1A0335">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04B3AF">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FCCC5E">
            <w:pPr>
              <w:pStyle w:val="43"/>
              <w:bidi w:val="0"/>
              <w:rPr>
                <w:rFonts w:hint="default"/>
              </w:rPr>
            </w:pPr>
            <w:r>
              <w:rPr>
                <w:rFonts w:hint="default"/>
                <w:lang w:val="en-US" w:eastAsia="zh-CN"/>
              </w:rPr>
              <w:t>27.37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4FCF44">
            <w:pPr>
              <w:pStyle w:val="43"/>
              <w:bidi w:val="0"/>
              <w:rPr>
                <w:rFonts w:hint="default"/>
              </w:rPr>
            </w:pPr>
            <w:r>
              <w:rPr>
                <w:rFonts w:hint="default"/>
                <w:lang w:val="en-US" w:eastAsia="zh-CN"/>
              </w:rPr>
              <w:t>33.24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99C6ED">
            <w:pPr>
              <w:pStyle w:val="43"/>
              <w:bidi w:val="0"/>
              <w:rPr>
                <w:rFonts w:hint="default"/>
              </w:rPr>
            </w:pPr>
            <w:r>
              <w:rPr>
                <w:rFonts w:hint="default"/>
                <w:lang w:val="en-US" w:eastAsia="zh-CN"/>
              </w:rPr>
              <w:t>30.21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F05A9C">
            <w:pPr>
              <w:pStyle w:val="43"/>
              <w:bidi w:val="0"/>
              <w:rPr>
                <w:rFonts w:hint="default"/>
              </w:rPr>
            </w:pPr>
            <w:r>
              <w:rPr>
                <w:rFonts w:hint="default"/>
                <w:lang w:val="en-US" w:eastAsia="zh-CN"/>
              </w:rPr>
              <w:t>31.59</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FD292B">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06A72F">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BC2DEB">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CB02A0">
            <w:pPr>
              <w:pStyle w:val="43"/>
              <w:bidi w:val="0"/>
              <w:rPr>
                <w:rFonts w:hint="default"/>
              </w:rPr>
            </w:pPr>
            <w:r>
              <w:rPr>
                <w:rFonts w:hint="default"/>
                <w:lang w:val="en-US" w:eastAsia="zh-CN"/>
              </w:rPr>
              <w:t>1</w:t>
            </w:r>
          </w:p>
        </w:tc>
      </w:tr>
      <w:tr w14:paraId="7CA9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7073C8">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BC4E9">
            <w:pPr>
              <w:pStyle w:val="43"/>
              <w:bidi w:val="0"/>
              <w:rPr>
                <w:rFonts w:hint="default"/>
              </w:rPr>
            </w:pPr>
            <w:r>
              <w:rPr>
                <w:rFonts w:hint="default"/>
                <w:lang w:val="en-US" w:eastAsia="zh-CN"/>
              </w:rPr>
              <w:t>振动筛3</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625B76">
            <w:pPr>
              <w:pStyle w:val="43"/>
              <w:bidi w:val="0"/>
              <w:rPr>
                <w:rFonts w:hint="default"/>
              </w:rPr>
            </w:pPr>
            <w:r>
              <w:rPr>
                <w:rFonts w:hint="default"/>
                <w:lang w:val="en-US" w:eastAsia="zh-CN"/>
              </w:rPr>
              <w:t>BSYZ2460</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DD2E79">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33FB8E">
            <w:pPr>
              <w:pStyle w:val="43"/>
              <w:bidi w:val="0"/>
              <w:rPr>
                <w:rFonts w:hint="default"/>
              </w:rPr>
            </w:pPr>
            <w:r>
              <w:rPr>
                <w:rFonts w:hint="default"/>
                <w:lang w:val="en-US" w:eastAsia="zh-CN"/>
              </w:rPr>
              <w:t>-231.37</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3D0D31">
            <w:pPr>
              <w:pStyle w:val="43"/>
              <w:bidi w:val="0"/>
              <w:rPr>
                <w:rFonts w:hint="default"/>
              </w:rPr>
            </w:pPr>
            <w:r>
              <w:rPr>
                <w:rFonts w:hint="default"/>
                <w:lang w:val="en-US" w:eastAsia="zh-CN"/>
              </w:rPr>
              <w:t>-354.95</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C6F9F5">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81F21">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ACE644">
            <w:pPr>
              <w:pStyle w:val="43"/>
              <w:bidi w:val="0"/>
              <w:rPr>
                <w:rFonts w:hint="default"/>
              </w:rPr>
            </w:pPr>
            <w:r>
              <w:rPr>
                <w:rFonts w:hint="default"/>
                <w:lang w:val="en-US" w:eastAsia="zh-CN"/>
              </w:rPr>
              <w:t>90.00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F7A6FC">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B78FC6">
            <w:pPr>
              <w:pStyle w:val="43"/>
              <w:bidi w:val="0"/>
              <w:rPr>
                <w:rFonts w:hint="default"/>
              </w:rPr>
            </w:pPr>
            <w:r>
              <w:rPr>
                <w:rFonts w:hint="default"/>
                <w:lang w:val="en-US" w:eastAsia="zh-CN"/>
              </w:rPr>
              <w:t>58.75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CF7302">
            <w:pPr>
              <w:pStyle w:val="43"/>
              <w:bidi w:val="0"/>
              <w:rPr>
                <w:rFonts w:hint="default"/>
              </w:rPr>
            </w:pPr>
            <w:r>
              <w:rPr>
                <w:rFonts w:hint="default"/>
                <w:lang w:val="en-US" w:eastAsia="zh-CN"/>
              </w:rPr>
              <w:t>31.12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517AD">
            <w:pPr>
              <w:pStyle w:val="43"/>
              <w:bidi w:val="0"/>
              <w:rPr>
                <w:rFonts w:hint="default"/>
              </w:rPr>
            </w:pPr>
            <w:r>
              <w:rPr>
                <w:rFonts w:hint="default"/>
                <w:lang w:val="en-US" w:eastAsia="zh-CN"/>
              </w:rPr>
              <w:t>44.46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01A0B8">
            <w:pPr>
              <w:pStyle w:val="43"/>
              <w:bidi w:val="0"/>
              <w:rPr>
                <w:rFonts w:hint="default"/>
              </w:rPr>
            </w:pPr>
            <w:r>
              <w:rPr>
                <w:rFonts w:hint="default"/>
                <w:lang w:val="en-US" w:eastAsia="zh-CN"/>
              </w:rPr>
              <w:t>43.86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71AFED">
            <w:pPr>
              <w:pStyle w:val="43"/>
              <w:bidi w:val="0"/>
              <w:rPr>
                <w:rFonts w:hint="default"/>
              </w:rPr>
            </w:pPr>
            <w:r>
              <w:rPr>
                <w:rFonts w:hint="default"/>
                <w:lang w:val="en-US" w:eastAsia="zh-CN"/>
              </w:rPr>
              <w:t>54.62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A8624A">
            <w:pPr>
              <w:pStyle w:val="43"/>
              <w:bidi w:val="0"/>
              <w:rPr>
                <w:rFonts w:hint="default"/>
              </w:rPr>
            </w:pPr>
            <w:r>
              <w:rPr>
                <w:rFonts w:hint="default"/>
                <w:lang w:val="en-US" w:eastAsia="zh-CN"/>
              </w:rPr>
              <w:t>60.14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738DB4">
            <w:pPr>
              <w:pStyle w:val="43"/>
              <w:bidi w:val="0"/>
              <w:rPr>
                <w:rFonts w:hint="default"/>
              </w:rPr>
            </w:pPr>
            <w:r>
              <w:rPr>
                <w:rFonts w:hint="default"/>
                <w:lang w:val="en-US" w:eastAsia="zh-CN"/>
              </w:rPr>
              <w:t>57.04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845FBC">
            <w:pPr>
              <w:pStyle w:val="43"/>
              <w:bidi w:val="0"/>
              <w:rPr>
                <w:rFonts w:hint="default"/>
              </w:rPr>
            </w:pPr>
            <w:r>
              <w:rPr>
                <w:rFonts w:hint="default"/>
                <w:lang w:val="en-US" w:eastAsia="zh-CN"/>
              </w:rPr>
              <w:t>57.16</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9E4275">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9181BF">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9B0178">
            <w:pPr>
              <w:pStyle w:val="43"/>
              <w:bidi w:val="0"/>
              <w:rPr>
                <w:rFonts w:hint="default"/>
              </w:rPr>
            </w:pPr>
            <w:r>
              <w:rPr>
                <w:rFonts w:hint="default"/>
                <w:lang w:val="en-US" w:eastAsia="zh-CN"/>
              </w:rPr>
              <w:t>28.47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BAFD9D">
            <w:pPr>
              <w:pStyle w:val="43"/>
              <w:bidi w:val="0"/>
              <w:rPr>
                <w:rFonts w:hint="default"/>
              </w:rPr>
            </w:pPr>
            <w:r>
              <w:rPr>
                <w:rFonts w:hint="default"/>
                <w:lang w:val="en-US" w:eastAsia="zh-CN"/>
              </w:rPr>
              <w:t>33.86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5AFD82">
            <w:pPr>
              <w:pStyle w:val="43"/>
              <w:bidi w:val="0"/>
              <w:rPr>
                <w:rFonts w:hint="default"/>
              </w:rPr>
            </w:pPr>
            <w:r>
              <w:rPr>
                <w:rFonts w:hint="default"/>
                <w:lang w:val="en-US" w:eastAsia="zh-CN"/>
              </w:rPr>
              <w:t>30.85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487EEF">
            <w:pPr>
              <w:pStyle w:val="43"/>
              <w:bidi w:val="0"/>
              <w:rPr>
                <w:rFonts w:hint="default"/>
              </w:rPr>
            </w:pPr>
            <w:r>
              <w:rPr>
                <w:rFonts w:hint="default"/>
                <w:lang w:val="en-US" w:eastAsia="zh-CN"/>
              </w:rPr>
              <w:t>30.96</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9524E6">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BA4319">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0D203D">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78A27D">
            <w:pPr>
              <w:pStyle w:val="43"/>
              <w:bidi w:val="0"/>
              <w:rPr>
                <w:rFonts w:hint="default"/>
              </w:rPr>
            </w:pPr>
            <w:r>
              <w:rPr>
                <w:rFonts w:hint="default"/>
                <w:lang w:val="en-US" w:eastAsia="zh-CN"/>
              </w:rPr>
              <w:t>1</w:t>
            </w:r>
          </w:p>
        </w:tc>
      </w:tr>
      <w:tr w14:paraId="56FB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1C064F">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2D5EF5">
            <w:pPr>
              <w:pStyle w:val="43"/>
              <w:bidi w:val="0"/>
              <w:rPr>
                <w:rFonts w:hint="default"/>
              </w:rPr>
            </w:pPr>
            <w:r>
              <w:rPr>
                <w:rFonts w:hint="default"/>
                <w:lang w:val="en-US" w:eastAsia="zh-CN"/>
              </w:rPr>
              <w:t>振动筛电机1</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35E2F8">
            <w:pPr>
              <w:pStyle w:val="43"/>
              <w:bidi w:val="0"/>
              <w:rPr>
                <w:rFonts w:hint="default"/>
              </w:rPr>
            </w:pPr>
            <w:r>
              <w:rPr>
                <w:rFonts w:hint="default"/>
                <w:lang w:val="en-US" w:eastAsia="zh-CN"/>
              </w:rPr>
              <w:t>Y225M-6-30</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34C8DE">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88AA6A">
            <w:pPr>
              <w:pStyle w:val="43"/>
              <w:bidi w:val="0"/>
              <w:rPr>
                <w:rFonts w:hint="default"/>
              </w:rPr>
            </w:pPr>
            <w:r>
              <w:rPr>
                <w:rFonts w:hint="default"/>
                <w:lang w:val="en-US" w:eastAsia="zh-CN"/>
              </w:rPr>
              <w:t>-273.95</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2CB899">
            <w:pPr>
              <w:pStyle w:val="43"/>
              <w:bidi w:val="0"/>
              <w:rPr>
                <w:rFonts w:hint="default"/>
              </w:rPr>
            </w:pPr>
            <w:r>
              <w:rPr>
                <w:rFonts w:hint="default"/>
                <w:lang w:val="en-US" w:eastAsia="zh-CN"/>
              </w:rPr>
              <w:t>-321.7</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61BDDE">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3CD730">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D252BD">
            <w:pPr>
              <w:pStyle w:val="43"/>
              <w:bidi w:val="0"/>
              <w:rPr>
                <w:rFonts w:hint="default"/>
              </w:rPr>
            </w:pPr>
            <w:r>
              <w:rPr>
                <w:rFonts w:hint="default"/>
                <w:lang w:val="en-US" w:eastAsia="zh-CN"/>
              </w:rPr>
              <w:t>80.00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EC600A">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62107D">
            <w:pPr>
              <w:pStyle w:val="43"/>
              <w:bidi w:val="0"/>
              <w:rPr>
                <w:rFonts w:hint="default"/>
              </w:rPr>
            </w:pPr>
            <w:r>
              <w:rPr>
                <w:rFonts w:hint="default"/>
                <w:lang w:val="en-US" w:eastAsia="zh-CN"/>
              </w:rPr>
              <w:t>60.29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3F4D01">
            <w:pPr>
              <w:pStyle w:val="43"/>
              <w:bidi w:val="0"/>
              <w:rPr>
                <w:rFonts w:hint="default"/>
              </w:rPr>
            </w:pPr>
            <w:r>
              <w:rPr>
                <w:rFonts w:hint="default"/>
                <w:lang w:val="en-US" w:eastAsia="zh-CN"/>
              </w:rPr>
              <w:t>34.38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D0ADF5">
            <w:pPr>
              <w:pStyle w:val="43"/>
              <w:bidi w:val="0"/>
              <w:rPr>
                <w:rFonts w:hint="default"/>
              </w:rPr>
            </w:pPr>
            <w:r>
              <w:rPr>
                <w:rFonts w:hint="default"/>
                <w:lang w:val="en-US" w:eastAsia="zh-CN"/>
              </w:rPr>
              <w:t>30.21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777E12">
            <w:pPr>
              <w:pStyle w:val="43"/>
              <w:bidi w:val="0"/>
              <w:rPr>
                <w:rFonts w:hint="default"/>
              </w:rPr>
            </w:pPr>
            <w:r>
              <w:rPr>
                <w:rFonts w:hint="default"/>
                <w:lang w:val="en-US" w:eastAsia="zh-CN"/>
              </w:rPr>
              <w:t>36.74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2F3B76">
            <w:pPr>
              <w:pStyle w:val="43"/>
              <w:bidi w:val="0"/>
              <w:rPr>
                <w:rFonts w:hint="default"/>
              </w:rPr>
            </w:pPr>
            <w:r>
              <w:rPr>
                <w:rFonts w:hint="default"/>
                <w:lang w:val="en-US" w:eastAsia="zh-CN"/>
              </w:rPr>
              <w:t>44.39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C5D62B">
            <w:pPr>
              <w:pStyle w:val="43"/>
              <w:bidi w:val="0"/>
              <w:rPr>
                <w:rFonts w:hint="default"/>
              </w:rPr>
            </w:pPr>
            <w:r>
              <w:rPr>
                <w:rFonts w:hint="default"/>
                <w:lang w:val="en-US" w:eastAsia="zh-CN"/>
              </w:rPr>
              <w:t>49.27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1BD30D">
            <w:pPr>
              <w:pStyle w:val="43"/>
              <w:bidi w:val="0"/>
              <w:rPr>
                <w:rFonts w:hint="default"/>
              </w:rPr>
            </w:pPr>
            <w:r>
              <w:rPr>
                <w:rFonts w:hint="default"/>
                <w:lang w:val="en-US" w:eastAsia="zh-CN"/>
              </w:rPr>
              <w:t>50.40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2E5A79">
            <w:pPr>
              <w:pStyle w:val="43"/>
              <w:bidi w:val="0"/>
              <w:rPr>
                <w:rFonts w:hint="default"/>
              </w:rPr>
            </w:pPr>
            <w:r>
              <w:rPr>
                <w:rFonts w:hint="default"/>
                <w:lang w:val="en-US" w:eastAsia="zh-CN"/>
              </w:rPr>
              <w:t>48.70</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BBE114">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3559D4">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0E763B">
            <w:pPr>
              <w:pStyle w:val="43"/>
              <w:bidi w:val="0"/>
              <w:rPr>
                <w:rFonts w:hint="default"/>
              </w:rPr>
            </w:pPr>
            <w:r>
              <w:rPr>
                <w:rFonts w:hint="default"/>
                <w:lang w:val="en-US" w:eastAsia="zh-CN"/>
              </w:rPr>
              <w:t>18.25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47852E">
            <w:pPr>
              <w:pStyle w:val="43"/>
              <w:bidi w:val="0"/>
              <w:rPr>
                <w:rFonts w:hint="default"/>
              </w:rPr>
            </w:pPr>
            <w:r>
              <w:rPr>
                <w:rFonts w:hint="default"/>
                <w:lang w:val="en-US" w:eastAsia="zh-CN"/>
              </w:rPr>
              <w:t>23.03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F2A5EE">
            <w:pPr>
              <w:pStyle w:val="43"/>
              <w:bidi w:val="0"/>
              <w:rPr>
                <w:rFonts w:hint="default"/>
              </w:rPr>
            </w:pPr>
            <w:r>
              <w:rPr>
                <w:rFonts w:hint="default"/>
                <w:lang w:val="en-US" w:eastAsia="zh-CN"/>
              </w:rPr>
              <w:t>24.11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9178A7">
            <w:pPr>
              <w:pStyle w:val="43"/>
              <w:bidi w:val="0"/>
              <w:rPr>
                <w:rFonts w:hint="default"/>
              </w:rPr>
            </w:pPr>
            <w:r>
              <w:rPr>
                <w:rFonts w:hint="default"/>
                <w:lang w:val="en-US" w:eastAsia="zh-CN"/>
              </w:rPr>
              <w:t>22.46</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0555C6">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8EE009">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CDB55F">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F9AF33">
            <w:pPr>
              <w:pStyle w:val="43"/>
              <w:bidi w:val="0"/>
              <w:rPr>
                <w:rFonts w:hint="default"/>
              </w:rPr>
            </w:pPr>
            <w:r>
              <w:rPr>
                <w:rFonts w:hint="default"/>
                <w:lang w:val="en-US" w:eastAsia="zh-CN"/>
              </w:rPr>
              <w:t>1</w:t>
            </w:r>
          </w:p>
        </w:tc>
      </w:tr>
      <w:tr w14:paraId="5775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1EF5D5">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BB65A6">
            <w:pPr>
              <w:pStyle w:val="43"/>
              <w:bidi w:val="0"/>
              <w:rPr>
                <w:rFonts w:hint="default"/>
              </w:rPr>
            </w:pPr>
            <w:r>
              <w:rPr>
                <w:rFonts w:hint="default"/>
                <w:lang w:val="en-US" w:eastAsia="zh-CN"/>
              </w:rPr>
              <w:t>振动筛电机2</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0E5DC6">
            <w:pPr>
              <w:pStyle w:val="43"/>
              <w:bidi w:val="0"/>
              <w:rPr>
                <w:rFonts w:hint="default"/>
              </w:rPr>
            </w:pPr>
            <w:r>
              <w:rPr>
                <w:rFonts w:hint="default"/>
                <w:lang w:val="en-US" w:eastAsia="zh-CN"/>
              </w:rPr>
              <w:t>Y225M-6-31</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C905D">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317502">
            <w:pPr>
              <w:pStyle w:val="43"/>
              <w:bidi w:val="0"/>
              <w:rPr>
                <w:rFonts w:hint="default"/>
              </w:rPr>
            </w:pPr>
            <w:r>
              <w:rPr>
                <w:rFonts w:hint="default"/>
                <w:lang w:val="en-US" w:eastAsia="zh-CN"/>
              </w:rPr>
              <w:t>-246.53</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0B547D">
            <w:pPr>
              <w:pStyle w:val="43"/>
              <w:bidi w:val="0"/>
              <w:rPr>
                <w:rFonts w:hint="default"/>
              </w:rPr>
            </w:pPr>
            <w:r>
              <w:rPr>
                <w:rFonts w:hint="default"/>
                <w:lang w:val="en-US" w:eastAsia="zh-CN"/>
              </w:rPr>
              <w:t>-346.2</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E067D8">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3D2C37">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924AF6">
            <w:pPr>
              <w:pStyle w:val="43"/>
              <w:bidi w:val="0"/>
              <w:rPr>
                <w:rFonts w:hint="default"/>
              </w:rPr>
            </w:pPr>
            <w:r>
              <w:rPr>
                <w:rFonts w:hint="default"/>
                <w:lang w:val="en-US" w:eastAsia="zh-CN"/>
              </w:rPr>
              <w:t>80.00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6C482C">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D37990">
            <w:pPr>
              <w:pStyle w:val="43"/>
              <w:bidi w:val="0"/>
              <w:rPr>
                <w:rFonts w:hint="default"/>
              </w:rPr>
            </w:pPr>
            <w:r>
              <w:rPr>
                <w:rFonts w:hint="default"/>
                <w:lang w:val="en-US" w:eastAsia="zh-CN"/>
              </w:rPr>
              <w:t>72.87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BD6755">
            <w:pPr>
              <w:pStyle w:val="43"/>
              <w:bidi w:val="0"/>
              <w:rPr>
                <w:rFonts w:hint="default"/>
              </w:rPr>
            </w:pPr>
            <w:r>
              <w:rPr>
                <w:rFonts w:hint="default"/>
                <w:lang w:val="en-US" w:eastAsia="zh-CN"/>
              </w:rPr>
              <w:t>29.20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754483">
            <w:pPr>
              <w:pStyle w:val="43"/>
              <w:bidi w:val="0"/>
              <w:rPr>
                <w:rFonts w:hint="default"/>
              </w:rPr>
            </w:pPr>
            <w:r>
              <w:rPr>
                <w:rFonts w:hint="default"/>
                <w:lang w:val="en-US" w:eastAsia="zh-CN"/>
              </w:rPr>
              <w:t>41.72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C49BF0">
            <w:pPr>
              <w:pStyle w:val="43"/>
              <w:bidi w:val="0"/>
              <w:rPr>
                <w:rFonts w:hint="default"/>
              </w:rPr>
            </w:pPr>
            <w:r>
              <w:rPr>
                <w:rFonts w:hint="default"/>
                <w:lang w:val="en-US" w:eastAsia="zh-CN"/>
              </w:rPr>
              <w:t>44.40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C7951C">
            <w:pPr>
              <w:pStyle w:val="43"/>
              <w:bidi w:val="0"/>
              <w:rPr>
                <w:rFonts w:hint="default"/>
              </w:rPr>
            </w:pPr>
            <w:r>
              <w:rPr>
                <w:rFonts w:hint="default"/>
                <w:lang w:val="en-US" w:eastAsia="zh-CN"/>
              </w:rPr>
              <w:t>42.75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A2FF49">
            <w:pPr>
              <w:pStyle w:val="43"/>
              <w:bidi w:val="0"/>
              <w:rPr>
                <w:rFonts w:hint="default"/>
              </w:rPr>
            </w:pPr>
            <w:r>
              <w:rPr>
                <w:rFonts w:hint="default"/>
                <w:lang w:val="en-US" w:eastAsia="zh-CN"/>
              </w:rPr>
              <w:t>50.69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EB1A3A">
            <w:pPr>
              <w:pStyle w:val="43"/>
              <w:bidi w:val="0"/>
              <w:rPr>
                <w:rFonts w:hint="default"/>
              </w:rPr>
            </w:pPr>
            <w:r>
              <w:rPr>
                <w:rFonts w:hint="default"/>
                <w:lang w:val="en-US" w:eastAsia="zh-CN"/>
              </w:rPr>
              <w:t>47.59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3EE02E">
            <w:pPr>
              <w:pStyle w:val="43"/>
              <w:bidi w:val="0"/>
              <w:rPr>
                <w:rFonts w:hint="default"/>
              </w:rPr>
            </w:pPr>
            <w:r>
              <w:rPr>
                <w:rFonts w:hint="default"/>
                <w:lang w:val="en-US" w:eastAsia="zh-CN"/>
              </w:rPr>
              <w:t>47.05</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1E4D27">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03194F">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EE7181">
            <w:pPr>
              <w:pStyle w:val="43"/>
              <w:bidi w:val="0"/>
              <w:rPr>
                <w:rFonts w:hint="default"/>
              </w:rPr>
            </w:pPr>
            <w:r>
              <w:rPr>
                <w:rFonts w:hint="default"/>
                <w:lang w:val="en-US" w:eastAsia="zh-CN"/>
              </w:rPr>
              <w:t>16.63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D55942">
            <w:pPr>
              <w:pStyle w:val="43"/>
              <w:bidi w:val="0"/>
              <w:rPr>
                <w:rFonts w:hint="default"/>
              </w:rPr>
            </w:pPr>
            <w:r>
              <w:rPr>
                <w:rFonts w:hint="default"/>
                <w:lang w:val="en-US" w:eastAsia="zh-CN"/>
              </w:rPr>
              <w:t>24.40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5A8D85">
            <w:pPr>
              <w:pStyle w:val="43"/>
              <w:bidi w:val="0"/>
              <w:rPr>
                <w:rFonts w:hint="default"/>
              </w:rPr>
            </w:pPr>
            <w:r>
              <w:rPr>
                <w:rFonts w:hint="default"/>
                <w:lang w:val="en-US" w:eastAsia="zh-CN"/>
              </w:rPr>
              <w:t>21.39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E1910F">
            <w:pPr>
              <w:pStyle w:val="43"/>
              <w:bidi w:val="0"/>
              <w:rPr>
                <w:rFonts w:hint="default"/>
              </w:rPr>
            </w:pPr>
            <w:r>
              <w:rPr>
                <w:rFonts w:hint="default"/>
                <w:lang w:val="en-US" w:eastAsia="zh-CN"/>
              </w:rPr>
              <w:t>20.86</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9D37D7">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DD6E24">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3F0FFC">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C43CAF">
            <w:pPr>
              <w:pStyle w:val="43"/>
              <w:bidi w:val="0"/>
              <w:rPr>
                <w:rFonts w:hint="default"/>
              </w:rPr>
            </w:pPr>
            <w:r>
              <w:rPr>
                <w:rFonts w:hint="default"/>
                <w:lang w:val="en-US" w:eastAsia="zh-CN"/>
              </w:rPr>
              <w:t>1</w:t>
            </w:r>
          </w:p>
        </w:tc>
      </w:tr>
      <w:tr w14:paraId="719EE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0AC0D7">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BE0BDF">
            <w:pPr>
              <w:pStyle w:val="43"/>
              <w:bidi w:val="0"/>
              <w:rPr>
                <w:rFonts w:hint="default"/>
              </w:rPr>
            </w:pPr>
            <w:r>
              <w:rPr>
                <w:rFonts w:hint="default"/>
                <w:lang w:val="en-US" w:eastAsia="zh-CN"/>
              </w:rPr>
              <w:t>振动筛电机3</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7E9053">
            <w:pPr>
              <w:pStyle w:val="43"/>
              <w:bidi w:val="0"/>
              <w:rPr>
                <w:rFonts w:hint="default"/>
              </w:rPr>
            </w:pPr>
            <w:r>
              <w:rPr>
                <w:rFonts w:hint="default"/>
                <w:lang w:val="en-US" w:eastAsia="zh-CN"/>
              </w:rPr>
              <w:t>Y225M-6-32</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38601F">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CFFD4E">
            <w:pPr>
              <w:pStyle w:val="43"/>
              <w:bidi w:val="0"/>
              <w:rPr>
                <w:rFonts w:hint="default"/>
              </w:rPr>
            </w:pPr>
            <w:r>
              <w:rPr>
                <w:rFonts w:hint="default"/>
                <w:lang w:val="en-US" w:eastAsia="zh-CN"/>
              </w:rPr>
              <w:t>-220.28</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B8307">
            <w:pPr>
              <w:pStyle w:val="43"/>
              <w:bidi w:val="0"/>
              <w:rPr>
                <w:rFonts w:hint="default"/>
              </w:rPr>
            </w:pPr>
            <w:r>
              <w:rPr>
                <w:rFonts w:hint="default"/>
                <w:lang w:val="en-US" w:eastAsia="zh-CN"/>
              </w:rPr>
              <w:t>-355.53</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3F8DA2">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57C107">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B0A617">
            <w:pPr>
              <w:pStyle w:val="43"/>
              <w:bidi w:val="0"/>
              <w:rPr>
                <w:rFonts w:hint="default"/>
              </w:rPr>
            </w:pPr>
            <w:r>
              <w:rPr>
                <w:rFonts w:hint="default"/>
                <w:lang w:val="en-US" w:eastAsia="zh-CN"/>
              </w:rPr>
              <w:t>80.00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0D3531">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FFB10D">
            <w:pPr>
              <w:pStyle w:val="43"/>
              <w:bidi w:val="0"/>
              <w:rPr>
                <w:rFonts w:hint="default"/>
              </w:rPr>
            </w:pPr>
            <w:r>
              <w:rPr>
                <w:rFonts w:hint="default"/>
                <w:lang w:val="en-US" w:eastAsia="zh-CN"/>
              </w:rPr>
              <w:t>47.29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E81944">
            <w:pPr>
              <w:pStyle w:val="43"/>
              <w:bidi w:val="0"/>
              <w:rPr>
                <w:rFonts w:hint="default"/>
              </w:rPr>
            </w:pPr>
            <w:r>
              <w:rPr>
                <w:rFonts w:hint="default"/>
                <w:lang w:val="en-US" w:eastAsia="zh-CN"/>
              </w:rPr>
              <w:t>38.30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DC260B">
            <w:pPr>
              <w:pStyle w:val="43"/>
              <w:bidi w:val="0"/>
              <w:rPr>
                <w:rFonts w:hint="default"/>
              </w:rPr>
            </w:pPr>
            <w:r>
              <w:rPr>
                <w:rFonts w:hint="default"/>
                <w:lang w:val="en-US" w:eastAsia="zh-CN"/>
              </w:rPr>
              <w:t>54.72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6639FD">
            <w:pPr>
              <w:pStyle w:val="43"/>
              <w:bidi w:val="0"/>
              <w:rPr>
                <w:rFonts w:hint="default"/>
              </w:rPr>
            </w:pPr>
            <w:r>
              <w:rPr>
                <w:rFonts w:hint="default"/>
                <w:lang w:val="en-US" w:eastAsia="zh-CN"/>
              </w:rPr>
              <w:t>37.68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2431A2">
            <w:pPr>
              <w:pStyle w:val="43"/>
              <w:bidi w:val="0"/>
              <w:rPr>
                <w:rFonts w:hint="default"/>
              </w:rPr>
            </w:pPr>
            <w:r>
              <w:rPr>
                <w:rFonts w:hint="default"/>
                <w:lang w:val="en-US" w:eastAsia="zh-CN"/>
              </w:rPr>
              <w:t>46.51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0EECC0">
            <w:pPr>
              <w:pStyle w:val="43"/>
              <w:bidi w:val="0"/>
              <w:rPr>
                <w:rFonts w:hint="default"/>
              </w:rPr>
            </w:pPr>
            <w:r>
              <w:rPr>
                <w:rFonts w:hint="default"/>
                <w:lang w:val="en-US" w:eastAsia="zh-CN"/>
              </w:rPr>
              <w:t>48.34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5F68CD">
            <w:pPr>
              <w:pStyle w:val="43"/>
              <w:bidi w:val="0"/>
              <w:rPr>
                <w:rFonts w:hint="default"/>
              </w:rPr>
            </w:pPr>
            <w:r>
              <w:rPr>
                <w:rFonts w:hint="default"/>
                <w:lang w:val="en-US" w:eastAsia="zh-CN"/>
              </w:rPr>
              <w:t>45.24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2A9828">
            <w:pPr>
              <w:pStyle w:val="43"/>
              <w:bidi w:val="0"/>
              <w:rPr>
                <w:rFonts w:hint="default"/>
              </w:rPr>
            </w:pPr>
            <w:r>
              <w:rPr>
                <w:rFonts w:hint="default"/>
                <w:lang w:val="en-US" w:eastAsia="zh-CN"/>
              </w:rPr>
              <w:t>48.48</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55CE72">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4E292B">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5C1D9E">
            <w:pPr>
              <w:pStyle w:val="43"/>
              <w:bidi w:val="0"/>
              <w:rPr>
                <w:rFonts w:hint="default"/>
              </w:rPr>
            </w:pPr>
            <w:r>
              <w:rPr>
                <w:rFonts w:hint="default"/>
                <w:lang w:val="en-US" w:eastAsia="zh-CN"/>
              </w:rPr>
              <w:t>20.32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2B6334">
            <w:pPr>
              <w:pStyle w:val="43"/>
              <w:bidi w:val="0"/>
              <w:rPr>
                <w:rFonts w:hint="default"/>
              </w:rPr>
            </w:pPr>
            <w:r>
              <w:rPr>
                <w:rFonts w:hint="default"/>
                <w:lang w:val="en-US" w:eastAsia="zh-CN"/>
              </w:rPr>
              <w:t>22.11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364F96">
            <w:pPr>
              <w:pStyle w:val="43"/>
              <w:bidi w:val="0"/>
              <w:rPr>
                <w:rFonts w:hint="default"/>
              </w:rPr>
            </w:pPr>
            <w:r>
              <w:rPr>
                <w:rFonts w:hint="default"/>
                <w:lang w:val="en-US" w:eastAsia="zh-CN"/>
              </w:rPr>
              <w:t>19.08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506CF9">
            <w:pPr>
              <w:pStyle w:val="43"/>
              <w:bidi w:val="0"/>
              <w:rPr>
                <w:rFonts w:hint="default"/>
              </w:rPr>
            </w:pPr>
            <w:r>
              <w:rPr>
                <w:rFonts w:hint="default"/>
                <w:lang w:val="en-US" w:eastAsia="zh-CN"/>
              </w:rPr>
              <w:t>22.25</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6D00D4">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87AA33">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DDE0D5">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6CBCA7">
            <w:pPr>
              <w:pStyle w:val="43"/>
              <w:bidi w:val="0"/>
              <w:rPr>
                <w:rFonts w:hint="default"/>
              </w:rPr>
            </w:pPr>
            <w:r>
              <w:rPr>
                <w:rFonts w:hint="default"/>
                <w:lang w:val="en-US" w:eastAsia="zh-CN"/>
              </w:rPr>
              <w:t>1</w:t>
            </w:r>
          </w:p>
        </w:tc>
      </w:tr>
      <w:tr w14:paraId="62D2C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C588F3">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546A6A">
            <w:pPr>
              <w:pStyle w:val="43"/>
              <w:bidi w:val="0"/>
              <w:rPr>
                <w:rFonts w:hint="default"/>
              </w:rPr>
            </w:pPr>
            <w:r>
              <w:rPr>
                <w:rFonts w:hint="default"/>
                <w:lang w:val="en-US" w:eastAsia="zh-CN"/>
              </w:rPr>
              <w:t>输送皮带电机1</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733DC2">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B481A2">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37B323">
            <w:pPr>
              <w:pStyle w:val="43"/>
              <w:bidi w:val="0"/>
              <w:rPr>
                <w:rFonts w:hint="default"/>
              </w:rPr>
            </w:pPr>
            <w:r>
              <w:rPr>
                <w:rFonts w:hint="default"/>
                <w:lang w:val="en-US" w:eastAsia="zh-CN"/>
              </w:rPr>
              <w:t>-272.2</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024AD">
            <w:pPr>
              <w:pStyle w:val="43"/>
              <w:bidi w:val="0"/>
              <w:rPr>
                <w:rFonts w:hint="default"/>
              </w:rPr>
            </w:pPr>
            <w:r>
              <w:rPr>
                <w:rFonts w:hint="default"/>
                <w:lang w:val="en-US" w:eastAsia="zh-CN"/>
              </w:rPr>
              <w:t>-306.53</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55E2FC">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BCB571">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FFD258">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74C1C0">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66A6EE">
            <w:pPr>
              <w:pStyle w:val="43"/>
              <w:bidi w:val="0"/>
              <w:rPr>
                <w:rFonts w:hint="default"/>
              </w:rPr>
            </w:pPr>
            <w:r>
              <w:rPr>
                <w:rFonts w:hint="default"/>
                <w:lang w:val="en-US" w:eastAsia="zh-CN"/>
              </w:rPr>
              <w:t>33.78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74A311">
            <w:pPr>
              <w:pStyle w:val="43"/>
              <w:bidi w:val="0"/>
              <w:rPr>
                <w:rFonts w:hint="default"/>
              </w:rPr>
            </w:pPr>
            <w:r>
              <w:rPr>
                <w:rFonts w:hint="default"/>
                <w:lang w:val="en-US" w:eastAsia="zh-CN"/>
              </w:rPr>
              <w:t>50.69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F0D46F">
            <w:pPr>
              <w:pStyle w:val="43"/>
              <w:bidi w:val="0"/>
              <w:rPr>
                <w:rFonts w:hint="default"/>
              </w:rPr>
            </w:pPr>
            <w:r>
              <w:rPr>
                <w:rFonts w:hint="default"/>
                <w:lang w:val="en-US" w:eastAsia="zh-CN"/>
              </w:rPr>
              <w:t>28.76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94673C">
            <w:pPr>
              <w:pStyle w:val="43"/>
              <w:bidi w:val="0"/>
              <w:rPr>
                <w:rFonts w:hint="default"/>
              </w:rPr>
            </w:pPr>
            <w:r>
              <w:rPr>
                <w:rFonts w:hint="default"/>
                <w:lang w:val="en-US" w:eastAsia="zh-CN"/>
              </w:rPr>
              <w:t>20.58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36B72E">
            <w:pPr>
              <w:pStyle w:val="43"/>
              <w:bidi w:val="0"/>
              <w:rPr>
                <w:rFonts w:hint="default"/>
              </w:rPr>
            </w:pPr>
            <w:r>
              <w:rPr>
                <w:rFonts w:hint="default"/>
                <w:lang w:val="en-US" w:eastAsia="zh-CN"/>
              </w:rPr>
              <w:t>44.43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E38635">
            <w:pPr>
              <w:pStyle w:val="43"/>
              <w:bidi w:val="0"/>
              <w:rPr>
                <w:rFonts w:hint="default"/>
              </w:rPr>
            </w:pPr>
            <w:r>
              <w:rPr>
                <w:rFonts w:hint="default"/>
                <w:lang w:val="en-US" w:eastAsia="zh-CN"/>
              </w:rPr>
              <w:t>40.90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39FD7E">
            <w:pPr>
              <w:pStyle w:val="43"/>
              <w:bidi w:val="0"/>
              <w:rPr>
                <w:rFonts w:hint="default"/>
              </w:rPr>
            </w:pPr>
            <w:r>
              <w:rPr>
                <w:rFonts w:hint="default"/>
                <w:lang w:val="en-US" w:eastAsia="zh-CN"/>
              </w:rPr>
              <w:t>45.82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7CA8ED">
            <w:pPr>
              <w:pStyle w:val="43"/>
              <w:bidi w:val="0"/>
              <w:rPr>
                <w:rFonts w:hint="default"/>
              </w:rPr>
            </w:pPr>
            <w:r>
              <w:rPr>
                <w:rFonts w:hint="default"/>
                <w:lang w:val="en-US" w:eastAsia="zh-CN"/>
              </w:rPr>
              <w:t>48.73</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52F76D">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B9D530">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34672A">
            <w:pPr>
              <w:pStyle w:val="43"/>
              <w:bidi w:val="0"/>
              <w:rPr>
                <w:rFonts w:hint="default"/>
              </w:rPr>
            </w:pPr>
            <w:r>
              <w:rPr>
                <w:rFonts w:hint="default"/>
                <w:lang w:val="en-US" w:eastAsia="zh-CN"/>
              </w:rPr>
              <w:t>18.17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67F05B">
            <w:pPr>
              <w:pStyle w:val="43"/>
              <w:bidi w:val="0"/>
              <w:rPr>
                <w:rFonts w:hint="default"/>
              </w:rPr>
            </w:pPr>
            <w:r>
              <w:rPr>
                <w:rFonts w:hint="default"/>
                <w:lang w:val="en-US" w:eastAsia="zh-CN"/>
              </w:rPr>
              <w:t>14.73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54051A">
            <w:pPr>
              <w:pStyle w:val="43"/>
              <w:bidi w:val="0"/>
              <w:rPr>
                <w:rFonts w:hint="default"/>
              </w:rPr>
            </w:pPr>
            <w:r>
              <w:rPr>
                <w:rFonts w:hint="default"/>
                <w:lang w:val="en-US" w:eastAsia="zh-CN"/>
              </w:rPr>
              <w:t>19.53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EF292D">
            <w:pPr>
              <w:pStyle w:val="43"/>
              <w:bidi w:val="0"/>
              <w:rPr>
                <w:rFonts w:hint="default"/>
              </w:rPr>
            </w:pPr>
            <w:r>
              <w:rPr>
                <w:rFonts w:hint="default"/>
                <w:lang w:val="en-US" w:eastAsia="zh-CN"/>
              </w:rPr>
              <w:t>22.32</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62D1FC">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8CAEA4">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AB9DBB">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9B56C6">
            <w:pPr>
              <w:pStyle w:val="43"/>
              <w:bidi w:val="0"/>
              <w:rPr>
                <w:rFonts w:hint="default"/>
              </w:rPr>
            </w:pPr>
            <w:r>
              <w:rPr>
                <w:rFonts w:hint="default"/>
                <w:lang w:val="en-US" w:eastAsia="zh-CN"/>
              </w:rPr>
              <w:t>1</w:t>
            </w:r>
          </w:p>
        </w:tc>
      </w:tr>
      <w:tr w14:paraId="56563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2CEF7C">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E7EF32">
            <w:pPr>
              <w:pStyle w:val="43"/>
              <w:bidi w:val="0"/>
              <w:rPr>
                <w:rFonts w:hint="default"/>
              </w:rPr>
            </w:pPr>
            <w:r>
              <w:rPr>
                <w:rFonts w:hint="default"/>
                <w:lang w:val="en-US" w:eastAsia="zh-CN"/>
              </w:rPr>
              <w:t>输送皮带电机2</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08FFA1">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BFF4A0">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999283">
            <w:pPr>
              <w:pStyle w:val="43"/>
              <w:bidi w:val="0"/>
              <w:rPr>
                <w:rFonts w:hint="default"/>
              </w:rPr>
            </w:pPr>
            <w:r>
              <w:rPr>
                <w:rFonts w:hint="default"/>
                <w:lang w:val="en-US" w:eastAsia="zh-CN"/>
              </w:rPr>
              <w:t>-278.04</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2877CF">
            <w:pPr>
              <w:pStyle w:val="43"/>
              <w:bidi w:val="0"/>
              <w:rPr>
                <w:rFonts w:hint="default"/>
              </w:rPr>
            </w:pPr>
            <w:r>
              <w:rPr>
                <w:rFonts w:hint="default"/>
                <w:lang w:val="en-US" w:eastAsia="zh-CN"/>
              </w:rPr>
              <w:t>-321.11</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4B166C">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279070">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855E6D">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E41D70A">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EBAB4">
            <w:pPr>
              <w:pStyle w:val="43"/>
              <w:bidi w:val="0"/>
              <w:rPr>
                <w:rFonts w:hint="default"/>
              </w:rPr>
            </w:pPr>
            <w:r>
              <w:rPr>
                <w:rFonts w:hint="default"/>
                <w:lang w:val="en-US" w:eastAsia="zh-CN"/>
              </w:rPr>
              <w:t>63.43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518595">
            <w:pPr>
              <w:pStyle w:val="43"/>
              <w:bidi w:val="0"/>
              <w:rPr>
                <w:rFonts w:hint="default"/>
              </w:rPr>
            </w:pPr>
            <w:r>
              <w:rPr>
                <w:rFonts w:hint="default"/>
                <w:lang w:val="en-US" w:eastAsia="zh-CN"/>
              </w:rPr>
              <w:t>32.10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9C849B">
            <w:pPr>
              <w:pStyle w:val="43"/>
              <w:bidi w:val="0"/>
              <w:rPr>
                <w:rFonts w:hint="default"/>
              </w:rPr>
            </w:pPr>
            <w:r>
              <w:rPr>
                <w:rFonts w:hint="default"/>
                <w:lang w:val="en-US" w:eastAsia="zh-CN"/>
              </w:rPr>
              <w:t>25.84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1D4B9B">
            <w:pPr>
              <w:pStyle w:val="43"/>
              <w:bidi w:val="0"/>
              <w:rPr>
                <w:rFonts w:hint="default"/>
              </w:rPr>
            </w:pPr>
            <w:r>
              <w:rPr>
                <w:rFonts w:hint="default"/>
                <w:lang w:val="en-US" w:eastAsia="zh-CN"/>
              </w:rPr>
              <w:t>38.65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EB1D56">
            <w:pPr>
              <w:pStyle w:val="43"/>
              <w:bidi w:val="0"/>
              <w:rPr>
                <w:rFonts w:hint="default"/>
              </w:rPr>
            </w:pPr>
            <w:r>
              <w:rPr>
                <w:rFonts w:hint="default"/>
                <w:lang w:val="en-US" w:eastAsia="zh-CN"/>
              </w:rPr>
              <w:t>38.95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B98B70">
            <w:pPr>
              <w:pStyle w:val="43"/>
              <w:bidi w:val="0"/>
              <w:rPr>
                <w:rFonts w:hint="default"/>
              </w:rPr>
            </w:pPr>
            <w:r>
              <w:rPr>
                <w:rFonts w:hint="default"/>
                <w:lang w:val="en-US" w:eastAsia="zh-CN"/>
              </w:rPr>
              <w:t>44.87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44A9F0">
            <w:pPr>
              <w:pStyle w:val="43"/>
              <w:bidi w:val="0"/>
              <w:rPr>
                <w:rFonts w:hint="default"/>
              </w:rPr>
            </w:pPr>
            <w:r>
              <w:rPr>
                <w:rFonts w:hint="default"/>
                <w:lang w:val="en-US" w:eastAsia="zh-CN"/>
              </w:rPr>
              <w:t>46.75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8DAEA2">
            <w:pPr>
              <w:pStyle w:val="43"/>
              <w:bidi w:val="0"/>
              <w:rPr>
                <w:rFonts w:hint="default"/>
              </w:rPr>
            </w:pPr>
            <w:r>
              <w:rPr>
                <w:rFonts w:hint="default"/>
                <w:lang w:val="en-US" w:eastAsia="zh-CN"/>
              </w:rPr>
              <w:t>43.26</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0A889E">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B067AF">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4DF6D8">
            <w:pPr>
              <w:pStyle w:val="43"/>
              <w:bidi w:val="0"/>
              <w:rPr>
                <w:rFonts w:hint="default"/>
              </w:rPr>
            </w:pPr>
            <w:r>
              <w:rPr>
                <w:rFonts w:hint="default"/>
                <w:lang w:val="en-US" w:eastAsia="zh-CN"/>
              </w:rPr>
              <w:t>12.82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9B616C">
            <w:pPr>
              <w:pStyle w:val="43"/>
              <w:bidi w:val="0"/>
              <w:rPr>
                <w:rFonts w:hint="default"/>
              </w:rPr>
            </w:pPr>
            <w:r>
              <w:rPr>
                <w:rFonts w:hint="default"/>
                <w:lang w:val="en-US" w:eastAsia="zh-CN"/>
              </w:rPr>
              <w:t>18.60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26F689">
            <w:pPr>
              <w:pStyle w:val="43"/>
              <w:bidi w:val="0"/>
              <w:rPr>
                <w:rFonts w:hint="default"/>
              </w:rPr>
            </w:pPr>
            <w:r>
              <w:rPr>
                <w:rFonts w:hint="default"/>
                <w:lang w:val="en-US" w:eastAsia="zh-CN"/>
              </w:rPr>
              <w:t>20.42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5C23D1">
            <w:pPr>
              <w:pStyle w:val="43"/>
              <w:bidi w:val="0"/>
              <w:rPr>
                <w:rFonts w:hint="default"/>
              </w:rPr>
            </w:pPr>
            <w:r>
              <w:rPr>
                <w:rFonts w:hint="default"/>
                <w:lang w:val="en-US" w:eastAsia="zh-CN"/>
              </w:rPr>
              <w:t>17.04</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20B3B0">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3B98BF">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A61BB9">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933D4F">
            <w:pPr>
              <w:pStyle w:val="43"/>
              <w:bidi w:val="0"/>
              <w:rPr>
                <w:rFonts w:hint="default"/>
              </w:rPr>
            </w:pPr>
            <w:r>
              <w:rPr>
                <w:rFonts w:hint="default"/>
                <w:lang w:val="en-US" w:eastAsia="zh-CN"/>
              </w:rPr>
              <w:t>1</w:t>
            </w:r>
          </w:p>
        </w:tc>
      </w:tr>
      <w:tr w14:paraId="7A984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F9E615">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783535">
            <w:pPr>
              <w:pStyle w:val="43"/>
              <w:bidi w:val="0"/>
              <w:rPr>
                <w:rFonts w:hint="default"/>
              </w:rPr>
            </w:pPr>
            <w:r>
              <w:rPr>
                <w:rFonts w:hint="default"/>
                <w:lang w:val="en-US" w:eastAsia="zh-CN"/>
              </w:rPr>
              <w:t>输送皮带电机3</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5896EE">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E412E3">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A69CD6">
            <w:pPr>
              <w:pStyle w:val="43"/>
              <w:bidi w:val="0"/>
              <w:rPr>
                <w:rFonts w:hint="default"/>
              </w:rPr>
            </w:pPr>
            <w:r>
              <w:rPr>
                <w:rFonts w:hint="default"/>
                <w:lang w:val="en-US" w:eastAsia="zh-CN"/>
              </w:rPr>
              <w:t>-283.29</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D324A5">
            <w:pPr>
              <w:pStyle w:val="43"/>
              <w:bidi w:val="0"/>
              <w:rPr>
                <w:rFonts w:hint="default"/>
              </w:rPr>
            </w:pPr>
            <w:r>
              <w:rPr>
                <w:rFonts w:hint="default"/>
                <w:lang w:val="en-US" w:eastAsia="zh-CN"/>
              </w:rPr>
              <w:t>-328.11</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4AD94">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00CA65">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0D7CC7">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FD430">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E9A37">
            <w:pPr>
              <w:pStyle w:val="43"/>
              <w:bidi w:val="0"/>
              <w:rPr>
                <w:rFonts w:hint="default"/>
              </w:rPr>
            </w:pPr>
            <w:r>
              <w:rPr>
                <w:rFonts w:hint="default"/>
                <w:lang w:val="en-US" w:eastAsia="zh-CN"/>
              </w:rPr>
              <w:t>80.11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DB493B">
            <w:pPr>
              <w:pStyle w:val="43"/>
              <w:bidi w:val="0"/>
              <w:rPr>
                <w:rFonts w:hint="default"/>
              </w:rPr>
            </w:pPr>
            <w:r>
              <w:rPr>
                <w:rFonts w:hint="default"/>
                <w:lang w:val="en-US" w:eastAsia="zh-CN"/>
              </w:rPr>
              <w:t>21.46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6642C0">
            <w:pPr>
              <w:pStyle w:val="43"/>
              <w:bidi w:val="0"/>
              <w:rPr>
                <w:rFonts w:hint="default"/>
              </w:rPr>
            </w:pPr>
            <w:r>
              <w:rPr>
                <w:rFonts w:hint="default"/>
                <w:lang w:val="en-US" w:eastAsia="zh-CN"/>
              </w:rPr>
              <w:t>23.98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683720">
            <w:pPr>
              <w:pStyle w:val="43"/>
              <w:bidi w:val="0"/>
              <w:rPr>
                <w:rFonts w:hint="default"/>
              </w:rPr>
            </w:pPr>
            <w:r>
              <w:rPr>
                <w:rFonts w:hint="default"/>
                <w:lang w:val="en-US" w:eastAsia="zh-CN"/>
              </w:rPr>
              <w:t>48.81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6C224E">
            <w:pPr>
              <w:pStyle w:val="43"/>
              <w:bidi w:val="0"/>
              <w:rPr>
                <w:rFonts w:hint="default"/>
              </w:rPr>
            </w:pPr>
            <w:r>
              <w:rPr>
                <w:rFonts w:hint="default"/>
                <w:lang w:val="en-US" w:eastAsia="zh-CN"/>
              </w:rPr>
              <w:t>36.93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B68C39">
            <w:pPr>
              <w:pStyle w:val="43"/>
              <w:bidi w:val="0"/>
              <w:rPr>
                <w:rFonts w:hint="default"/>
              </w:rPr>
            </w:pPr>
            <w:r>
              <w:rPr>
                <w:rFonts w:hint="default"/>
                <w:lang w:val="en-US" w:eastAsia="zh-CN"/>
              </w:rPr>
              <w:t>48.37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3D1229">
            <w:pPr>
              <w:pStyle w:val="43"/>
              <w:bidi w:val="0"/>
              <w:rPr>
                <w:rFonts w:hint="default"/>
              </w:rPr>
            </w:pPr>
            <w:r>
              <w:rPr>
                <w:rFonts w:hint="default"/>
                <w:lang w:val="en-US" w:eastAsia="zh-CN"/>
              </w:rPr>
              <w:t>47.40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B3692C">
            <w:pPr>
              <w:pStyle w:val="43"/>
              <w:bidi w:val="0"/>
              <w:rPr>
                <w:rFonts w:hint="default"/>
              </w:rPr>
            </w:pPr>
            <w:r>
              <w:rPr>
                <w:rFonts w:hint="default"/>
                <w:lang w:val="en-US" w:eastAsia="zh-CN"/>
              </w:rPr>
              <w:t>41.23</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8FE2AD">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0DC8E9">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91AC78">
            <w:pPr>
              <w:pStyle w:val="43"/>
              <w:bidi w:val="0"/>
              <w:rPr>
                <w:rFonts w:hint="default"/>
              </w:rPr>
            </w:pPr>
            <w:r>
              <w:rPr>
                <w:rFonts w:hint="default"/>
                <w:lang w:val="en-US" w:eastAsia="zh-CN"/>
              </w:rPr>
              <w:t>10.82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96BA04F">
            <w:pPr>
              <w:pStyle w:val="43"/>
              <w:bidi w:val="0"/>
              <w:rPr>
                <w:rFonts w:hint="default"/>
              </w:rPr>
            </w:pPr>
            <w:r>
              <w:rPr>
                <w:rFonts w:hint="default"/>
                <w:lang w:val="en-US" w:eastAsia="zh-CN"/>
              </w:rPr>
              <w:t>21.97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360F2F">
            <w:pPr>
              <w:pStyle w:val="43"/>
              <w:bidi w:val="0"/>
              <w:rPr>
                <w:rFonts w:hint="default"/>
              </w:rPr>
            </w:pPr>
            <w:r>
              <w:rPr>
                <w:rFonts w:hint="default"/>
                <w:lang w:val="en-US" w:eastAsia="zh-CN"/>
              </w:rPr>
              <w:t>21.05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4F12BE">
            <w:pPr>
              <w:pStyle w:val="43"/>
              <w:bidi w:val="0"/>
              <w:rPr>
                <w:rFonts w:hint="default"/>
              </w:rPr>
            </w:pPr>
            <w:r>
              <w:rPr>
                <w:rFonts w:hint="default"/>
                <w:lang w:val="en-US" w:eastAsia="zh-CN"/>
              </w:rPr>
              <w:t>15.05</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D423D7">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94D0A3">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342062">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C6F843">
            <w:pPr>
              <w:pStyle w:val="43"/>
              <w:bidi w:val="0"/>
              <w:rPr>
                <w:rFonts w:hint="default"/>
              </w:rPr>
            </w:pPr>
            <w:r>
              <w:rPr>
                <w:rFonts w:hint="default"/>
                <w:lang w:val="en-US" w:eastAsia="zh-CN"/>
              </w:rPr>
              <w:t>1</w:t>
            </w:r>
          </w:p>
        </w:tc>
      </w:tr>
      <w:tr w14:paraId="1B603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F1BB2B">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C2490E">
            <w:pPr>
              <w:pStyle w:val="43"/>
              <w:bidi w:val="0"/>
              <w:rPr>
                <w:rFonts w:hint="default"/>
              </w:rPr>
            </w:pPr>
            <w:r>
              <w:rPr>
                <w:rFonts w:hint="default"/>
                <w:lang w:val="en-US" w:eastAsia="zh-CN"/>
              </w:rPr>
              <w:t>输送皮带电机4</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0A03ED">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D914CF">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258BE1">
            <w:pPr>
              <w:pStyle w:val="43"/>
              <w:bidi w:val="0"/>
              <w:rPr>
                <w:rFonts w:hint="default"/>
              </w:rPr>
            </w:pPr>
            <w:r>
              <w:rPr>
                <w:rFonts w:hint="default"/>
                <w:lang w:val="en-US" w:eastAsia="zh-CN"/>
              </w:rPr>
              <w:t>-245.95</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C228B3">
            <w:pPr>
              <w:pStyle w:val="43"/>
              <w:bidi w:val="0"/>
              <w:rPr>
                <w:rFonts w:hint="default"/>
              </w:rPr>
            </w:pPr>
            <w:r>
              <w:rPr>
                <w:rFonts w:hint="default"/>
                <w:lang w:val="en-US" w:eastAsia="zh-CN"/>
              </w:rPr>
              <w:t>-325.78</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1E2F6A">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67807B">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6B0D19">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86E821">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249E14">
            <w:pPr>
              <w:pStyle w:val="43"/>
              <w:bidi w:val="0"/>
              <w:rPr>
                <w:rFonts w:hint="default"/>
              </w:rPr>
            </w:pPr>
            <w:r>
              <w:rPr>
                <w:rFonts w:hint="default"/>
                <w:lang w:val="en-US" w:eastAsia="zh-CN"/>
              </w:rPr>
              <w:t>38.94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7A6547">
            <w:pPr>
              <w:pStyle w:val="43"/>
              <w:bidi w:val="0"/>
              <w:rPr>
                <w:rFonts w:hint="default"/>
              </w:rPr>
            </w:pPr>
            <w:r>
              <w:rPr>
                <w:rFonts w:hint="default"/>
                <w:lang w:val="en-US" w:eastAsia="zh-CN"/>
              </w:rPr>
              <w:t>49.93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435FA">
            <w:pPr>
              <w:pStyle w:val="43"/>
              <w:bidi w:val="0"/>
              <w:rPr>
                <w:rFonts w:hint="default"/>
              </w:rPr>
            </w:pPr>
            <w:r>
              <w:rPr>
                <w:rFonts w:hint="default"/>
                <w:lang w:val="en-US" w:eastAsia="zh-CN"/>
              </w:rPr>
              <w:t>60.21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155BF">
            <w:pPr>
              <w:pStyle w:val="43"/>
              <w:bidi w:val="0"/>
              <w:rPr>
                <w:rFonts w:hint="default"/>
              </w:rPr>
            </w:pPr>
            <w:r>
              <w:rPr>
                <w:rFonts w:hint="default"/>
                <w:lang w:val="en-US" w:eastAsia="zh-CN"/>
              </w:rPr>
              <w:t>23.73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F1FDA5">
            <w:pPr>
              <w:pStyle w:val="43"/>
              <w:bidi w:val="0"/>
              <w:rPr>
                <w:rFonts w:hint="default"/>
              </w:rPr>
            </w:pPr>
            <w:r>
              <w:rPr>
                <w:rFonts w:hint="default"/>
                <w:lang w:val="en-US" w:eastAsia="zh-CN"/>
              </w:rPr>
              <w:t>43.19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5A5E64D">
            <w:pPr>
              <w:pStyle w:val="43"/>
              <w:bidi w:val="0"/>
              <w:rPr>
                <w:rFonts w:hint="default"/>
              </w:rPr>
            </w:pPr>
            <w:r>
              <w:rPr>
                <w:rFonts w:hint="default"/>
                <w:lang w:val="en-US" w:eastAsia="zh-CN"/>
              </w:rPr>
              <w:t>41.03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6836A2">
            <w:pPr>
              <w:pStyle w:val="43"/>
              <w:bidi w:val="0"/>
              <w:rPr>
                <w:rFonts w:hint="default"/>
              </w:rPr>
            </w:pPr>
            <w:r>
              <w:rPr>
                <w:rFonts w:hint="default"/>
                <w:lang w:val="en-US" w:eastAsia="zh-CN"/>
              </w:rPr>
              <w:t>39.41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470B0">
            <w:pPr>
              <w:pStyle w:val="43"/>
              <w:bidi w:val="0"/>
              <w:rPr>
                <w:rFonts w:hint="default"/>
              </w:rPr>
            </w:pPr>
            <w:r>
              <w:rPr>
                <w:rFonts w:hint="default"/>
                <w:lang w:val="en-US" w:eastAsia="zh-CN"/>
              </w:rPr>
              <w:t>47.49</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1CEEBD">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3F7C96">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9173FD">
            <w:pPr>
              <w:pStyle w:val="43"/>
              <w:bidi w:val="0"/>
              <w:rPr>
                <w:rFonts w:hint="default"/>
              </w:rPr>
            </w:pPr>
            <w:r>
              <w:rPr>
                <w:rFonts w:hint="default"/>
                <w:lang w:val="en-US" w:eastAsia="zh-CN"/>
              </w:rPr>
              <w:t>16.97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1DDDF7">
            <w:pPr>
              <w:pStyle w:val="43"/>
              <w:bidi w:val="0"/>
              <w:rPr>
                <w:rFonts w:hint="default"/>
              </w:rPr>
            </w:pPr>
            <w:r>
              <w:rPr>
                <w:rFonts w:hint="default"/>
                <w:lang w:val="en-US" w:eastAsia="zh-CN"/>
              </w:rPr>
              <w:t>14.86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2AF535">
            <w:pPr>
              <w:pStyle w:val="43"/>
              <w:bidi w:val="0"/>
              <w:rPr>
                <w:rFonts w:hint="default"/>
              </w:rPr>
            </w:pPr>
            <w:r>
              <w:rPr>
                <w:rFonts w:hint="default"/>
                <w:lang w:val="en-US" w:eastAsia="zh-CN"/>
              </w:rPr>
              <w:t>13.26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0D351D">
            <w:pPr>
              <w:pStyle w:val="43"/>
              <w:bidi w:val="0"/>
              <w:rPr>
                <w:rFonts w:hint="default"/>
              </w:rPr>
            </w:pPr>
            <w:r>
              <w:rPr>
                <w:rFonts w:hint="default"/>
                <w:lang w:val="en-US" w:eastAsia="zh-CN"/>
              </w:rPr>
              <w:t>21.14</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D078F5">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55848">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0DAF4">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8C8DCE">
            <w:pPr>
              <w:pStyle w:val="43"/>
              <w:bidi w:val="0"/>
              <w:rPr>
                <w:rFonts w:hint="default"/>
              </w:rPr>
            </w:pPr>
            <w:r>
              <w:rPr>
                <w:rFonts w:hint="default"/>
                <w:lang w:val="en-US" w:eastAsia="zh-CN"/>
              </w:rPr>
              <w:t>1</w:t>
            </w:r>
          </w:p>
        </w:tc>
      </w:tr>
      <w:tr w14:paraId="718A7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306091">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1DB6BB">
            <w:pPr>
              <w:pStyle w:val="43"/>
              <w:bidi w:val="0"/>
              <w:rPr>
                <w:rFonts w:hint="default"/>
              </w:rPr>
            </w:pPr>
            <w:r>
              <w:rPr>
                <w:rFonts w:hint="default"/>
                <w:lang w:val="en-US" w:eastAsia="zh-CN"/>
              </w:rPr>
              <w:t>输送皮带电机5</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3ACCC45">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EE1A1B">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7E6046">
            <w:pPr>
              <w:pStyle w:val="43"/>
              <w:bidi w:val="0"/>
              <w:rPr>
                <w:rFonts w:hint="default"/>
              </w:rPr>
            </w:pPr>
            <w:r>
              <w:rPr>
                <w:rFonts w:hint="default"/>
                <w:lang w:val="en-US" w:eastAsia="zh-CN"/>
              </w:rPr>
              <w:t>-251.2</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5D6412">
            <w:pPr>
              <w:pStyle w:val="43"/>
              <w:bidi w:val="0"/>
              <w:rPr>
                <w:rFonts w:hint="default"/>
              </w:rPr>
            </w:pPr>
            <w:r>
              <w:rPr>
                <w:rFonts w:hint="default"/>
                <w:lang w:val="en-US" w:eastAsia="zh-CN"/>
              </w:rPr>
              <w:t>-344.45</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E33F3F">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807488">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818E8F">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ED6EF6">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CDEBC9">
            <w:pPr>
              <w:pStyle w:val="43"/>
              <w:bidi w:val="0"/>
              <w:rPr>
                <w:rFonts w:hint="default"/>
              </w:rPr>
            </w:pPr>
            <w:r>
              <w:rPr>
                <w:rFonts w:hint="default"/>
                <w:lang w:val="en-US" w:eastAsia="zh-CN"/>
              </w:rPr>
              <w:t>74.68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34AAA4">
            <w:pPr>
              <w:pStyle w:val="43"/>
              <w:bidi w:val="0"/>
              <w:rPr>
                <w:rFonts w:hint="default"/>
              </w:rPr>
            </w:pPr>
            <w:r>
              <w:rPr>
                <w:rFonts w:hint="default"/>
                <w:lang w:val="en-US" w:eastAsia="zh-CN"/>
              </w:rPr>
              <w:t>27.68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34DE05">
            <w:pPr>
              <w:pStyle w:val="43"/>
              <w:bidi w:val="0"/>
              <w:rPr>
                <w:rFonts w:hint="default"/>
              </w:rPr>
            </w:pPr>
            <w:r>
              <w:rPr>
                <w:rFonts w:hint="default"/>
                <w:lang w:val="en-US" w:eastAsia="zh-CN"/>
              </w:rPr>
              <w:t>39.54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E92D7">
            <w:pPr>
              <w:pStyle w:val="43"/>
              <w:bidi w:val="0"/>
              <w:rPr>
                <w:rFonts w:hint="default"/>
              </w:rPr>
            </w:pPr>
            <w:r>
              <w:rPr>
                <w:rFonts w:hint="default"/>
                <w:lang w:val="en-US" w:eastAsia="zh-CN"/>
              </w:rPr>
              <w:t>45.50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A19284">
            <w:pPr>
              <w:pStyle w:val="43"/>
              <w:bidi w:val="0"/>
              <w:rPr>
                <w:rFonts w:hint="default"/>
              </w:rPr>
            </w:pPr>
            <w:r>
              <w:rPr>
                <w:rFonts w:hint="default"/>
                <w:lang w:val="en-US" w:eastAsia="zh-CN"/>
              </w:rPr>
              <w:t>37.54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26D20C">
            <w:pPr>
              <w:pStyle w:val="43"/>
              <w:bidi w:val="0"/>
              <w:rPr>
                <w:rFonts w:hint="default"/>
              </w:rPr>
            </w:pPr>
            <w:r>
              <w:rPr>
                <w:rFonts w:hint="default"/>
                <w:lang w:val="en-US" w:eastAsia="zh-CN"/>
              </w:rPr>
              <w:t>46.16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A6A783">
            <w:pPr>
              <w:pStyle w:val="43"/>
              <w:bidi w:val="0"/>
              <w:rPr>
                <w:rFonts w:hint="default"/>
              </w:rPr>
            </w:pPr>
            <w:r>
              <w:rPr>
                <w:rFonts w:hint="default"/>
                <w:lang w:val="en-US" w:eastAsia="zh-CN"/>
              </w:rPr>
              <w:t>43.06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4AB59B">
            <w:pPr>
              <w:pStyle w:val="43"/>
              <w:bidi w:val="0"/>
              <w:rPr>
                <w:rFonts w:hint="default"/>
              </w:rPr>
            </w:pPr>
            <w:r>
              <w:rPr>
                <w:rFonts w:hint="default"/>
                <w:lang w:val="en-US" w:eastAsia="zh-CN"/>
              </w:rPr>
              <w:t>41.84</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1D1C43">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192D2D">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EFB149">
            <w:pPr>
              <w:pStyle w:val="43"/>
              <w:bidi w:val="0"/>
              <w:rPr>
                <w:rFonts w:hint="default"/>
              </w:rPr>
            </w:pPr>
            <w:r>
              <w:rPr>
                <w:rFonts w:hint="default"/>
                <w:lang w:val="en-US" w:eastAsia="zh-CN"/>
              </w:rPr>
              <w:t>11.42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37BE24">
            <w:pPr>
              <w:pStyle w:val="43"/>
              <w:bidi w:val="0"/>
              <w:rPr>
                <w:rFonts w:hint="default"/>
              </w:rPr>
            </w:pPr>
            <w:r>
              <w:rPr>
                <w:rFonts w:hint="default"/>
                <w:lang w:val="en-US" w:eastAsia="zh-CN"/>
              </w:rPr>
              <w:t>19.85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10A61B">
            <w:pPr>
              <w:pStyle w:val="43"/>
              <w:bidi w:val="0"/>
              <w:rPr>
                <w:rFonts w:hint="default"/>
              </w:rPr>
            </w:pPr>
            <w:r>
              <w:rPr>
                <w:rFonts w:hint="default"/>
                <w:lang w:val="en-US" w:eastAsia="zh-CN"/>
              </w:rPr>
              <w:t>16.84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59863E">
            <w:pPr>
              <w:pStyle w:val="43"/>
              <w:bidi w:val="0"/>
              <w:rPr>
                <w:rFonts w:hint="default"/>
              </w:rPr>
            </w:pPr>
            <w:r>
              <w:rPr>
                <w:rFonts w:hint="default"/>
                <w:lang w:val="en-US" w:eastAsia="zh-CN"/>
              </w:rPr>
              <w:t>15.65</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F23C32">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FCC7A">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93FA34">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AD7E29">
            <w:pPr>
              <w:pStyle w:val="43"/>
              <w:bidi w:val="0"/>
              <w:rPr>
                <w:rFonts w:hint="default"/>
              </w:rPr>
            </w:pPr>
            <w:r>
              <w:rPr>
                <w:rFonts w:hint="default"/>
                <w:lang w:val="en-US" w:eastAsia="zh-CN"/>
              </w:rPr>
              <w:t>1</w:t>
            </w:r>
          </w:p>
        </w:tc>
      </w:tr>
      <w:tr w14:paraId="5859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118F7">
            <w:pPr>
              <w:pStyle w:val="43"/>
              <w:bidi w:val="0"/>
              <w:rPr>
                <w:rFonts w:hint="default"/>
              </w:rPr>
            </w:pPr>
            <w:r>
              <w:rPr>
                <w:rFonts w:hint="default"/>
                <w:lang w:val="en-US" w:eastAsia="zh-CN"/>
              </w:rPr>
              <w:t>厂房1</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7DF846C">
            <w:pPr>
              <w:pStyle w:val="43"/>
              <w:bidi w:val="0"/>
              <w:rPr>
                <w:rFonts w:hint="default"/>
              </w:rPr>
            </w:pPr>
            <w:r>
              <w:rPr>
                <w:rFonts w:hint="default"/>
                <w:lang w:val="en-US" w:eastAsia="zh-CN"/>
              </w:rPr>
              <w:t>输送皮带电机6</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56FDBE">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8EE391">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A0F29B">
            <w:pPr>
              <w:pStyle w:val="43"/>
              <w:bidi w:val="0"/>
              <w:rPr>
                <w:rFonts w:hint="default"/>
              </w:rPr>
            </w:pPr>
            <w:r>
              <w:rPr>
                <w:rFonts w:hint="default"/>
                <w:lang w:val="en-US" w:eastAsia="zh-CN"/>
              </w:rPr>
              <w:t>-229.62</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1E147">
            <w:pPr>
              <w:pStyle w:val="43"/>
              <w:bidi w:val="0"/>
              <w:rPr>
                <w:rFonts w:hint="default"/>
              </w:rPr>
            </w:pPr>
            <w:r>
              <w:rPr>
                <w:rFonts w:hint="default"/>
                <w:lang w:val="en-US" w:eastAsia="zh-CN"/>
              </w:rPr>
              <w:t>-349.7</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F37022">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99BF66">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D2CCE1">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763EBE">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199CC6">
            <w:pPr>
              <w:pStyle w:val="43"/>
              <w:bidi w:val="0"/>
              <w:rPr>
                <w:rFonts w:hint="default"/>
              </w:rPr>
            </w:pPr>
            <w:r>
              <w:rPr>
                <w:rFonts w:hint="default"/>
                <w:lang w:val="en-US" w:eastAsia="zh-CN"/>
              </w:rPr>
              <w:t>60.33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DAE6B3">
            <w:pPr>
              <w:pStyle w:val="43"/>
              <w:bidi w:val="0"/>
              <w:rPr>
                <w:rFonts w:hint="default"/>
              </w:rPr>
            </w:pPr>
            <w:r>
              <w:rPr>
                <w:rFonts w:hint="default"/>
                <w:lang w:val="en-US" w:eastAsia="zh-CN"/>
              </w:rPr>
              <w:t>37.57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3FD7A4">
            <w:pPr>
              <w:pStyle w:val="43"/>
              <w:bidi w:val="0"/>
              <w:rPr>
                <w:rFonts w:hint="default"/>
              </w:rPr>
            </w:pPr>
            <w:r>
              <w:rPr>
                <w:rFonts w:hint="default"/>
                <w:lang w:val="en-US" w:eastAsia="zh-CN"/>
              </w:rPr>
              <w:t>53.67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F050D">
            <w:pPr>
              <w:pStyle w:val="43"/>
              <w:bidi w:val="0"/>
              <w:rPr>
                <w:rFonts w:hint="default"/>
              </w:rPr>
            </w:pPr>
            <w:r>
              <w:rPr>
                <w:rFonts w:hint="default"/>
                <w:lang w:val="en-US" w:eastAsia="zh-CN"/>
              </w:rPr>
              <w:t>37.57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8EA66B">
            <w:pPr>
              <w:pStyle w:val="43"/>
              <w:bidi w:val="0"/>
              <w:rPr>
                <w:rFonts w:hint="default"/>
              </w:rPr>
            </w:pPr>
            <w:r>
              <w:rPr>
                <w:rFonts w:hint="default"/>
                <w:lang w:val="en-US" w:eastAsia="zh-CN"/>
              </w:rPr>
              <w:t>39.39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3C8C8A">
            <w:pPr>
              <w:pStyle w:val="43"/>
              <w:bidi w:val="0"/>
              <w:rPr>
                <w:rFonts w:hint="default"/>
              </w:rPr>
            </w:pPr>
            <w:r>
              <w:rPr>
                <w:rFonts w:hint="default"/>
                <w:lang w:val="en-US" w:eastAsia="zh-CN"/>
              </w:rPr>
              <w:t>43.50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9CCF7D">
            <w:pPr>
              <w:pStyle w:val="43"/>
              <w:bidi w:val="0"/>
              <w:rPr>
                <w:rFonts w:hint="default"/>
              </w:rPr>
            </w:pPr>
            <w:r>
              <w:rPr>
                <w:rFonts w:hint="default"/>
                <w:lang w:val="en-US" w:eastAsia="zh-CN"/>
              </w:rPr>
              <w:t>40.40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39541E">
            <w:pPr>
              <w:pStyle w:val="43"/>
              <w:bidi w:val="0"/>
              <w:rPr>
                <w:rFonts w:hint="default"/>
              </w:rPr>
            </w:pPr>
            <w:r>
              <w:rPr>
                <w:rFonts w:hint="default"/>
                <w:lang w:val="en-US" w:eastAsia="zh-CN"/>
              </w:rPr>
              <w:t>43.50</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C7B852">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6184BA">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38EC8A">
            <w:pPr>
              <w:pStyle w:val="43"/>
              <w:bidi w:val="0"/>
              <w:rPr>
                <w:rFonts w:hint="default"/>
              </w:rPr>
            </w:pPr>
            <w:r>
              <w:rPr>
                <w:rFonts w:hint="default"/>
                <w:lang w:val="en-US" w:eastAsia="zh-CN"/>
              </w:rPr>
              <w:t>13.25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FFAD10">
            <w:pPr>
              <w:pStyle w:val="43"/>
              <w:bidi w:val="0"/>
              <w:rPr>
                <w:rFonts w:hint="default"/>
              </w:rPr>
            </w:pPr>
            <w:r>
              <w:rPr>
                <w:rFonts w:hint="default"/>
                <w:lang w:val="en-US" w:eastAsia="zh-CN"/>
              </w:rPr>
              <w:t>17.28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2B94A7">
            <w:pPr>
              <w:pStyle w:val="43"/>
              <w:bidi w:val="0"/>
              <w:rPr>
                <w:rFonts w:hint="default"/>
              </w:rPr>
            </w:pPr>
            <w:r>
              <w:rPr>
                <w:rFonts w:hint="default"/>
                <w:lang w:val="en-US" w:eastAsia="zh-CN"/>
              </w:rPr>
              <w:t>14.24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2C54AC">
            <w:pPr>
              <w:pStyle w:val="43"/>
              <w:bidi w:val="0"/>
              <w:rPr>
                <w:rFonts w:hint="default"/>
              </w:rPr>
            </w:pPr>
            <w:r>
              <w:rPr>
                <w:rFonts w:hint="default"/>
                <w:lang w:val="en-US" w:eastAsia="zh-CN"/>
              </w:rPr>
              <w:t>17.28</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38149A">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2316D6">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E0AD07">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8238EB">
            <w:pPr>
              <w:pStyle w:val="43"/>
              <w:bidi w:val="0"/>
              <w:rPr>
                <w:rFonts w:hint="default"/>
              </w:rPr>
            </w:pPr>
            <w:r>
              <w:rPr>
                <w:rFonts w:hint="default"/>
                <w:lang w:val="en-US" w:eastAsia="zh-CN"/>
              </w:rPr>
              <w:t>1</w:t>
            </w:r>
          </w:p>
        </w:tc>
      </w:tr>
      <w:tr w14:paraId="58568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931EA">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58CDE">
            <w:pPr>
              <w:pStyle w:val="43"/>
              <w:bidi w:val="0"/>
              <w:rPr>
                <w:rFonts w:hint="default"/>
              </w:rPr>
            </w:pPr>
            <w:r>
              <w:rPr>
                <w:rFonts w:hint="default"/>
                <w:lang w:val="en-US" w:eastAsia="zh-CN"/>
              </w:rPr>
              <w:t>输送皮带电机7</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277BA58">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01024B">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CD6643">
            <w:pPr>
              <w:pStyle w:val="43"/>
              <w:bidi w:val="0"/>
              <w:rPr>
                <w:rFonts w:hint="default"/>
              </w:rPr>
            </w:pPr>
            <w:r>
              <w:rPr>
                <w:rFonts w:hint="default"/>
                <w:lang w:val="en-US" w:eastAsia="zh-CN"/>
              </w:rPr>
              <w:t>-316.54</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B33ED0">
            <w:pPr>
              <w:pStyle w:val="43"/>
              <w:bidi w:val="0"/>
              <w:rPr>
                <w:rFonts w:hint="default"/>
              </w:rPr>
            </w:pPr>
            <w:r>
              <w:rPr>
                <w:rFonts w:hint="default"/>
                <w:lang w:val="en-US" w:eastAsia="zh-CN"/>
              </w:rPr>
              <w:t>-300.69</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BDC2B">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8B2A04">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4DC5F9">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01CE66">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54B2ED">
            <w:pPr>
              <w:pStyle w:val="43"/>
              <w:bidi w:val="0"/>
              <w:rPr>
                <w:rFonts w:hint="default"/>
              </w:rPr>
            </w:pPr>
            <w:r>
              <w:rPr>
                <w:rFonts w:hint="default"/>
                <w:lang w:val="en-US" w:eastAsia="zh-CN"/>
              </w:rPr>
              <w:t>2.34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9B0D08">
            <w:pPr>
              <w:pStyle w:val="43"/>
              <w:bidi w:val="0"/>
              <w:rPr>
                <w:rFonts w:hint="default"/>
              </w:rPr>
            </w:pPr>
            <w:r>
              <w:rPr>
                <w:rFonts w:hint="default"/>
                <w:lang w:val="en-US" w:eastAsia="zh-CN"/>
              </w:rPr>
              <w:t>68.37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7D8F7A">
            <w:pPr>
              <w:pStyle w:val="43"/>
              <w:bidi w:val="0"/>
              <w:rPr>
                <w:rFonts w:hint="default"/>
              </w:rPr>
            </w:pPr>
            <w:r>
              <w:rPr>
                <w:rFonts w:hint="default"/>
                <w:lang w:val="en-US" w:eastAsia="zh-CN"/>
              </w:rPr>
              <w:t>20.56</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E2CD78">
            <w:pPr>
              <w:pStyle w:val="43"/>
              <w:bidi w:val="0"/>
              <w:rPr>
                <w:rFonts w:hint="default"/>
              </w:rPr>
            </w:pPr>
            <w:r>
              <w:rPr>
                <w:rFonts w:hint="default"/>
                <w:lang w:val="en-US" w:eastAsia="zh-CN"/>
              </w:rPr>
              <w:t>23.80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310B32">
            <w:pPr>
              <w:pStyle w:val="43"/>
              <w:bidi w:val="0"/>
              <w:rPr>
                <w:rFonts w:hint="default"/>
              </w:rPr>
            </w:pPr>
            <w:r>
              <w:rPr>
                <w:rFonts w:hint="default"/>
                <w:lang w:val="en-US" w:eastAsia="zh-CN"/>
              </w:rPr>
              <w:t>67.63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5BC9AD">
            <w:pPr>
              <w:pStyle w:val="43"/>
              <w:bidi w:val="0"/>
              <w:rPr>
                <w:rFonts w:hint="default"/>
              </w:rPr>
            </w:pPr>
            <w:r>
              <w:rPr>
                <w:rFonts w:hint="default"/>
                <w:lang w:val="en-US" w:eastAsia="zh-CN"/>
              </w:rPr>
              <w:t>38.30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9CD548">
            <w:pPr>
              <w:pStyle w:val="43"/>
              <w:bidi w:val="0"/>
              <w:rPr>
                <w:rFonts w:hint="default"/>
              </w:rPr>
            </w:pPr>
            <w:r>
              <w:rPr>
                <w:rFonts w:hint="default"/>
                <w:lang w:val="en-US" w:eastAsia="zh-CN"/>
              </w:rPr>
              <w:t>48.74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EBEB85">
            <w:pPr>
              <w:pStyle w:val="43"/>
              <w:bidi w:val="0"/>
              <w:rPr>
                <w:rFonts w:hint="default"/>
              </w:rPr>
            </w:pPr>
            <w:r>
              <w:rPr>
                <w:rFonts w:hint="default"/>
                <w:lang w:val="en-US" w:eastAsia="zh-CN"/>
              </w:rPr>
              <w:t>47.47</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1A2F3D">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8BCD64">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F59832">
            <w:pPr>
              <w:pStyle w:val="43"/>
              <w:bidi w:val="0"/>
              <w:rPr>
                <w:rFonts w:hint="default"/>
              </w:rPr>
            </w:pPr>
            <w:r>
              <w:rPr>
                <w:rFonts w:hint="default"/>
                <w:lang w:val="en-US" w:eastAsia="zh-CN"/>
              </w:rPr>
              <w:t>38.54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2F13C0">
            <w:pPr>
              <w:pStyle w:val="43"/>
              <w:bidi w:val="0"/>
              <w:rPr>
                <w:rFonts w:hint="default"/>
              </w:rPr>
            </w:pPr>
            <w:r>
              <w:rPr>
                <w:rFonts w:hint="default"/>
                <w:lang w:val="en-US" w:eastAsia="zh-CN"/>
              </w:rPr>
              <w:t>12.18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0F20C3">
            <w:pPr>
              <w:pStyle w:val="43"/>
              <w:bidi w:val="0"/>
              <w:rPr>
                <w:rFonts w:hint="default"/>
              </w:rPr>
            </w:pPr>
            <w:r>
              <w:rPr>
                <w:rFonts w:hint="default"/>
                <w:lang w:val="en-US" w:eastAsia="zh-CN"/>
              </w:rPr>
              <w:t>22.33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5AB132">
            <w:pPr>
              <w:pStyle w:val="43"/>
              <w:bidi w:val="0"/>
              <w:rPr>
                <w:rFonts w:hint="default"/>
              </w:rPr>
            </w:pPr>
            <w:r>
              <w:rPr>
                <w:rFonts w:hint="default"/>
                <w:lang w:val="en-US" w:eastAsia="zh-CN"/>
              </w:rPr>
              <w:t>21.11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F3B74E">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DD1D85">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FFA895">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496454">
            <w:pPr>
              <w:pStyle w:val="43"/>
              <w:bidi w:val="0"/>
              <w:rPr>
                <w:rFonts w:hint="default"/>
              </w:rPr>
            </w:pPr>
            <w:r>
              <w:rPr>
                <w:rFonts w:hint="default"/>
                <w:lang w:val="en-US" w:eastAsia="zh-CN"/>
              </w:rPr>
              <w:t>1</w:t>
            </w:r>
          </w:p>
        </w:tc>
      </w:tr>
      <w:tr w14:paraId="2EDD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CA9DBB">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BEAED1">
            <w:pPr>
              <w:pStyle w:val="43"/>
              <w:bidi w:val="0"/>
              <w:rPr>
                <w:rFonts w:hint="default"/>
              </w:rPr>
            </w:pPr>
            <w:r>
              <w:rPr>
                <w:rFonts w:hint="default"/>
                <w:lang w:val="en-US" w:eastAsia="zh-CN"/>
              </w:rPr>
              <w:t>输送皮带电机8</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593997">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F2A740">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BBF2F2">
            <w:pPr>
              <w:pStyle w:val="43"/>
              <w:bidi w:val="0"/>
              <w:rPr>
                <w:rFonts w:hint="default"/>
              </w:rPr>
            </w:pPr>
            <w:r>
              <w:rPr>
                <w:rFonts w:hint="default"/>
                <w:lang w:val="en-US" w:eastAsia="zh-CN"/>
              </w:rPr>
              <w:t>-319.45</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4B5918">
            <w:pPr>
              <w:pStyle w:val="43"/>
              <w:bidi w:val="0"/>
              <w:rPr>
                <w:rFonts w:hint="default"/>
              </w:rPr>
            </w:pPr>
            <w:r>
              <w:rPr>
                <w:rFonts w:hint="default"/>
                <w:lang w:val="en-US" w:eastAsia="zh-CN"/>
              </w:rPr>
              <w:t>-310.03</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55E69B">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953BC2">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1BAC56">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53B986">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0F227B">
            <w:pPr>
              <w:pStyle w:val="43"/>
              <w:bidi w:val="0"/>
              <w:rPr>
                <w:rFonts w:hint="default"/>
              </w:rPr>
            </w:pPr>
            <w:r>
              <w:rPr>
                <w:rFonts w:hint="default"/>
                <w:lang w:val="en-US" w:eastAsia="zh-CN"/>
              </w:rPr>
              <w:t>5.25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62CAF">
            <w:pPr>
              <w:pStyle w:val="43"/>
              <w:bidi w:val="0"/>
              <w:rPr>
                <w:rFonts w:hint="default"/>
              </w:rPr>
            </w:pPr>
            <w:r>
              <w:rPr>
                <w:rFonts w:hint="default"/>
                <w:lang w:val="en-US" w:eastAsia="zh-CN"/>
              </w:rPr>
              <w:t>58.95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EBE884">
            <w:pPr>
              <w:pStyle w:val="43"/>
              <w:bidi w:val="0"/>
              <w:rPr>
                <w:rFonts w:hint="default"/>
              </w:rPr>
            </w:pPr>
            <w:r>
              <w:rPr>
                <w:rFonts w:hint="default"/>
                <w:lang w:val="en-US" w:eastAsia="zh-CN"/>
              </w:rPr>
              <w:t>18.83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F7EEE5">
            <w:pPr>
              <w:pStyle w:val="43"/>
              <w:bidi w:val="0"/>
              <w:rPr>
                <w:rFonts w:hint="default"/>
              </w:rPr>
            </w:pPr>
            <w:r>
              <w:rPr>
                <w:rFonts w:hint="default"/>
                <w:lang w:val="en-US" w:eastAsia="zh-CN"/>
              </w:rPr>
              <w:t>33.08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27B9717">
            <w:pPr>
              <w:pStyle w:val="43"/>
              <w:bidi w:val="0"/>
              <w:rPr>
                <w:rFonts w:hint="default"/>
              </w:rPr>
            </w:pPr>
            <w:r>
              <w:rPr>
                <w:rFonts w:hint="default"/>
                <w:lang w:val="en-US" w:eastAsia="zh-CN"/>
              </w:rPr>
              <w:t>60.59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B0D4FF">
            <w:pPr>
              <w:pStyle w:val="43"/>
              <w:bidi w:val="0"/>
              <w:rPr>
                <w:rFonts w:hint="default"/>
              </w:rPr>
            </w:pPr>
            <w:r>
              <w:rPr>
                <w:rFonts w:hint="default"/>
                <w:lang w:val="en-US" w:eastAsia="zh-CN"/>
              </w:rPr>
              <w:t>39.59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AB3C04">
            <w:pPr>
              <w:pStyle w:val="43"/>
              <w:bidi w:val="0"/>
              <w:rPr>
                <w:rFonts w:hint="default"/>
              </w:rPr>
            </w:pPr>
            <w:r>
              <w:rPr>
                <w:rFonts w:hint="default"/>
                <w:lang w:val="en-US" w:eastAsia="zh-CN"/>
              </w:rPr>
              <w:t>49.50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FD8B76">
            <w:pPr>
              <w:pStyle w:val="43"/>
              <w:bidi w:val="0"/>
              <w:rPr>
                <w:rFonts w:hint="default"/>
              </w:rPr>
            </w:pPr>
            <w:r>
              <w:rPr>
                <w:rFonts w:hint="default"/>
                <w:lang w:val="en-US" w:eastAsia="zh-CN"/>
              </w:rPr>
              <w:t>44.61</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0810D8">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2B2EB7">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5D1756">
            <w:pPr>
              <w:pStyle w:val="43"/>
              <w:bidi w:val="0"/>
              <w:rPr>
                <w:rFonts w:hint="default"/>
              </w:rPr>
            </w:pPr>
            <w:r>
              <w:rPr>
                <w:rFonts w:hint="default"/>
                <w:lang w:val="en-US" w:eastAsia="zh-CN"/>
              </w:rPr>
              <w:t>33.08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736342">
            <w:pPr>
              <w:pStyle w:val="43"/>
              <w:bidi w:val="0"/>
              <w:rPr>
                <w:rFonts w:hint="default"/>
              </w:rPr>
            </w:pPr>
            <w:r>
              <w:rPr>
                <w:rFonts w:hint="default"/>
                <w:lang w:val="en-US" w:eastAsia="zh-CN"/>
              </w:rPr>
              <w:t>13.44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B8C5A89">
            <w:pPr>
              <w:pStyle w:val="43"/>
              <w:bidi w:val="0"/>
              <w:rPr>
                <w:rFonts w:hint="default"/>
              </w:rPr>
            </w:pPr>
            <w:r>
              <w:rPr>
                <w:rFonts w:hint="default"/>
                <w:lang w:val="en-US" w:eastAsia="zh-CN"/>
              </w:rPr>
              <w:t>23.05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218D58">
            <w:pPr>
              <w:pStyle w:val="43"/>
              <w:bidi w:val="0"/>
              <w:rPr>
                <w:rFonts w:hint="default"/>
              </w:rPr>
            </w:pPr>
            <w:r>
              <w:rPr>
                <w:rFonts w:hint="default"/>
                <w:lang w:val="en-US" w:eastAsia="zh-CN"/>
              </w:rPr>
              <w:t>18.35</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09FC40">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00D7A8">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87CD82">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D2362F">
            <w:pPr>
              <w:pStyle w:val="43"/>
              <w:bidi w:val="0"/>
              <w:rPr>
                <w:rFonts w:hint="default"/>
              </w:rPr>
            </w:pPr>
            <w:r>
              <w:rPr>
                <w:rFonts w:hint="default"/>
                <w:lang w:val="en-US" w:eastAsia="zh-CN"/>
              </w:rPr>
              <w:t>1</w:t>
            </w:r>
          </w:p>
        </w:tc>
      </w:tr>
      <w:tr w14:paraId="77D0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AB57CE">
            <w:pPr>
              <w:pStyle w:val="43"/>
              <w:bidi w:val="0"/>
              <w:rPr>
                <w:rFonts w:hint="default"/>
              </w:rPr>
            </w:pPr>
            <w:r>
              <w:rPr>
                <w:rFonts w:hint="default"/>
                <w:lang w:val="en-US" w:eastAsia="zh-CN"/>
              </w:rPr>
              <w:t>厂房2</w:t>
            </w:r>
          </w:p>
        </w:tc>
        <w:tc>
          <w:tcPr>
            <w:tcW w:w="28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1522F7">
            <w:pPr>
              <w:pStyle w:val="43"/>
              <w:bidi w:val="0"/>
              <w:rPr>
                <w:rFonts w:hint="default"/>
              </w:rPr>
            </w:pPr>
            <w:r>
              <w:rPr>
                <w:rFonts w:hint="default"/>
                <w:lang w:val="en-US" w:eastAsia="zh-CN"/>
              </w:rPr>
              <w:t>输送皮带电机9</w:t>
            </w:r>
          </w:p>
        </w:tc>
        <w:tc>
          <w:tcPr>
            <w:tcW w:w="32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76D003">
            <w:pPr>
              <w:pStyle w:val="43"/>
              <w:bidi w:val="0"/>
              <w:rPr>
                <w:rFonts w:hint="default"/>
              </w:rPr>
            </w:pPr>
            <w:r>
              <w:rPr>
                <w:rFonts w:hint="default"/>
                <w:lang w:val="en-US" w:eastAsia="zh-CN"/>
              </w:rPr>
              <w:t>YZX132M-4-7.5</w:t>
            </w:r>
            <w:r>
              <w:rPr>
                <w:rFonts w:hint="eastAsia"/>
                <w:lang w:val="en-US" w:eastAsia="zh-CN"/>
              </w:rPr>
              <w:t>kW</w:t>
            </w:r>
          </w:p>
        </w:tc>
        <w:tc>
          <w:tcPr>
            <w:tcW w:w="1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D408E1">
            <w:pPr>
              <w:pStyle w:val="43"/>
              <w:bidi w:val="0"/>
              <w:rPr>
                <w:rFonts w:hint="default"/>
              </w:rPr>
            </w:pPr>
            <w:r>
              <w:rPr>
                <w:rFonts w:hint="default"/>
                <w:lang w:val="en-US" w:eastAsia="zh-CN"/>
              </w:rPr>
              <w:t>1</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9F44A0">
            <w:pPr>
              <w:pStyle w:val="43"/>
              <w:bidi w:val="0"/>
              <w:rPr>
                <w:rFonts w:hint="default"/>
              </w:rPr>
            </w:pPr>
            <w:r>
              <w:rPr>
                <w:rFonts w:hint="default"/>
                <w:lang w:val="en-US" w:eastAsia="zh-CN"/>
              </w:rPr>
              <w:t>-318.29</w:t>
            </w:r>
          </w:p>
        </w:tc>
        <w:tc>
          <w:tcPr>
            <w:tcW w:w="167"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249514">
            <w:pPr>
              <w:pStyle w:val="43"/>
              <w:bidi w:val="0"/>
              <w:rPr>
                <w:rFonts w:hint="default"/>
              </w:rPr>
            </w:pPr>
            <w:r>
              <w:rPr>
                <w:rFonts w:hint="default"/>
                <w:lang w:val="en-US" w:eastAsia="zh-CN"/>
              </w:rPr>
              <w:t>-320.53</w:t>
            </w:r>
          </w:p>
        </w:tc>
        <w:tc>
          <w:tcPr>
            <w:tcW w:w="9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FFF829">
            <w:pPr>
              <w:pStyle w:val="43"/>
              <w:bidi w:val="0"/>
              <w:rPr>
                <w:rFonts w:hint="default"/>
              </w:rPr>
            </w:pPr>
            <w:r>
              <w:rPr>
                <w:rFonts w:hint="default"/>
                <w:lang w:val="en-US" w:eastAsia="zh-CN"/>
              </w:rPr>
              <w:t>1</w:t>
            </w:r>
          </w:p>
        </w:tc>
        <w:tc>
          <w:tcPr>
            <w:tcW w:w="3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4DDFF0">
            <w:pPr>
              <w:pStyle w:val="43"/>
              <w:bidi w:val="0"/>
              <w:rPr>
                <w:rFonts w:hint="default"/>
              </w:rPr>
            </w:pPr>
            <w:r>
              <w:rPr>
                <w:rFonts w:hint="default"/>
                <w:lang w:val="en-US" w:eastAsia="zh-CN"/>
              </w:rPr>
              <w:t>距离衰减、减震措施</w:t>
            </w:r>
          </w:p>
        </w:tc>
        <w:tc>
          <w:tcPr>
            <w:tcW w:w="24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50CB4D">
            <w:pPr>
              <w:pStyle w:val="43"/>
              <w:bidi w:val="0"/>
              <w:rPr>
                <w:rFonts w:hint="default"/>
              </w:rPr>
            </w:pPr>
            <w:r>
              <w:rPr>
                <w:rFonts w:hint="default"/>
                <w:lang w:val="en-US" w:eastAsia="zh-CN"/>
              </w:rPr>
              <w:t>75.00</w:t>
            </w:r>
          </w:p>
        </w:tc>
        <w:tc>
          <w:tcPr>
            <w:tcW w:w="25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CE07B7">
            <w:pPr>
              <w:pStyle w:val="43"/>
              <w:bidi w:val="0"/>
              <w:rPr>
                <w:rFonts w:hint="default"/>
              </w:rPr>
            </w:pPr>
            <w:r>
              <w:rPr>
                <w:rFonts w:hint="default"/>
                <w:lang w:val="en-US" w:eastAsia="zh-CN"/>
              </w:rPr>
              <w:t>1</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FE6644">
            <w:pPr>
              <w:pStyle w:val="43"/>
              <w:bidi w:val="0"/>
              <w:rPr>
                <w:rFonts w:hint="default"/>
              </w:rPr>
            </w:pPr>
            <w:r>
              <w:rPr>
                <w:rFonts w:hint="default"/>
                <w:lang w:val="en-US" w:eastAsia="zh-CN"/>
              </w:rPr>
              <w:t>4.09</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BEC7CB">
            <w:pPr>
              <w:pStyle w:val="43"/>
              <w:bidi w:val="0"/>
              <w:rPr>
                <w:rFonts w:hint="default"/>
              </w:rPr>
            </w:pPr>
            <w:r>
              <w:rPr>
                <w:rFonts w:hint="default"/>
                <w:lang w:val="en-US" w:eastAsia="zh-CN"/>
              </w:rPr>
              <w:t>48.55</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865632">
            <w:pPr>
              <w:pStyle w:val="43"/>
              <w:bidi w:val="0"/>
              <w:rPr>
                <w:rFonts w:hint="default"/>
              </w:rPr>
            </w:pPr>
            <w:r>
              <w:rPr>
                <w:rFonts w:hint="default"/>
                <w:lang w:val="en-US" w:eastAsia="zh-CN"/>
              </w:rPr>
              <w:t>21.34</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FFF04">
            <w:pPr>
              <w:pStyle w:val="43"/>
              <w:bidi w:val="0"/>
              <w:rPr>
                <w:rFonts w:hint="default"/>
              </w:rPr>
            </w:pPr>
            <w:r>
              <w:rPr>
                <w:rFonts w:hint="default"/>
                <w:lang w:val="en-US" w:eastAsia="zh-CN"/>
              </w:rPr>
              <w:t>43.53</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92E2F2">
            <w:pPr>
              <w:pStyle w:val="43"/>
              <w:bidi w:val="0"/>
              <w:rPr>
                <w:rFonts w:hint="default"/>
              </w:rPr>
            </w:pPr>
            <w:r>
              <w:rPr>
                <w:rFonts w:hint="default"/>
                <w:lang w:val="en-US" w:eastAsia="zh-CN"/>
              </w:rPr>
              <w:t>62.77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664EF3">
            <w:pPr>
              <w:pStyle w:val="43"/>
              <w:bidi w:val="0"/>
              <w:rPr>
                <w:rFonts w:hint="default"/>
              </w:rPr>
            </w:pPr>
            <w:r>
              <w:rPr>
                <w:rFonts w:hint="default"/>
                <w:lang w:val="en-US" w:eastAsia="zh-CN"/>
              </w:rPr>
              <w:t>41.28</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2740DD">
            <w:pPr>
              <w:pStyle w:val="43"/>
              <w:bidi w:val="0"/>
              <w:rPr>
                <w:rFonts w:hint="default"/>
              </w:rPr>
            </w:pPr>
            <w:r>
              <w:rPr>
                <w:rFonts w:hint="default"/>
                <w:lang w:val="en-US" w:eastAsia="zh-CN"/>
              </w:rPr>
              <w:t>48.42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A34C756">
            <w:pPr>
              <w:pStyle w:val="43"/>
              <w:bidi w:val="0"/>
              <w:rPr>
                <w:rFonts w:hint="default"/>
              </w:rPr>
            </w:pPr>
            <w:r>
              <w:rPr>
                <w:rFonts w:hint="default"/>
                <w:lang w:val="en-US" w:eastAsia="zh-CN"/>
              </w:rPr>
              <w:t>42.22</w:t>
            </w:r>
          </w:p>
        </w:tc>
        <w:tc>
          <w:tcPr>
            <w:tcW w:w="24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30CBF6">
            <w:pPr>
              <w:pStyle w:val="43"/>
              <w:bidi w:val="0"/>
              <w:rPr>
                <w:rFonts w:hint="default"/>
              </w:rPr>
            </w:pPr>
            <w:r>
              <w:rPr>
                <w:rFonts w:hint="default"/>
                <w:lang w:val="en-US" w:eastAsia="zh-CN"/>
              </w:rPr>
              <w:t>昼间</w:t>
            </w:r>
          </w:p>
        </w:tc>
        <w:tc>
          <w:tcPr>
            <w:tcW w:w="31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DAA53E">
            <w:pPr>
              <w:bidi w:val="0"/>
              <w:jc w:val="center"/>
              <w:rPr>
                <w:rFonts w:hint="default"/>
              </w:rPr>
            </w:pPr>
            <w:r>
              <w:rPr>
                <w:rFonts w:hint="eastAsia"/>
                <w:lang w:val="en-US" w:eastAsia="zh-CN"/>
              </w:rPr>
              <w:t>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E9C1E8">
            <w:pPr>
              <w:pStyle w:val="43"/>
              <w:bidi w:val="0"/>
              <w:rPr>
                <w:rFonts w:hint="default"/>
              </w:rPr>
            </w:pPr>
            <w:r>
              <w:rPr>
                <w:rFonts w:hint="default"/>
                <w:lang w:val="en-US" w:eastAsia="zh-CN"/>
              </w:rPr>
              <w:t>34.87</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2B8810">
            <w:pPr>
              <w:pStyle w:val="43"/>
              <w:bidi w:val="0"/>
              <w:rPr>
                <w:rFonts w:hint="default"/>
              </w:rPr>
            </w:pPr>
            <w:r>
              <w:rPr>
                <w:rFonts w:hint="default"/>
                <w:lang w:val="en-US" w:eastAsia="zh-CN"/>
              </w:rPr>
              <w:t>15.10</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9AF25E">
            <w:pPr>
              <w:pStyle w:val="43"/>
              <w:bidi w:val="0"/>
              <w:rPr>
                <w:rFonts w:hint="default"/>
              </w:rPr>
            </w:pPr>
            <w:r>
              <w:rPr>
                <w:rFonts w:hint="default"/>
                <w:lang w:val="en-US" w:eastAsia="zh-CN"/>
              </w:rPr>
              <w:t>22.02</w:t>
            </w:r>
          </w:p>
        </w:tc>
        <w:tc>
          <w:tcPr>
            <w:tcW w:w="14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15003A">
            <w:pPr>
              <w:pStyle w:val="43"/>
              <w:bidi w:val="0"/>
              <w:rPr>
                <w:rFonts w:hint="default"/>
              </w:rPr>
            </w:pPr>
            <w:r>
              <w:rPr>
                <w:rFonts w:hint="default"/>
                <w:lang w:val="en-US" w:eastAsia="zh-CN"/>
              </w:rPr>
              <w:t>16.03</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78ADBA">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BFC843">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1441DC">
            <w:pPr>
              <w:pStyle w:val="43"/>
              <w:bidi w:val="0"/>
              <w:rPr>
                <w:rFonts w:hint="default"/>
              </w:rPr>
            </w:pPr>
            <w:r>
              <w:rPr>
                <w:rFonts w:hint="default"/>
                <w:lang w:val="en-US" w:eastAsia="zh-CN"/>
              </w:rPr>
              <w:t>1</w:t>
            </w:r>
          </w:p>
        </w:tc>
        <w:tc>
          <w:tcPr>
            <w:tcW w:w="105"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625387">
            <w:pPr>
              <w:pStyle w:val="43"/>
              <w:bidi w:val="0"/>
              <w:rPr>
                <w:rFonts w:hint="default"/>
              </w:rPr>
            </w:pPr>
            <w:r>
              <w:rPr>
                <w:rFonts w:hint="default"/>
                <w:lang w:val="en-US" w:eastAsia="zh-CN"/>
              </w:rPr>
              <w:t>1</w:t>
            </w:r>
          </w:p>
        </w:tc>
      </w:tr>
    </w:tbl>
    <w:p w14:paraId="30BE5F56">
      <w:pPr>
        <w:pStyle w:val="41"/>
        <w:bidi w:val="0"/>
        <w:rPr>
          <w:rFonts w:hint="default"/>
          <w:lang w:val="en-US" w:eastAsia="zh-CN"/>
        </w:rPr>
        <w:sectPr>
          <w:pgSz w:w="16840" w:h="11907" w:orient="landscape"/>
          <w:pgMar w:top="1797" w:right="1440" w:bottom="1797" w:left="1440" w:header="851" w:footer="992" w:gutter="0"/>
          <w:pgBorders>
            <w:top w:val="none" w:sz="0" w:space="0"/>
            <w:left w:val="none" w:sz="0" w:space="0"/>
            <w:bottom w:val="none" w:sz="0" w:space="0"/>
            <w:right w:val="none" w:sz="0" w:space="0"/>
          </w:pgBorders>
          <w:pgNumType w:fmt="decimal"/>
          <w:cols w:space="720" w:num="1"/>
          <w:docGrid w:linePitch="312" w:charSpace="0"/>
        </w:sectPr>
      </w:pPr>
    </w:p>
    <w:p w14:paraId="7FB6922C">
      <w:pPr>
        <w:pStyle w:val="41"/>
        <w:bidi w:val="0"/>
        <w:rPr>
          <w:rFonts w:hint="default"/>
          <w:lang w:val="en-US" w:eastAsia="zh-CN"/>
        </w:rPr>
      </w:pPr>
      <w:r>
        <w:rPr>
          <w:rFonts w:hint="default"/>
          <w:lang w:val="en-US" w:eastAsia="zh-CN"/>
        </w:rPr>
        <w:t>2</w:t>
      </w:r>
      <w:r>
        <w:rPr>
          <w:rFonts w:hint="default"/>
          <w:lang w:eastAsia="zh-CN"/>
        </w:rPr>
        <w:t>）</w:t>
      </w:r>
      <w:r>
        <w:rPr>
          <w:rFonts w:hint="default"/>
        </w:rPr>
        <w:t>声环境保护目标</w:t>
      </w:r>
    </w:p>
    <w:p w14:paraId="0493AA62">
      <w:pPr>
        <w:pStyle w:val="41"/>
        <w:bidi w:val="0"/>
        <w:rPr>
          <w:rFonts w:hint="default"/>
          <w:lang w:val="en-US" w:eastAsia="zh-CN"/>
        </w:rPr>
      </w:pPr>
      <w:r>
        <w:rPr>
          <w:rFonts w:hint="default"/>
          <w:lang w:val="en-US" w:eastAsia="zh-CN"/>
        </w:rPr>
        <w:t>根据现场踏勘，</w:t>
      </w:r>
      <w:r>
        <w:rPr>
          <w:rFonts w:hint="eastAsia"/>
          <w:lang w:val="en-US" w:eastAsia="zh-CN"/>
        </w:rPr>
        <w:t>矿区及破碎站</w:t>
      </w:r>
      <w:r>
        <w:rPr>
          <w:rFonts w:hint="default"/>
          <w:lang w:val="en-US" w:eastAsia="zh-CN"/>
        </w:rPr>
        <w:t>周边200m范围内不存在声环境保护目标。</w:t>
      </w:r>
    </w:p>
    <w:p w14:paraId="58126F53">
      <w:pPr>
        <w:pStyle w:val="41"/>
        <w:bidi w:val="0"/>
        <w:rPr>
          <w:rFonts w:hint="default"/>
          <w:lang w:val="en-US" w:eastAsia="zh-CN"/>
        </w:rPr>
      </w:pPr>
      <w:r>
        <w:rPr>
          <w:rFonts w:hint="default"/>
          <w:lang w:val="en-US" w:eastAsia="zh-CN"/>
        </w:rPr>
        <w:t>3）预测范围和预测点</w:t>
      </w:r>
    </w:p>
    <w:p w14:paraId="04BA45CE">
      <w:pPr>
        <w:pStyle w:val="41"/>
        <w:bidi w:val="0"/>
        <w:rPr>
          <w:rFonts w:hint="default"/>
          <w:lang w:eastAsia="zh-CN"/>
        </w:rPr>
      </w:pPr>
      <w:r>
        <w:rPr>
          <w:rFonts w:hint="default"/>
        </w:rPr>
        <w:t>根据项目周边环境关系</w:t>
      </w:r>
      <w:r>
        <w:rPr>
          <w:rFonts w:hint="default"/>
          <w:lang w:eastAsia="zh-CN"/>
        </w:rPr>
        <w:t>，</w:t>
      </w:r>
      <w:r>
        <w:rPr>
          <w:rFonts w:hint="default"/>
        </w:rPr>
        <w:t>项目周边200m范围内</w:t>
      </w:r>
      <w:r>
        <w:rPr>
          <w:rFonts w:hint="default"/>
          <w:lang w:val="en-US" w:eastAsia="zh-CN"/>
        </w:rPr>
        <w:t>不存在敏感点</w:t>
      </w:r>
      <w:r>
        <w:rPr>
          <w:rFonts w:hint="default"/>
          <w:lang w:eastAsia="zh-CN"/>
        </w:rPr>
        <w:t>，</w:t>
      </w:r>
      <w:r>
        <w:rPr>
          <w:rFonts w:hint="default"/>
          <w:lang w:val="en-US" w:eastAsia="zh-CN"/>
        </w:rPr>
        <w:t>故</w:t>
      </w:r>
      <w:r>
        <w:rPr>
          <w:rFonts w:hint="default"/>
        </w:rPr>
        <w:t>本次评价对</w:t>
      </w:r>
      <w:r>
        <w:rPr>
          <w:rFonts w:hint="eastAsia"/>
          <w:lang w:val="en-US" w:eastAsia="zh-CN"/>
        </w:rPr>
        <w:t>项目区</w:t>
      </w:r>
      <w:r>
        <w:rPr>
          <w:rFonts w:hint="default"/>
        </w:rPr>
        <w:t>东、南、西、北四个</w:t>
      </w:r>
      <w:r>
        <w:rPr>
          <w:rFonts w:hint="default"/>
          <w:lang w:eastAsia="zh-CN"/>
        </w:rPr>
        <w:t>厂界</w:t>
      </w:r>
      <w:r>
        <w:rPr>
          <w:rFonts w:hint="default"/>
        </w:rPr>
        <w:t>噪声进行预测</w:t>
      </w:r>
      <w:r>
        <w:rPr>
          <w:rFonts w:hint="default"/>
          <w:lang w:eastAsia="zh-CN"/>
        </w:rPr>
        <w:t>，预测</w:t>
      </w:r>
      <w:r>
        <w:rPr>
          <w:rFonts w:hint="default"/>
          <w:lang w:val="en-US" w:eastAsia="zh-CN"/>
        </w:rPr>
        <w:t>项目</w:t>
      </w:r>
      <w:r>
        <w:rPr>
          <w:rFonts w:hint="default"/>
          <w:lang w:eastAsia="zh-CN"/>
        </w:rPr>
        <w:t>噪声贡献值进行达标分析。</w:t>
      </w:r>
    </w:p>
    <w:p w14:paraId="1D6FD04D">
      <w:pPr>
        <w:pStyle w:val="41"/>
        <w:bidi w:val="0"/>
        <w:rPr>
          <w:rFonts w:hint="default"/>
          <w:lang w:eastAsia="zh-CN"/>
        </w:rPr>
      </w:pPr>
      <w:r>
        <w:rPr>
          <w:rFonts w:hint="default"/>
          <w:lang w:val="en-US" w:eastAsia="zh-CN"/>
        </w:rPr>
        <w:t>4</w:t>
      </w:r>
      <w:r>
        <w:rPr>
          <w:rFonts w:hint="default"/>
          <w:lang w:eastAsia="zh-CN"/>
        </w:rPr>
        <w:t>）预测方法</w:t>
      </w:r>
    </w:p>
    <w:p w14:paraId="4A69FB96">
      <w:pPr>
        <w:pStyle w:val="41"/>
        <w:bidi w:val="0"/>
        <w:rPr>
          <w:rFonts w:hint="default"/>
        </w:rPr>
      </w:pPr>
      <w:r>
        <w:rPr>
          <w:rFonts w:hint="default"/>
        </w:rPr>
        <w:t>根据项目建设内容</w:t>
      </w:r>
      <w:r>
        <w:rPr>
          <w:rFonts w:hint="default"/>
          <w:lang w:eastAsia="zh-CN"/>
        </w:rPr>
        <w:t>，</w:t>
      </w:r>
      <w:r>
        <w:rPr>
          <w:rFonts w:hint="default"/>
        </w:rPr>
        <w:t>项目噪声评价采用模型为</w:t>
      </w:r>
      <w:r>
        <w:rPr>
          <w:rFonts w:hint="eastAsia"/>
          <w:lang w:eastAsia="zh-CN"/>
        </w:rPr>
        <w:t>《</w:t>
      </w:r>
      <w:r>
        <w:rPr>
          <w:rFonts w:hint="default"/>
        </w:rPr>
        <w:t>环境影响评价技术导则</w:t>
      </w:r>
      <w:r>
        <w:rPr>
          <w:rFonts w:hint="eastAsia"/>
          <w:lang w:val="en-US" w:eastAsia="zh-CN"/>
        </w:rPr>
        <w:t xml:space="preserve"> </w:t>
      </w:r>
      <w:r>
        <w:rPr>
          <w:rFonts w:hint="default"/>
        </w:rPr>
        <w:t>声环境》（HJ2.4</w:t>
      </w:r>
      <w:r>
        <w:rPr>
          <w:rFonts w:hint="default"/>
          <w:lang w:val="en-US" w:eastAsia="zh-CN"/>
        </w:rPr>
        <w:t>-</w:t>
      </w:r>
      <w:r>
        <w:rPr>
          <w:rFonts w:hint="default"/>
        </w:rPr>
        <w:t>2021）附录A（规范性附录）户外声传播的衰减和附录B（规范性附录）中</w:t>
      </w:r>
      <w:r>
        <w:rPr>
          <w:rFonts w:hint="eastAsia"/>
          <w:lang w:eastAsia="zh-CN"/>
        </w:rPr>
        <w:t>“</w:t>
      </w:r>
      <w:r>
        <w:rPr>
          <w:rFonts w:hint="default"/>
        </w:rPr>
        <w:t>B.1工业噪声预测计算模型</w:t>
      </w:r>
      <w:r>
        <w:rPr>
          <w:rFonts w:hint="eastAsia"/>
          <w:lang w:eastAsia="zh-CN"/>
        </w:rPr>
        <w:t>”</w:t>
      </w:r>
      <w:r>
        <w:rPr>
          <w:rFonts w:hint="default"/>
        </w:rPr>
        <w:t>。</w:t>
      </w:r>
    </w:p>
    <w:p w14:paraId="2BBD312E">
      <w:pPr>
        <w:pStyle w:val="41"/>
        <w:bidi w:val="0"/>
        <w:rPr>
          <w:rFonts w:hint="default"/>
          <w:lang w:eastAsia="zh-CN"/>
        </w:rPr>
      </w:pPr>
      <w:r>
        <w:rPr>
          <w:rFonts w:hint="default"/>
        </w:rPr>
        <w:t>根据</w:t>
      </w:r>
      <w:r>
        <w:rPr>
          <w:rFonts w:hint="eastAsia"/>
          <w:lang w:eastAsia="zh-CN"/>
        </w:rPr>
        <w:t>《</w:t>
      </w:r>
      <w:r>
        <w:rPr>
          <w:rFonts w:hint="default"/>
        </w:rPr>
        <w:t>环境影响评价技术导则声环境》（HJ2.4-2021）</w:t>
      </w:r>
      <w:r>
        <w:rPr>
          <w:rFonts w:hint="default"/>
          <w:lang w:eastAsia="zh-CN"/>
        </w:rPr>
        <w:t>，</w:t>
      </w:r>
      <w:r>
        <w:rPr>
          <w:rFonts w:hint="eastAsia"/>
          <w:lang w:val="en-US" w:eastAsia="zh-CN"/>
        </w:rPr>
        <w:t>破碎站</w:t>
      </w:r>
      <w:r>
        <w:rPr>
          <w:rFonts w:hint="default"/>
        </w:rPr>
        <w:t>声源</w:t>
      </w:r>
      <w:r>
        <w:rPr>
          <w:rFonts w:hint="eastAsia"/>
          <w:lang w:val="en-US" w:eastAsia="zh-CN"/>
        </w:rPr>
        <w:t>主要</w:t>
      </w:r>
      <w:r>
        <w:rPr>
          <w:rFonts w:hint="default"/>
        </w:rPr>
        <w:t>位于</w:t>
      </w:r>
      <w:r>
        <w:rPr>
          <w:rFonts w:hint="default"/>
          <w:lang w:val="en-US" w:eastAsia="zh-CN"/>
        </w:rPr>
        <w:t>钢制厂房内</w:t>
      </w:r>
      <w:r>
        <w:rPr>
          <w:rFonts w:hint="default"/>
          <w:lang w:eastAsia="zh-CN"/>
        </w:rPr>
        <w:t>，</w:t>
      </w:r>
      <w:r>
        <w:rPr>
          <w:rFonts w:hint="default"/>
        </w:rPr>
        <w:t>室内声源可采用等效室外声源声功率级法进行计算。</w:t>
      </w:r>
    </w:p>
    <w:p w14:paraId="18FF6574">
      <w:pPr>
        <w:pStyle w:val="41"/>
        <w:bidi w:val="0"/>
        <w:rPr>
          <w:rFonts w:hint="default"/>
        </w:rPr>
      </w:pPr>
      <w:r>
        <w:rPr>
          <w:rFonts w:hint="default"/>
        </w:rPr>
        <w:t>Lp2=Lp1－（TL+6）</w:t>
      </w:r>
    </w:p>
    <w:p w14:paraId="211C1869">
      <w:pPr>
        <w:pStyle w:val="41"/>
        <w:bidi w:val="0"/>
        <w:rPr>
          <w:rFonts w:hint="default"/>
          <w:lang w:eastAsia="zh-CN"/>
        </w:rPr>
      </w:pPr>
      <w:r>
        <w:rPr>
          <w:rFonts w:hint="default"/>
        </w:rPr>
        <w:t>式中：Lp1—靠近开口处（或窗户）室内某倍频带的声压级或A声级</w:t>
      </w:r>
      <w:r>
        <w:rPr>
          <w:rFonts w:hint="default"/>
          <w:lang w:eastAsia="zh-CN"/>
        </w:rPr>
        <w:t>，</w:t>
      </w:r>
      <w:r>
        <w:rPr>
          <w:rFonts w:hint="default"/>
        </w:rPr>
        <w:t>dB；</w:t>
      </w:r>
    </w:p>
    <w:p w14:paraId="29EC9767">
      <w:pPr>
        <w:pStyle w:val="41"/>
        <w:bidi w:val="0"/>
        <w:rPr>
          <w:rFonts w:hint="default"/>
          <w:lang w:eastAsia="zh-CN"/>
        </w:rPr>
      </w:pPr>
      <w:r>
        <w:rPr>
          <w:rFonts w:hint="default"/>
        </w:rPr>
        <w:t>Lp2—靠近开口处（或窗户）室外某倍频带的声压级或A声级</w:t>
      </w:r>
      <w:r>
        <w:rPr>
          <w:rFonts w:hint="default"/>
          <w:lang w:eastAsia="zh-CN"/>
        </w:rPr>
        <w:t>，</w:t>
      </w:r>
      <w:r>
        <w:rPr>
          <w:rFonts w:hint="default"/>
        </w:rPr>
        <w:t>dB；</w:t>
      </w:r>
    </w:p>
    <w:p w14:paraId="7F1DFC45">
      <w:pPr>
        <w:pStyle w:val="41"/>
        <w:bidi w:val="0"/>
        <w:rPr>
          <w:rFonts w:hint="default"/>
          <w:lang w:eastAsia="zh-CN"/>
        </w:rPr>
      </w:pPr>
      <w:r>
        <w:rPr>
          <w:rFonts w:hint="default"/>
        </w:rPr>
        <w:t>TL—隔墙（或窗户）倍频带或A声级的隔声量</w:t>
      </w:r>
      <w:r>
        <w:rPr>
          <w:rFonts w:hint="default"/>
          <w:lang w:eastAsia="zh-CN"/>
        </w:rPr>
        <w:t>，</w:t>
      </w:r>
      <w:r>
        <w:rPr>
          <w:rFonts w:hint="default"/>
        </w:rPr>
        <w:t>dB。</w:t>
      </w:r>
    </w:p>
    <w:p w14:paraId="3C6F3250">
      <w:pPr>
        <w:pStyle w:val="41"/>
        <w:bidi w:val="0"/>
        <w:rPr>
          <w:rFonts w:hint="default"/>
        </w:rPr>
      </w:pPr>
      <w:r>
        <w:rPr>
          <w:rFonts w:hint="default"/>
        </w:rPr>
        <w:t>设第i个室外声源在预测点产生的A声级为LAi</w:t>
      </w:r>
      <w:r>
        <w:rPr>
          <w:rFonts w:hint="default"/>
          <w:lang w:eastAsia="zh-CN"/>
        </w:rPr>
        <w:t>，</w:t>
      </w:r>
      <w:r>
        <w:rPr>
          <w:rFonts w:hint="default"/>
        </w:rPr>
        <w:t>在T时间内该声源工作时间为ti；第j个等效室外声源在预测点产生的A声级为LAj</w:t>
      </w:r>
      <w:r>
        <w:rPr>
          <w:rFonts w:hint="default"/>
          <w:lang w:eastAsia="zh-CN"/>
        </w:rPr>
        <w:t>，</w:t>
      </w:r>
      <w:r>
        <w:rPr>
          <w:rFonts w:hint="default"/>
        </w:rPr>
        <w:t>在T时间内该声源工作时间为tj</w:t>
      </w:r>
      <w:r>
        <w:rPr>
          <w:rFonts w:hint="default"/>
          <w:lang w:eastAsia="zh-CN"/>
        </w:rPr>
        <w:t>，</w:t>
      </w:r>
      <w:r>
        <w:rPr>
          <w:rFonts w:hint="default"/>
        </w:rPr>
        <w:t>则拟建工程声源对预测点产生的贡献值（Leqg）为：</w:t>
      </w:r>
    </w:p>
    <w:p w14:paraId="243F37F6">
      <w:pPr>
        <w:pStyle w:val="41"/>
        <w:bidi w:val="0"/>
        <w:rPr>
          <w:rFonts w:hint="default"/>
        </w:rPr>
      </w:pPr>
      <w:r>
        <w:rPr>
          <w:rFonts w:hint="default"/>
        </w:rPr>
        <w:drawing>
          <wp:inline distT="0" distB="0" distL="114300" distR="114300">
            <wp:extent cx="3554730" cy="690880"/>
            <wp:effectExtent l="0" t="0" r="11430" b="10160"/>
            <wp:docPr id="1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4"/>
                    <pic:cNvPicPr>
                      <a:picLocks noChangeAspect="1"/>
                    </pic:cNvPicPr>
                  </pic:nvPicPr>
                  <pic:blipFill>
                    <a:blip r:embed="rId39"/>
                    <a:srcRect t="11305" b="6221"/>
                    <a:stretch>
                      <a:fillRect/>
                    </a:stretch>
                  </pic:blipFill>
                  <pic:spPr>
                    <a:xfrm>
                      <a:off x="0" y="0"/>
                      <a:ext cx="3554730" cy="690880"/>
                    </a:xfrm>
                    <a:prstGeom prst="rect">
                      <a:avLst/>
                    </a:prstGeom>
                    <a:noFill/>
                    <a:ln>
                      <a:noFill/>
                    </a:ln>
                  </pic:spPr>
                </pic:pic>
              </a:graphicData>
            </a:graphic>
          </wp:inline>
        </w:drawing>
      </w:r>
    </w:p>
    <w:p w14:paraId="438D83A0">
      <w:pPr>
        <w:pStyle w:val="41"/>
        <w:bidi w:val="0"/>
        <w:rPr>
          <w:rFonts w:hint="default"/>
          <w:lang w:eastAsia="zh-CN"/>
        </w:rPr>
      </w:pPr>
      <w:r>
        <w:rPr>
          <w:rFonts w:hint="default"/>
        </w:rPr>
        <w:t>式中：Leqg——建设项目声源在预测点产生的噪声贡献值</w:t>
      </w:r>
      <w:r>
        <w:rPr>
          <w:rFonts w:hint="default"/>
          <w:lang w:eastAsia="zh-CN"/>
        </w:rPr>
        <w:t>，</w:t>
      </w:r>
      <w:r>
        <w:rPr>
          <w:rFonts w:hint="default"/>
        </w:rPr>
        <w:t>dB；</w:t>
      </w:r>
    </w:p>
    <w:p w14:paraId="61928C06">
      <w:pPr>
        <w:pStyle w:val="41"/>
        <w:bidi w:val="0"/>
        <w:rPr>
          <w:rFonts w:hint="default"/>
        </w:rPr>
      </w:pPr>
      <w:r>
        <w:rPr>
          <w:rFonts w:hint="default"/>
        </w:rPr>
        <w:t>T——用于计算等效声级的时间</w:t>
      </w:r>
      <w:r>
        <w:rPr>
          <w:rFonts w:hint="default"/>
          <w:lang w:eastAsia="zh-CN"/>
        </w:rPr>
        <w:t>，</w:t>
      </w:r>
      <w:r>
        <w:rPr>
          <w:rFonts w:hint="default"/>
        </w:rPr>
        <w:t>s；</w:t>
      </w:r>
    </w:p>
    <w:p w14:paraId="6DA61A10">
      <w:pPr>
        <w:pStyle w:val="41"/>
        <w:bidi w:val="0"/>
        <w:rPr>
          <w:rFonts w:hint="default"/>
        </w:rPr>
      </w:pPr>
      <w:r>
        <w:rPr>
          <w:rFonts w:hint="default"/>
        </w:rPr>
        <w:t>N——室外声源个数；</w:t>
      </w:r>
    </w:p>
    <w:p w14:paraId="55B84DB3">
      <w:pPr>
        <w:pStyle w:val="41"/>
        <w:bidi w:val="0"/>
        <w:rPr>
          <w:rFonts w:hint="default"/>
          <w:lang w:eastAsia="zh-CN"/>
        </w:rPr>
      </w:pPr>
      <w:r>
        <w:rPr>
          <w:rFonts w:hint="default"/>
        </w:rPr>
        <w:t>ti——在T时间内i声源工作时间</w:t>
      </w:r>
      <w:r>
        <w:rPr>
          <w:rFonts w:hint="default"/>
          <w:lang w:eastAsia="zh-CN"/>
        </w:rPr>
        <w:t>，</w:t>
      </w:r>
      <w:r>
        <w:rPr>
          <w:rFonts w:hint="default"/>
        </w:rPr>
        <w:t>s；</w:t>
      </w:r>
    </w:p>
    <w:p w14:paraId="20D1D174">
      <w:pPr>
        <w:pStyle w:val="41"/>
        <w:bidi w:val="0"/>
        <w:rPr>
          <w:rFonts w:hint="default"/>
          <w:lang w:eastAsia="zh-CN"/>
        </w:rPr>
      </w:pPr>
      <w:r>
        <w:rPr>
          <w:rFonts w:hint="default"/>
        </w:rPr>
        <w:t>m——等效室外声源个数；</w:t>
      </w:r>
    </w:p>
    <w:p w14:paraId="00928FD2">
      <w:pPr>
        <w:pStyle w:val="41"/>
        <w:bidi w:val="0"/>
        <w:rPr>
          <w:rFonts w:hint="default"/>
        </w:rPr>
      </w:pPr>
      <w:r>
        <w:rPr>
          <w:rFonts w:hint="default"/>
        </w:rPr>
        <w:t>tj——在T时间内j声源工作时间</w:t>
      </w:r>
      <w:r>
        <w:rPr>
          <w:rFonts w:hint="default"/>
          <w:lang w:eastAsia="zh-CN"/>
        </w:rPr>
        <w:t>，</w:t>
      </w:r>
      <w:r>
        <w:rPr>
          <w:rFonts w:hint="default"/>
        </w:rPr>
        <w:t>s。</w:t>
      </w:r>
    </w:p>
    <w:p w14:paraId="65D0C8D7">
      <w:pPr>
        <w:pStyle w:val="41"/>
        <w:bidi w:val="0"/>
        <w:rPr>
          <w:rFonts w:hint="default"/>
        </w:rPr>
      </w:pPr>
      <w:r>
        <w:rPr>
          <w:rFonts w:hint="default"/>
          <w:lang w:val="en-US" w:eastAsia="zh-CN"/>
        </w:rPr>
        <w:t>5</w:t>
      </w:r>
      <w:r>
        <w:rPr>
          <w:rFonts w:hint="default"/>
          <w:lang w:eastAsia="zh-CN"/>
        </w:rPr>
        <w:t>）</w:t>
      </w:r>
      <w:r>
        <w:rPr>
          <w:rFonts w:hint="default"/>
        </w:rPr>
        <w:t>厂界噪声预测结果</w:t>
      </w:r>
    </w:p>
    <w:p w14:paraId="6610666D">
      <w:pPr>
        <w:pStyle w:val="41"/>
        <w:bidi w:val="0"/>
        <w:rPr>
          <w:rFonts w:hint="default"/>
          <w:lang w:val="en-US" w:eastAsia="zh-CN"/>
        </w:rPr>
      </w:pPr>
      <w:r>
        <w:rPr>
          <w:rFonts w:hint="default"/>
          <w:lang w:val="en-US" w:eastAsia="zh-CN"/>
        </w:rPr>
        <w:t>项目夜间不生产，仅预测昼间厂界噪声，</w:t>
      </w:r>
      <w:r>
        <w:rPr>
          <w:rFonts w:hint="default"/>
        </w:rPr>
        <w:t>根据噪声</w:t>
      </w:r>
      <w:r>
        <w:rPr>
          <w:rFonts w:hint="default"/>
          <w:lang w:val="en-US" w:eastAsia="zh-CN"/>
        </w:rPr>
        <w:t>预测软件进行预测</w:t>
      </w:r>
      <w:r>
        <w:rPr>
          <w:rFonts w:hint="default"/>
          <w:lang w:eastAsia="zh-CN"/>
        </w:rPr>
        <w:t>，</w:t>
      </w:r>
      <w:r>
        <w:rPr>
          <w:rFonts w:hint="default"/>
          <w:lang w:val="en-US" w:eastAsia="zh-CN"/>
        </w:rPr>
        <w:t>项目昼间厂界噪声值如下表所示。</w:t>
      </w:r>
    </w:p>
    <w:p w14:paraId="145D643C">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eastAsia" w:ascii="Times New Roman" w:hAnsi="Times New Roman" w:cs="Times New Roman"/>
          <w:b/>
          <w:bCs/>
          <w:color w:val="000000" w:themeColor="text1"/>
          <w:highlight w:val="none"/>
          <w:lang w:val="en-US" w:eastAsia="zh-CN"/>
          <w14:textFill>
            <w14:solidFill>
              <w14:schemeClr w14:val="tx1"/>
            </w14:solidFill>
          </w14:textFill>
        </w:rPr>
        <w:t>5.4</w:t>
      </w:r>
      <w:r>
        <w:rPr>
          <w:rFonts w:hint="default" w:ascii="Times New Roman" w:hAnsi="Times New Roman" w:cs="Times New Roman"/>
          <w:b/>
          <w:bCs/>
          <w:color w:val="000000" w:themeColor="text1"/>
          <w:highlight w:val="none"/>
          <w:lang w:val="en-US" w:eastAsia="zh-CN"/>
          <w14:textFill>
            <w14:solidFill>
              <w14:schemeClr w14:val="tx1"/>
            </w14:solidFill>
          </w14:textFill>
        </w:rPr>
        <w:t>-2</w:t>
      </w:r>
      <w:r>
        <w:rPr>
          <w:rFonts w:hint="default" w:ascii="Times New Roman" w:hAnsi="Times New Roman" w:cs="Times New Roman"/>
          <w:b/>
          <w:bCs/>
          <w:color w:val="000000" w:themeColor="text1"/>
          <w:highlight w:val="none"/>
          <w14:textFill>
            <w14:solidFill>
              <w14:schemeClr w14:val="tx1"/>
            </w14:solidFill>
          </w14:textFill>
        </w:rPr>
        <w:t xml:space="preserve">  </w:t>
      </w:r>
      <w:r>
        <w:rPr>
          <w:rFonts w:hint="default" w:ascii="Times New Roman" w:hAnsi="Times New Roman" w:cs="Times New Roman"/>
          <w:b/>
          <w:bCs/>
          <w:color w:val="000000" w:themeColor="text1"/>
          <w:highlight w:val="none"/>
          <w:lang w:val="en-US" w:eastAsia="zh-CN"/>
          <w14:textFill>
            <w14:solidFill>
              <w14:schemeClr w14:val="tx1"/>
            </w14:solidFill>
          </w14:textFill>
        </w:rPr>
        <w:t>项目</w:t>
      </w:r>
      <w:r>
        <w:rPr>
          <w:rFonts w:hint="default" w:ascii="Times New Roman" w:hAnsi="Times New Roman" w:cs="Times New Roman"/>
          <w:b/>
          <w:bCs/>
          <w:color w:val="000000" w:themeColor="text1"/>
          <w:highlight w:val="none"/>
          <w14:textFill>
            <w14:solidFill>
              <w14:schemeClr w14:val="tx1"/>
            </w14:solidFill>
          </w14:textFill>
        </w:rPr>
        <w:t>厂界四周</w:t>
      </w:r>
      <w:r>
        <w:rPr>
          <w:rFonts w:hint="default" w:ascii="Times New Roman" w:hAnsi="Times New Roman" w:cs="Times New Roman"/>
          <w:b/>
          <w:bCs/>
          <w:color w:val="000000" w:themeColor="text1"/>
          <w:highlight w:val="none"/>
          <w:lang w:val="en-US" w:eastAsia="zh-CN"/>
          <w14:textFill>
            <w14:solidFill>
              <w14:schemeClr w14:val="tx1"/>
            </w14:solidFill>
          </w14:textFill>
        </w:rPr>
        <w:t>昼间</w:t>
      </w:r>
      <w:r>
        <w:rPr>
          <w:rFonts w:hint="default" w:ascii="Times New Roman" w:hAnsi="Times New Roman" w:cs="Times New Roman"/>
          <w:b/>
          <w:bCs/>
          <w:color w:val="000000" w:themeColor="text1"/>
          <w:highlight w:val="none"/>
          <w14:textFill>
            <w14:solidFill>
              <w14:schemeClr w14:val="tx1"/>
            </w14:solidFill>
          </w14:textFill>
        </w:rPr>
        <w:t>噪声预测值  单位：dB（A）</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268"/>
        <w:gridCol w:w="2418"/>
        <w:gridCol w:w="1627"/>
        <w:gridCol w:w="1949"/>
      </w:tblGrid>
      <w:tr w14:paraId="37F2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noWrap w:val="0"/>
            <w:vAlign w:val="center"/>
          </w:tcPr>
          <w:p w14:paraId="4C1521BF">
            <w:pPr>
              <w:pStyle w:val="43"/>
              <w:keepNext/>
              <w:keepLines w:val="0"/>
              <w:pageBreakBefore w:val="0"/>
              <w:widowControl/>
              <w:kinsoku/>
              <w:wordWrap/>
              <w:overflowPunct/>
              <w:topLinePunct w:val="0"/>
              <w:autoSpaceDE/>
              <w:autoSpaceDN/>
              <w:bidi w:val="0"/>
              <w:adjustRightInd/>
              <w:snapToGrid/>
              <w:textAlignment w:val="auto"/>
              <w:rPr>
                <w:rFonts w:hint="eastAsia"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区域</w:t>
            </w:r>
          </w:p>
        </w:tc>
        <w:tc>
          <w:tcPr>
            <w:tcW w:w="743" w:type="pct"/>
            <w:shd w:val="clear" w:color="auto" w:fill="auto"/>
            <w:noWrap w:val="0"/>
            <w:vAlign w:val="center"/>
          </w:tcPr>
          <w:p w14:paraId="22E8B66F">
            <w:pPr>
              <w:pStyle w:val="43"/>
              <w:keepNext/>
              <w:keepLines w:val="0"/>
              <w:pageBreakBefore w:val="0"/>
              <w:widowControl/>
              <w:kinsoku/>
              <w:wordWrap/>
              <w:overflowPunct/>
              <w:topLinePunct w:val="0"/>
              <w:autoSpaceDE/>
              <w:autoSpaceDN/>
              <w:bidi w:val="0"/>
              <w:adjustRightInd/>
              <w:snapToGrid/>
              <w:ind w:firstLine="0" w:firstLineChars="0"/>
              <w:textAlignment w:val="auto"/>
              <w:rPr>
                <w:rFonts w:hint="eastAsia"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eastAsia" w:cs="Times New Roman"/>
                <w:b/>
                <w:bCs/>
                <w:color w:val="000000" w:themeColor="text1"/>
                <w:sz w:val="21"/>
                <w:highlight w:val="none"/>
                <w:lang w:val="en-US" w:eastAsia="zh-CN"/>
                <w14:textFill>
                  <w14:solidFill>
                    <w14:schemeClr w14:val="tx1"/>
                  </w14:solidFill>
                </w14:textFill>
              </w:rPr>
              <w:t>预测点</w:t>
            </w:r>
          </w:p>
        </w:tc>
        <w:tc>
          <w:tcPr>
            <w:tcW w:w="1417" w:type="pct"/>
            <w:noWrap w:val="0"/>
            <w:vAlign w:val="center"/>
          </w:tcPr>
          <w:p w14:paraId="3AB2BEA3">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昼间</w:t>
            </w:r>
            <w:r>
              <w:rPr>
                <w:rFonts w:hint="default" w:ascii="Times New Roman" w:hAnsi="Times New Roman" w:cs="Times New Roman"/>
                <w:b/>
                <w:bCs/>
                <w:color w:val="000000" w:themeColor="text1"/>
                <w:highlight w:val="none"/>
                <w14:textFill>
                  <w14:solidFill>
                    <w14:schemeClr w14:val="tx1"/>
                  </w14:solidFill>
                </w14:textFill>
              </w:rPr>
              <w:t>贡献值</w:t>
            </w:r>
          </w:p>
        </w:tc>
        <w:tc>
          <w:tcPr>
            <w:tcW w:w="953" w:type="pct"/>
            <w:noWrap w:val="0"/>
            <w:vAlign w:val="center"/>
          </w:tcPr>
          <w:p w14:paraId="33492897">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lang w:val="en-US" w:eastAsia="zh-CN"/>
                <w14:textFill>
                  <w14:solidFill>
                    <w14:schemeClr w14:val="tx1"/>
                  </w14:solidFill>
                </w14:textFill>
              </w:rPr>
              <w:t>标准值</w:t>
            </w:r>
          </w:p>
        </w:tc>
        <w:tc>
          <w:tcPr>
            <w:tcW w:w="1142" w:type="pct"/>
            <w:noWrap w:val="0"/>
            <w:vAlign w:val="center"/>
          </w:tcPr>
          <w:p w14:paraId="730D306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达标情况</w:t>
            </w:r>
          </w:p>
        </w:tc>
      </w:tr>
      <w:tr w14:paraId="2C8C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restart"/>
            <w:noWrap w:val="0"/>
            <w:vAlign w:val="center"/>
          </w:tcPr>
          <w:p w14:paraId="6ADD171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项目区</w:t>
            </w:r>
          </w:p>
        </w:tc>
        <w:tc>
          <w:tcPr>
            <w:tcW w:w="743" w:type="pct"/>
            <w:shd w:val="clear" w:color="auto" w:fill="auto"/>
            <w:noWrap w:val="0"/>
            <w:vAlign w:val="center"/>
          </w:tcPr>
          <w:p w14:paraId="485A4615">
            <w:pPr>
              <w:pStyle w:val="43"/>
              <w:keepNext/>
              <w:keepLines w:val="0"/>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东厂界</w:t>
            </w:r>
          </w:p>
        </w:tc>
        <w:tc>
          <w:tcPr>
            <w:tcW w:w="1417" w:type="pct"/>
            <w:noWrap w:val="0"/>
            <w:vAlign w:val="center"/>
          </w:tcPr>
          <w:p w14:paraId="09DD39A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35.5</w:t>
            </w:r>
          </w:p>
        </w:tc>
        <w:tc>
          <w:tcPr>
            <w:tcW w:w="953" w:type="pct"/>
            <w:noWrap w:val="0"/>
            <w:vAlign w:val="center"/>
          </w:tcPr>
          <w:p w14:paraId="18FBF08A">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1142" w:type="pct"/>
            <w:noWrap w:val="0"/>
            <w:vAlign w:val="center"/>
          </w:tcPr>
          <w:p w14:paraId="67926671">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27A8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noWrap w:val="0"/>
            <w:vAlign w:val="center"/>
          </w:tcPr>
          <w:p w14:paraId="224745B3">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14:textFill>
                  <w14:solidFill>
                    <w14:schemeClr w14:val="tx1"/>
                  </w14:solidFill>
                </w14:textFill>
              </w:rPr>
            </w:pPr>
          </w:p>
        </w:tc>
        <w:tc>
          <w:tcPr>
            <w:tcW w:w="743" w:type="pct"/>
            <w:shd w:val="clear" w:color="auto" w:fill="auto"/>
            <w:noWrap w:val="0"/>
            <w:vAlign w:val="center"/>
          </w:tcPr>
          <w:p w14:paraId="229E9002">
            <w:pPr>
              <w:pStyle w:val="43"/>
              <w:keepNext/>
              <w:keepLines w:val="0"/>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南厂界</w:t>
            </w:r>
          </w:p>
        </w:tc>
        <w:tc>
          <w:tcPr>
            <w:tcW w:w="1417" w:type="pct"/>
            <w:noWrap w:val="0"/>
            <w:vAlign w:val="center"/>
          </w:tcPr>
          <w:p w14:paraId="4B95C743">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53.2</w:t>
            </w:r>
          </w:p>
        </w:tc>
        <w:tc>
          <w:tcPr>
            <w:tcW w:w="953" w:type="pct"/>
            <w:noWrap w:val="0"/>
            <w:vAlign w:val="center"/>
          </w:tcPr>
          <w:p w14:paraId="29600810">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1142" w:type="pct"/>
            <w:noWrap w:val="0"/>
            <w:vAlign w:val="center"/>
          </w:tcPr>
          <w:p w14:paraId="7179853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72A8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noWrap w:val="0"/>
            <w:vAlign w:val="center"/>
          </w:tcPr>
          <w:p w14:paraId="08A37C08">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14:textFill>
                  <w14:solidFill>
                    <w14:schemeClr w14:val="tx1"/>
                  </w14:solidFill>
                </w14:textFill>
              </w:rPr>
            </w:pPr>
          </w:p>
        </w:tc>
        <w:tc>
          <w:tcPr>
            <w:tcW w:w="743" w:type="pct"/>
            <w:shd w:val="clear" w:color="auto" w:fill="auto"/>
            <w:noWrap w:val="0"/>
            <w:vAlign w:val="center"/>
          </w:tcPr>
          <w:p w14:paraId="1C9605B0">
            <w:pPr>
              <w:pStyle w:val="43"/>
              <w:keepNext/>
              <w:keepLines w:val="0"/>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西厂界</w:t>
            </w:r>
          </w:p>
        </w:tc>
        <w:tc>
          <w:tcPr>
            <w:tcW w:w="1417" w:type="pct"/>
            <w:noWrap w:val="0"/>
            <w:vAlign w:val="center"/>
          </w:tcPr>
          <w:p w14:paraId="2CEA0F34">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lang w:val="en-US" w:eastAsia="zh-CN"/>
                <w14:textFill>
                  <w14:solidFill>
                    <w14:schemeClr w14:val="tx1"/>
                  </w14:solidFill>
                </w14:textFill>
              </w:rPr>
              <w:t>5.7</w:t>
            </w:r>
          </w:p>
        </w:tc>
        <w:tc>
          <w:tcPr>
            <w:tcW w:w="953" w:type="pct"/>
            <w:noWrap w:val="0"/>
            <w:vAlign w:val="center"/>
          </w:tcPr>
          <w:p w14:paraId="15745C0C">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1142" w:type="pct"/>
            <w:noWrap w:val="0"/>
            <w:vAlign w:val="center"/>
          </w:tcPr>
          <w:p w14:paraId="1A5675A3">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39DE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3" w:type="pct"/>
            <w:vMerge w:val="continue"/>
            <w:noWrap w:val="0"/>
            <w:vAlign w:val="center"/>
          </w:tcPr>
          <w:p w14:paraId="708FF421">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14:textFill>
                  <w14:solidFill>
                    <w14:schemeClr w14:val="tx1"/>
                  </w14:solidFill>
                </w14:textFill>
              </w:rPr>
            </w:pPr>
          </w:p>
        </w:tc>
        <w:tc>
          <w:tcPr>
            <w:tcW w:w="743" w:type="pct"/>
            <w:shd w:val="clear" w:color="auto" w:fill="auto"/>
            <w:noWrap w:val="0"/>
            <w:vAlign w:val="center"/>
          </w:tcPr>
          <w:p w14:paraId="602E1A55">
            <w:pPr>
              <w:pStyle w:val="43"/>
              <w:keepNext/>
              <w:keepLines w:val="0"/>
              <w:pageBreakBefore w:val="0"/>
              <w:widowControl/>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北厂界</w:t>
            </w:r>
          </w:p>
        </w:tc>
        <w:tc>
          <w:tcPr>
            <w:tcW w:w="1417" w:type="pct"/>
            <w:noWrap w:val="0"/>
            <w:vAlign w:val="center"/>
          </w:tcPr>
          <w:p w14:paraId="578B5FA6">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lang w:val="en-US" w:eastAsia="zh-CN"/>
                <w14:textFill>
                  <w14:solidFill>
                    <w14:schemeClr w14:val="tx1"/>
                  </w14:solidFill>
                </w14:textFill>
              </w:rPr>
              <w:t>8.4</w:t>
            </w:r>
          </w:p>
        </w:tc>
        <w:tc>
          <w:tcPr>
            <w:tcW w:w="953" w:type="pct"/>
            <w:noWrap w:val="0"/>
            <w:vAlign w:val="center"/>
          </w:tcPr>
          <w:p w14:paraId="0E0F4D14">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60</w:t>
            </w:r>
          </w:p>
        </w:tc>
        <w:tc>
          <w:tcPr>
            <w:tcW w:w="1142" w:type="pct"/>
            <w:noWrap w:val="0"/>
            <w:vAlign w:val="center"/>
          </w:tcPr>
          <w:p w14:paraId="460F28ED">
            <w:pPr>
              <w:pStyle w:val="43"/>
              <w:keepNext/>
              <w:keepLines w:val="0"/>
              <w:pageBreakBefore w:val="0"/>
              <w:widowControl/>
              <w:kinsoku/>
              <w:wordWrap/>
              <w:overflowPunct/>
              <w:topLinePunct w:val="0"/>
              <w:autoSpaceDE/>
              <w:autoSpaceDN/>
              <w:bidi w:val="0"/>
              <w:adjustRightInd/>
              <w:snapToGrid/>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bl>
    <w:p w14:paraId="5C66E79E">
      <w:pPr>
        <w:pStyle w:val="41"/>
        <w:bidi w:val="0"/>
        <w:rPr>
          <w:rFonts w:hint="default"/>
        </w:rPr>
      </w:pPr>
      <w:r>
        <w:rPr>
          <w:rFonts w:hint="default"/>
          <w:lang w:val="en-US" w:eastAsia="zh-CN"/>
        </w:rPr>
        <w:t>项目加工区</w:t>
      </w:r>
      <w:r>
        <w:rPr>
          <w:rFonts w:hint="eastAsia"/>
          <w:lang w:val="en-US" w:eastAsia="zh-CN"/>
        </w:rPr>
        <w:t>夜间不生产</w:t>
      </w:r>
      <w:r>
        <w:rPr>
          <w:rFonts w:hint="default"/>
          <w:lang w:val="en-US" w:eastAsia="zh-CN"/>
        </w:rPr>
        <w:t>，</w:t>
      </w:r>
      <w:r>
        <w:rPr>
          <w:rFonts w:hint="default"/>
        </w:rPr>
        <w:t>根据预测结果</w:t>
      </w:r>
      <w:r>
        <w:rPr>
          <w:rFonts w:hint="default"/>
          <w:lang w:eastAsia="zh-CN"/>
        </w:rPr>
        <w:t>，</w:t>
      </w:r>
      <w:r>
        <w:rPr>
          <w:rFonts w:hint="eastAsia"/>
          <w:lang w:val="en-US" w:eastAsia="zh-CN"/>
        </w:rPr>
        <w:t>露天场地、破碎站区域</w:t>
      </w:r>
      <w:r>
        <w:rPr>
          <w:rFonts w:hint="default"/>
        </w:rPr>
        <w:t>厂界噪声预测值可达到</w:t>
      </w:r>
      <w:r>
        <w:rPr>
          <w:rFonts w:hint="eastAsia"/>
          <w:lang w:eastAsia="zh-CN"/>
        </w:rPr>
        <w:t>《</w:t>
      </w:r>
      <w:r>
        <w:rPr>
          <w:rFonts w:hint="default"/>
        </w:rPr>
        <w:t>工业企业厂界环境噪声排放标准》（GB12348-2008）2类标准</w:t>
      </w:r>
      <w:r>
        <w:rPr>
          <w:rFonts w:hint="default"/>
          <w:lang w:eastAsia="zh-CN"/>
        </w:rPr>
        <w:t>，</w:t>
      </w:r>
      <w:r>
        <w:rPr>
          <w:rFonts w:hint="default"/>
        </w:rPr>
        <w:t>项目</w:t>
      </w:r>
      <w:r>
        <w:rPr>
          <w:rFonts w:hint="default"/>
          <w:lang w:val="en-US" w:eastAsia="zh-CN"/>
        </w:rPr>
        <w:t>200</w:t>
      </w:r>
      <w:r>
        <w:rPr>
          <w:rFonts w:hint="default"/>
        </w:rPr>
        <w:t>m范围内无声环境保护目标</w:t>
      </w:r>
      <w:r>
        <w:rPr>
          <w:rFonts w:hint="default"/>
          <w:lang w:eastAsia="zh-CN"/>
        </w:rPr>
        <w:t>，</w:t>
      </w:r>
      <w:r>
        <w:rPr>
          <w:rFonts w:hint="default"/>
        </w:rPr>
        <w:t>项目运营期</w:t>
      </w:r>
      <w:r>
        <w:rPr>
          <w:rFonts w:hint="default"/>
          <w:lang w:val="en-US" w:eastAsia="zh-CN"/>
        </w:rPr>
        <w:t>噪声</w:t>
      </w:r>
      <w:r>
        <w:rPr>
          <w:rFonts w:hint="default"/>
        </w:rPr>
        <w:t>对周围环境影响较小。</w:t>
      </w:r>
    </w:p>
    <w:p w14:paraId="30F92D0F">
      <w:pPr>
        <w:pStyle w:val="41"/>
        <w:bidi w:val="0"/>
        <w:rPr>
          <w:rFonts w:hint="default"/>
          <w:lang w:val="en-US" w:eastAsia="zh-CN"/>
        </w:rPr>
      </w:pPr>
      <w:r>
        <w:rPr>
          <w:rFonts w:hint="eastAsia"/>
          <w:lang w:eastAsia="zh-CN"/>
        </w:rPr>
        <w:t>（</w:t>
      </w:r>
      <w:r>
        <w:rPr>
          <w:rFonts w:hint="eastAsia"/>
          <w:lang w:val="en-US" w:eastAsia="zh-CN"/>
        </w:rPr>
        <w:t>4）噪声环境影响结论</w:t>
      </w:r>
    </w:p>
    <w:p w14:paraId="310C6175">
      <w:pPr>
        <w:pStyle w:val="41"/>
        <w:bidi w:val="0"/>
        <w:rPr>
          <w:rFonts w:hint="default"/>
        </w:rPr>
      </w:pPr>
      <w:r>
        <w:rPr>
          <w:rFonts w:hint="default"/>
        </w:rPr>
        <w:t>矿山爆破噪声及振动为瞬间突发，不涉及持续高噪声影响，</w:t>
      </w:r>
      <w:r>
        <w:rPr>
          <w:rFonts w:hint="eastAsia"/>
          <w:lang w:val="en-US" w:eastAsia="zh-CN"/>
        </w:rPr>
        <w:t>通过采取相关措施</w:t>
      </w:r>
      <w:r>
        <w:rPr>
          <w:rFonts w:hint="default"/>
        </w:rPr>
        <w:t>对周围声环境影响可接受；通过控制运输车辆匀速慢行，减少鸣笛等，运输车辆交通噪声对沿途村庄的影响较小；项目加工区夜间不生产，根据预测结果，露天场地、破碎站区域厂界噪声预测值昼夜间均可达到《工业企业厂界环境噪声排放标准》（GB12348-2008）2类标准，项目200m范围内无声环境保护目标，项目运营期噪声对周围环境影响较小。</w:t>
      </w:r>
    </w:p>
    <w:p w14:paraId="0B1E8FF7">
      <w:pPr>
        <w:pStyle w:val="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465" w:name="_Toc20015"/>
      <w:r>
        <w:rPr>
          <w:rFonts w:hint="default" w:ascii="Times New Roman" w:hAnsi="Times New Roman" w:cs="Times New Roman"/>
          <w:color w:val="000000" w:themeColor="text1"/>
          <w:highlight w:val="none"/>
          <w14:textFill>
            <w14:solidFill>
              <w14:schemeClr w14:val="tx1"/>
            </w14:solidFill>
          </w14:textFill>
        </w:rPr>
        <w:t>固体废物的影响分析</w:t>
      </w:r>
      <w:r>
        <w:rPr>
          <w:rFonts w:hint="eastAsia" w:cs="Times New Roman"/>
          <w:color w:val="000000" w:themeColor="text1"/>
          <w:highlight w:val="none"/>
          <w:lang w:val="en-US" w:eastAsia="zh-CN"/>
          <w14:textFill>
            <w14:solidFill>
              <w14:schemeClr w14:val="tx1"/>
            </w14:solidFill>
          </w14:textFill>
        </w:rPr>
        <w:t>与评价</w:t>
      </w:r>
      <w:bookmarkEnd w:id="465"/>
    </w:p>
    <w:p w14:paraId="12F3282D">
      <w:pPr>
        <w:pStyle w:val="4"/>
        <w:bidi w:val="0"/>
        <w:rPr>
          <w:rFonts w:hint="default" w:ascii="Times New Roman" w:hAnsi="Times New Roman" w:cs="Times New Roman"/>
          <w:color w:val="000000" w:themeColor="text1"/>
          <w:highlight w:val="none"/>
          <w14:textFill>
            <w14:solidFill>
              <w14:schemeClr w14:val="tx1"/>
            </w14:solidFill>
          </w14:textFill>
        </w:rPr>
      </w:pPr>
      <w:bookmarkStart w:id="466" w:name="_Toc16608"/>
      <w:r>
        <w:rPr>
          <w:rFonts w:hint="default" w:ascii="Times New Roman" w:hAnsi="Times New Roman" w:cs="Times New Roman"/>
          <w:color w:val="000000" w:themeColor="text1"/>
          <w:highlight w:val="none"/>
          <w14:textFill>
            <w14:solidFill>
              <w14:schemeClr w14:val="tx1"/>
            </w14:solidFill>
          </w14:textFill>
        </w:rPr>
        <w:t>施工期</w:t>
      </w:r>
      <w:bookmarkEnd w:id="466"/>
      <w:r>
        <w:rPr>
          <w:rFonts w:hint="eastAsia" w:ascii="Times New Roman" w:hAnsi="Times New Roman" w:cs="Times New Roman"/>
          <w:color w:val="000000" w:themeColor="text1"/>
          <w:highlight w:val="none"/>
          <w:lang w:val="en-US" w:eastAsia="zh-CN"/>
          <w14:textFill>
            <w14:solidFill>
              <w14:schemeClr w14:val="tx1"/>
            </w14:solidFill>
          </w14:textFill>
        </w:rPr>
        <w:t>固废影响</w:t>
      </w:r>
    </w:p>
    <w:p w14:paraId="060B17BD">
      <w:pPr>
        <w:pStyle w:val="41"/>
        <w:ind w:firstLine="480"/>
        <w:rPr>
          <w:color w:val="auto"/>
          <w:highlight w:val="none"/>
        </w:rPr>
      </w:pPr>
      <w:r>
        <w:rPr>
          <w:color w:val="auto"/>
          <w:highlight w:val="none"/>
        </w:rPr>
        <w:t>施工期项目固体废弃物主要是</w:t>
      </w:r>
      <w:r>
        <w:rPr>
          <w:rFonts w:hint="eastAsia"/>
          <w:color w:val="auto"/>
          <w:highlight w:val="none"/>
        </w:rPr>
        <w:t>设备包装</w:t>
      </w:r>
      <w:r>
        <w:rPr>
          <w:color w:val="auto"/>
          <w:highlight w:val="none"/>
        </w:rPr>
        <w:t>，另外还有少量施工人员的生活垃圾。</w:t>
      </w:r>
    </w:p>
    <w:p w14:paraId="527F41DE">
      <w:pPr>
        <w:pStyle w:val="41"/>
        <w:ind w:firstLine="482"/>
        <w:rPr>
          <w:b/>
          <w:bCs/>
          <w:color w:val="auto"/>
          <w:highlight w:val="none"/>
        </w:rPr>
      </w:pPr>
      <w:r>
        <w:rPr>
          <w:rFonts w:hint="eastAsia"/>
          <w:b/>
          <w:bCs/>
          <w:color w:val="auto"/>
          <w:highlight w:val="none"/>
        </w:rPr>
        <w:t>1）废包装</w:t>
      </w:r>
    </w:p>
    <w:p w14:paraId="61CA60FF">
      <w:pPr>
        <w:pStyle w:val="41"/>
        <w:bidi w:val="0"/>
        <w:rPr>
          <w:rFonts w:hint="eastAsia"/>
        </w:rPr>
      </w:pPr>
      <w:r>
        <w:rPr>
          <w:rFonts w:hint="eastAsia"/>
        </w:rPr>
        <w:t>项目施工</w:t>
      </w:r>
      <w:r>
        <w:rPr>
          <w:rFonts w:hint="eastAsia"/>
          <w:lang w:eastAsia="zh-CN"/>
        </w:rPr>
        <w:t>期间</w:t>
      </w:r>
      <w:r>
        <w:rPr>
          <w:rFonts w:hint="eastAsia"/>
        </w:rPr>
        <w:t>主要进行设备安装，施工工</w:t>
      </w:r>
      <w:r>
        <w:rPr>
          <w:rFonts w:hint="eastAsia"/>
          <w:lang w:eastAsia="zh-CN"/>
        </w:rPr>
        <w:t>程中</w:t>
      </w:r>
      <w:r>
        <w:rPr>
          <w:rFonts w:hint="eastAsia"/>
        </w:rPr>
        <w:t>会产生部分废包装箱、废包装袋等，</w:t>
      </w:r>
      <w:r>
        <w:t>集中收集</w:t>
      </w:r>
      <w:r>
        <w:rPr>
          <w:rFonts w:hint="eastAsia"/>
        </w:rPr>
        <w:t>后出售给</w:t>
      </w:r>
      <w:r>
        <w:rPr>
          <w:rFonts w:hint="eastAsia"/>
          <w:lang w:val="en-US" w:eastAsia="zh-CN"/>
        </w:rPr>
        <w:t>废品回收站</w:t>
      </w:r>
      <w:r>
        <w:rPr>
          <w:rFonts w:hint="eastAsia"/>
        </w:rPr>
        <w:t>。</w:t>
      </w:r>
    </w:p>
    <w:p w14:paraId="5FF247FF">
      <w:pPr>
        <w:pStyle w:val="41"/>
        <w:bidi w:val="0"/>
        <w:rPr>
          <w:rFonts w:hint="eastAsia"/>
          <w:b/>
          <w:bCs/>
          <w:lang w:val="en-US" w:eastAsia="zh-CN"/>
        </w:rPr>
      </w:pPr>
      <w:r>
        <w:rPr>
          <w:rFonts w:hint="eastAsia"/>
          <w:b/>
          <w:bCs/>
          <w:lang w:val="en-US" w:eastAsia="zh-CN"/>
        </w:rPr>
        <w:t>2）废旧设备</w:t>
      </w:r>
    </w:p>
    <w:p w14:paraId="2D8E2D95">
      <w:pPr>
        <w:pStyle w:val="41"/>
        <w:bidi w:val="0"/>
        <w:rPr>
          <w:rFonts w:hint="default"/>
          <w:lang w:val="en-US" w:eastAsia="zh-CN"/>
        </w:rPr>
      </w:pPr>
      <w:r>
        <w:rPr>
          <w:rFonts w:hint="eastAsia"/>
          <w:lang w:val="en-US" w:eastAsia="zh-CN"/>
        </w:rPr>
        <w:t>项目拆除的旧设备外售处置。</w:t>
      </w:r>
    </w:p>
    <w:p w14:paraId="36902DD7">
      <w:pPr>
        <w:pStyle w:val="41"/>
        <w:ind w:firstLine="482"/>
        <w:rPr>
          <w:b/>
          <w:bCs/>
          <w:color w:val="auto"/>
          <w:highlight w:val="none"/>
        </w:rPr>
      </w:pPr>
      <w:r>
        <w:rPr>
          <w:rFonts w:hint="eastAsia"/>
          <w:b/>
          <w:bCs/>
          <w:color w:val="auto"/>
          <w:highlight w:val="none"/>
          <w:lang w:val="en-US" w:eastAsia="zh-CN"/>
        </w:rPr>
        <w:t>3</w:t>
      </w:r>
      <w:r>
        <w:rPr>
          <w:b/>
          <w:bCs/>
          <w:color w:val="auto"/>
          <w:highlight w:val="none"/>
        </w:rPr>
        <w:t>）生活垃圾</w:t>
      </w:r>
    </w:p>
    <w:p w14:paraId="1E8BFD4F">
      <w:pPr>
        <w:pStyle w:val="41"/>
        <w:bidi w:val="0"/>
      </w:pPr>
      <w:r>
        <w:t>项目施工人员产生的生活垃圾按每人0.2kg/d，平均以</w:t>
      </w:r>
      <w:r>
        <w:rPr>
          <w:rFonts w:hint="eastAsia"/>
          <w:lang w:val="en-US" w:eastAsia="zh-CN"/>
        </w:rPr>
        <w:t>10</w:t>
      </w:r>
      <w:r>
        <w:t>人/d计，产生量约为2kg/d。项目设置生活垃圾集中堆放点，委托当地环卫部门进行清运处理。</w:t>
      </w:r>
    </w:p>
    <w:p w14:paraId="4D470384">
      <w:pPr>
        <w:pStyle w:val="41"/>
        <w:bidi w:val="0"/>
        <w:rPr>
          <w:rFonts w:hint="default"/>
          <w:lang w:val="en-US" w:eastAsia="zh-CN"/>
        </w:rPr>
      </w:pPr>
      <w:r>
        <w:rPr>
          <w:rFonts w:hint="eastAsia"/>
          <w:lang w:val="en-US" w:eastAsia="zh-CN"/>
        </w:rPr>
        <w:t>项目施工期固废能得到100%处置，对周围环境影响较小。</w:t>
      </w:r>
    </w:p>
    <w:p w14:paraId="1D63D54D">
      <w:pPr>
        <w:pStyle w:val="4"/>
        <w:bidi w:val="0"/>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运营期固废影响</w:t>
      </w:r>
    </w:p>
    <w:p w14:paraId="1A7285BA">
      <w:pPr>
        <w:pStyle w:val="41"/>
        <w:bidi w:val="0"/>
        <w:rPr>
          <w:rFonts w:hint="default"/>
          <w:b/>
          <w:bCs/>
          <w:lang w:val="en-US" w:eastAsia="zh-CN"/>
        </w:rPr>
      </w:pPr>
      <w:r>
        <w:rPr>
          <w:rFonts w:hint="eastAsia"/>
          <w:b/>
          <w:bCs/>
          <w:lang w:val="en-US" w:eastAsia="zh-CN"/>
        </w:rPr>
        <w:t>（1）固体废物的种类、数量及处置情况</w:t>
      </w:r>
    </w:p>
    <w:p w14:paraId="1ABA9C00">
      <w:pPr>
        <w:pStyle w:val="41"/>
        <w:bidi w:val="0"/>
        <w:rPr>
          <w:rFonts w:hint="eastAsia"/>
          <w:lang w:eastAsia="zh-CN"/>
        </w:rPr>
      </w:pPr>
      <w:r>
        <w:t>根据工程分析，项目运营期固废产生及处置情况见下表</w:t>
      </w:r>
      <w:r>
        <w:rPr>
          <w:rFonts w:hint="eastAsia"/>
          <w:lang w:eastAsia="zh-CN"/>
        </w:rPr>
        <w:t>：</w:t>
      </w:r>
    </w:p>
    <w:p w14:paraId="3E2ECD1E">
      <w:pPr>
        <w:pStyle w:val="45"/>
        <w:bidi w:val="0"/>
        <w:rPr>
          <w:rFonts w:hint="default"/>
          <w:lang w:val="en-US" w:eastAsia="zh-CN"/>
        </w:rPr>
      </w:pPr>
      <w:r>
        <w:rPr>
          <w:rFonts w:hint="eastAsia"/>
          <w:lang w:val="en-US" w:eastAsia="zh-CN"/>
        </w:rPr>
        <w:t>表6.5-1项目固体废物产排情况表</w:t>
      </w:r>
    </w:p>
    <w:tbl>
      <w:tblPr>
        <w:tblStyle w:val="34"/>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702"/>
        <w:gridCol w:w="591"/>
        <w:gridCol w:w="575"/>
        <w:gridCol w:w="449"/>
        <w:gridCol w:w="620"/>
        <w:gridCol w:w="677"/>
        <w:gridCol w:w="714"/>
        <w:gridCol w:w="748"/>
        <w:gridCol w:w="1318"/>
        <w:gridCol w:w="679"/>
        <w:gridCol w:w="680"/>
      </w:tblGrid>
      <w:tr w14:paraId="4BC8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1056" w:type="dxa"/>
            <w:noWrap w:val="0"/>
            <w:vAlign w:val="center"/>
          </w:tcPr>
          <w:p w14:paraId="5F409714">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废物名称</w:t>
            </w:r>
          </w:p>
        </w:tc>
        <w:tc>
          <w:tcPr>
            <w:tcW w:w="1177" w:type="dxa"/>
            <w:noWrap w:val="0"/>
            <w:vAlign w:val="center"/>
          </w:tcPr>
          <w:p w14:paraId="595B9343">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产污环节</w:t>
            </w:r>
          </w:p>
        </w:tc>
        <w:tc>
          <w:tcPr>
            <w:tcW w:w="991" w:type="dxa"/>
            <w:noWrap w:val="0"/>
            <w:vAlign w:val="center"/>
          </w:tcPr>
          <w:p w14:paraId="5A5918BD">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产量t/a</w:t>
            </w:r>
          </w:p>
        </w:tc>
        <w:tc>
          <w:tcPr>
            <w:tcW w:w="965" w:type="dxa"/>
            <w:noWrap w:val="0"/>
            <w:vAlign w:val="center"/>
          </w:tcPr>
          <w:p w14:paraId="3BA2743F">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主要有毒有害物质</w:t>
            </w:r>
          </w:p>
        </w:tc>
        <w:tc>
          <w:tcPr>
            <w:tcW w:w="753" w:type="dxa"/>
            <w:noWrap w:val="0"/>
            <w:vAlign w:val="center"/>
          </w:tcPr>
          <w:p w14:paraId="4DE44908">
            <w:pPr>
              <w:pStyle w:val="43"/>
              <w:bidi w:val="0"/>
              <w:rPr>
                <w:rFonts w:hint="default"/>
                <w:b/>
                <w:bCs/>
                <w:color w:val="000000" w:themeColor="text1"/>
                <w:highlight w:val="none"/>
                <w:lang w:val="zh-CN"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物理形态</w:t>
            </w:r>
          </w:p>
        </w:tc>
        <w:tc>
          <w:tcPr>
            <w:tcW w:w="1039" w:type="dxa"/>
            <w:noWrap w:val="0"/>
            <w:vAlign w:val="center"/>
          </w:tcPr>
          <w:p w14:paraId="6EE45237">
            <w:pPr>
              <w:pStyle w:val="43"/>
              <w:bidi w:val="0"/>
              <w:rPr>
                <w:rFonts w:hint="default"/>
                <w:b/>
                <w:bCs/>
                <w:color w:val="000000" w:themeColor="text1"/>
                <w:highlight w:val="none"/>
                <w:lang w:val="zh-CN"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危险特性</w:t>
            </w:r>
          </w:p>
        </w:tc>
        <w:tc>
          <w:tcPr>
            <w:tcW w:w="1135" w:type="dxa"/>
            <w:noWrap w:val="0"/>
            <w:vAlign w:val="center"/>
          </w:tcPr>
          <w:p w14:paraId="2D7B2E7D">
            <w:pPr>
              <w:pStyle w:val="43"/>
              <w:bidi w:val="0"/>
              <w:rPr>
                <w:rFonts w:hint="default"/>
                <w:b/>
                <w:bCs/>
                <w:color w:val="000000" w:themeColor="text1"/>
                <w:highlight w:val="none"/>
                <w:lang w:val="zh-CN"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废物种类</w:t>
            </w:r>
          </w:p>
        </w:tc>
        <w:tc>
          <w:tcPr>
            <w:tcW w:w="1197" w:type="dxa"/>
            <w:noWrap w:val="0"/>
            <w:vAlign w:val="center"/>
          </w:tcPr>
          <w:p w14:paraId="54F8C1A8">
            <w:pPr>
              <w:pStyle w:val="43"/>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废物代码</w:t>
            </w:r>
          </w:p>
        </w:tc>
        <w:tc>
          <w:tcPr>
            <w:tcW w:w="1254" w:type="dxa"/>
            <w:noWrap w:val="0"/>
            <w:vAlign w:val="center"/>
          </w:tcPr>
          <w:p w14:paraId="55C61DC9">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储存方式</w:t>
            </w:r>
          </w:p>
        </w:tc>
        <w:tc>
          <w:tcPr>
            <w:tcW w:w="2212" w:type="dxa"/>
            <w:noWrap w:val="0"/>
            <w:vAlign w:val="center"/>
          </w:tcPr>
          <w:p w14:paraId="7D5748B0">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利用处置方式和去向</w:t>
            </w:r>
          </w:p>
        </w:tc>
        <w:tc>
          <w:tcPr>
            <w:tcW w:w="1139" w:type="dxa"/>
            <w:noWrap w:val="0"/>
            <w:vAlign w:val="center"/>
          </w:tcPr>
          <w:p w14:paraId="4D974F1B">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利用或处置量（t/a）</w:t>
            </w:r>
          </w:p>
        </w:tc>
        <w:tc>
          <w:tcPr>
            <w:tcW w:w="1140" w:type="dxa"/>
            <w:noWrap w:val="0"/>
            <w:vAlign w:val="center"/>
          </w:tcPr>
          <w:p w14:paraId="6D7C78A0">
            <w:pPr>
              <w:pStyle w:val="43"/>
              <w:bidi w:val="0"/>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环境管理要求</w:t>
            </w:r>
          </w:p>
        </w:tc>
      </w:tr>
      <w:tr w14:paraId="4C55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5AA90D44">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废土石</w:t>
            </w:r>
          </w:p>
        </w:tc>
        <w:tc>
          <w:tcPr>
            <w:tcW w:w="1177" w:type="dxa"/>
            <w:noWrap w:val="0"/>
            <w:vAlign w:val="center"/>
          </w:tcPr>
          <w:p w14:paraId="05BBBD1E">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表土剥离</w:t>
            </w:r>
          </w:p>
        </w:tc>
        <w:tc>
          <w:tcPr>
            <w:tcW w:w="991" w:type="dxa"/>
            <w:noWrap w:val="0"/>
            <w:vAlign w:val="center"/>
          </w:tcPr>
          <w:p w14:paraId="2B6E02BE">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5850</w:t>
            </w:r>
          </w:p>
        </w:tc>
        <w:tc>
          <w:tcPr>
            <w:tcW w:w="965" w:type="dxa"/>
            <w:shd w:val="clear" w:color="auto" w:fill="auto"/>
            <w:noWrap w:val="0"/>
            <w:vAlign w:val="center"/>
          </w:tcPr>
          <w:p w14:paraId="41D66BD7">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shd w:val="clear" w:color="auto" w:fill="auto"/>
            <w:noWrap w:val="0"/>
            <w:vAlign w:val="center"/>
          </w:tcPr>
          <w:p w14:paraId="09AA9675">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76774DC6">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noWrap w:val="0"/>
            <w:vAlign w:val="center"/>
          </w:tcPr>
          <w:p w14:paraId="0E8546C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SW05尾矿</w:t>
            </w:r>
          </w:p>
        </w:tc>
        <w:tc>
          <w:tcPr>
            <w:tcW w:w="1197" w:type="dxa"/>
            <w:noWrap w:val="0"/>
            <w:vAlign w:val="center"/>
          </w:tcPr>
          <w:p w14:paraId="4D231A9C">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900-099-S05</w:t>
            </w:r>
          </w:p>
        </w:tc>
        <w:tc>
          <w:tcPr>
            <w:tcW w:w="1254" w:type="dxa"/>
            <w:noWrap w:val="0"/>
            <w:vAlign w:val="center"/>
          </w:tcPr>
          <w:p w14:paraId="6E1682C9">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表土堆场</w:t>
            </w:r>
          </w:p>
        </w:tc>
        <w:tc>
          <w:tcPr>
            <w:tcW w:w="2212" w:type="dxa"/>
            <w:noWrap w:val="0"/>
            <w:vAlign w:val="center"/>
          </w:tcPr>
          <w:p w14:paraId="6378C510">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表土收存于表土堆场，闭矿复垦用作绿化覆土</w:t>
            </w:r>
          </w:p>
        </w:tc>
        <w:tc>
          <w:tcPr>
            <w:tcW w:w="1139" w:type="dxa"/>
            <w:shd w:val="clear" w:color="auto" w:fill="auto"/>
            <w:noWrap w:val="0"/>
            <w:vAlign w:val="center"/>
          </w:tcPr>
          <w:p w14:paraId="7FE9BB8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5850</w:t>
            </w:r>
          </w:p>
        </w:tc>
        <w:tc>
          <w:tcPr>
            <w:tcW w:w="1140" w:type="dxa"/>
            <w:noWrap w:val="0"/>
            <w:vAlign w:val="center"/>
          </w:tcPr>
          <w:p w14:paraId="4C89CD9F">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1BA6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shd w:val="clear" w:color="auto" w:fill="auto"/>
            <w:noWrap w:val="0"/>
            <w:vAlign w:val="center"/>
          </w:tcPr>
          <w:p w14:paraId="1A3DF9FD">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除尘系统收集粉尘</w:t>
            </w:r>
          </w:p>
        </w:tc>
        <w:tc>
          <w:tcPr>
            <w:tcW w:w="1177" w:type="dxa"/>
            <w:shd w:val="clear" w:color="auto" w:fill="auto"/>
            <w:noWrap w:val="0"/>
            <w:vAlign w:val="center"/>
          </w:tcPr>
          <w:p w14:paraId="1A1D5323">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布袋除尘器</w:t>
            </w:r>
          </w:p>
        </w:tc>
        <w:tc>
          <w:tcPr>
            <w:tcW w:w="991" w:type="dxa"/>
            <w:shd w:val="clear" w:color="auto" w:fill="auto"/>
            <w:noWrap w:val="0"/>
            <w:vAlign w:val="center"/>
          </w:tcPr>
          <w:p w14:paraId="27280F9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240</w:t>
            </w:r>
          </w:p>
        </w:tc>
        <w:tc>
          <w:tcPr>
            <w:tcW w:w="965" w:type="dxa"/>
            <w:shd w:val="clear" w:color="auto" w:fill="auto"/>
            <w:noWrap w:val="0"/>
            <w:vAlign w:val="center"/>
          </w:tcPr>
          <w:p w14:paraId="4227ECBA">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753" w:type="dxa"/>
            <w:shd w:val="clear" w:color="auto" w:fill="auto"/>
            <w:noWrap w:val="0"/>
            <w:vAlign w:val="center"/>
          </w:tcPr>
          <w:p w14:paraId="2A713984">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固态</w:t>
            </w:r>
          </w:p>
        </w:tc>
        <w:tc>
          <w:tcPr>
            <w:tcW w:w="1039" w:type="dxa"/>
            <w:shd w:val="clear" w:color="auto" w:fill="auto"/>
            <w:noWrap w:val="0"/>
            <w:vAlign w:val="center"/>
          </w:tcPr>
          <w:p w14:paraId="058066AD">
            <w:pPr>
              <w:pStyle w:val="43"/>
              <w:bidi w:val="0"/>
              <w:rPr>
                <w:rFonts w:hint="default"/>
                <w:color w:val="000000" w:themeColor="text1"/>
                <w:highlight w:val="none"/>
                <w:lang w:val="en-US" w:eastAsia="zh-CN"/>
                <w14:textFill>
                  <w14:solidFill>
                    <w14:schemeClr w14:val="tx1"/>
                  </w14:solidFill>
                </w14:textFill>
              </w:rPr>
            </w:pPr>
          </w:p>
        </w:tc>
        <w:tc>
          <w:tcPr>
            <w:tcW w:w="1135" w:type="dxa"/>
            <w:shd w:val="clear" w:color="auto" w:fill="auto"/>
            <w:noWrap w:val="0"/>
            <w:vAlign w:val="center"/>
          </w:tcPr>
          <w:p w14:paraId="62AC312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SW17可再生类废物</w:t>
            </w:r>
          </w:p>
        </w:tc>
        <w:tc>
          <w:tcPr>
            <w:tcW w:w="1197" w:type="dxa"/>
            <w:shd w:val="clear" w:color="auto" w:fill="auto"/>
            <w:noWrap w:val="0"/>
            <w:vAlign w:val="center"/>
          </w:tcPr>
          <w:p w14:paraId="5271EC86">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900-099-S17</w:t>
            </w:r>
          </w:p>
        </w:tc>
        <w:tc>
          <w:tcPr>
            <w:tcW w:w="1254" w:type="dxa"/>
            <w:shd w:val="clear" w:color="auto" w:fill="auto"/>
            <w:noWrap w:val="0"/>
            <w:vAlign w:val="center"/>
          </w:tcPr>
          <w:p w14:paraId="7AB37307">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系统自带储灰罐</w:t>
            </w:r>
          </w:p>
        </w:tc>
        <w:tc>
          <w:tcPr>
            <w:tcW w:w="2212" w:type="dxa"/>
            <w:shd w:val="clear" w:color="auto" w:fill="auto"/>
            <w:noWrap w:val="0"/>
            <w:vAlign w:val="center"/>
          </w:tcPr>
          <w:p w14:paraId="1572F956">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收集后回掺项目制砂后外售。</w:t>
            </w:r>
          </w:p>
        </w:tc>
        <w:tc>
          <w:tcPr>
            <w:tcW w:w="1139" w:type="dxa"/>
            <w:shd w:val="clear" w:color="auto" w:fill="auto"/>
            <w:noWrap w:val="0"/>
            <w:vAlign w:val="center"/>
          </w:tcPr>
          <w:p w14:paraId="6546A91B">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425.7</w:t>
            </w:r>
          </w:p>
        </w:tc>
        <w:tc>
          <w:tcPr>
            <w:tcW w:w="1140" w:type="dxa"/>
            <w:shd w:val="clear" w:color="auto" w:fill="auto"/>
            <w:noWrap w:val="0"/>
            <w:vAlign w:val="center"/>
          </w:tcPr>
          <w:p w14:paraId="7B6DDDB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4680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2F6ECC35">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14:textFill>
                  <w14:solidFill>
                    <w14:schemeClr w14:val="tx1"/>
                  </w14:solidFill>
                </w14:textFill>
              </w:rPr>
              <w:t>生活垃圾</w:t>
            </w:r>
          </w:p>
        </w:tc>
        <w:tc>
          <w:tcPr>
            <w:tcW w:w="1177" w:type="dxa"/>
            <w:noWrap w:val="0"/>
            <w:vAlign w:val="center"/>
          </w:tcPr>
          <w:p w14:paraId="34A51633">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员工生活</w:t>
            </w:r>
          </w:p>
        </w:tc>
        <w:tc>
          <w:tcPr>
            <w:tcW w:w="991" w:type="dxa"/>
            <w:noWrap w:val="0"/>
            <w:vAlign w:val="center"/>
          </w:tcPr>
          <w:p w14:paraId="5BF24C76">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4.2</w:t>
            </w:r>
          </w:p>
        </w:tc>
        <w:tc>
          <w:tcPr>
            <w:tcW w:w="965" w:type="dxa"/>
            <w:noWrap w:val="0"/>
            <w:vAlign w:val="center"/>
          </w:tcPr>
          <w:p w14:paraId="3BC75666">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noWrap w:val="0"/>
            <w:vAlign w:val="center"/>
          </w:tcPr>
          <w:p w14:paraId="031D84C7">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5365929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noWrap w:val="0"/>
            <w:vAlign w:val="center"/>
          </w:tcPr>
          <w:p w14:paraId="548F070D">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SW64其他垃圾</w:t>
            </w:r>
          </w:p>
        </w:tc>
        <w:tc>
          <w:tcPr>
            <w:tcW w:w="1197" w:type="dxa"/>
            <w:noWrap w:val="0"/>
            <w:vAlign w:val="center"/>
          </w:tcPr>
          <w:p w14:paraId="0B019BE2">
            <w:pPr>
              <w:pStyle w:val="43"/>
              <w:bidi w:val="0"/>
              <w:rPr>
                <w:rFonts w:hint="default"/>
                <w:color w:val="000000" w:themeColor="text1"/>
                <w:highlight w:val="none"/>
                <w:lang w:val="zh-CN"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900-0</w:t>
            </w:r>
            <w:r>
              <w:rPr>
                <w:rFonts w:hint="eastAsia"/>
                <w:color w:val="000000" w:themeColor="text1"/>
                <w:highlight w:val="none"/>
                <w:lang w:val="en-US" w:eastAsia="zh-CN"/>
                <w14:textFill>
                  <w14:solidFill>
                    <w14:schemeClr w14:val="tx1"/>
                  </w14:solidFill>
                </w14:textFill>
              </w:rPr>
              <w:t>99</w:t>
            </w:r>
            <w:r>
              <w:rPr>
                <w:rFonts w:hint="default"/>
                <w:color w:val="000000" w:themeColor="text1"/>
                <w:highlight w:val="none"/>
                <w:lang w:val="en-US" w:eastAsia="zh-CN"/>
                <w14:textFill>
                  <w14:solidFill>
                    <w14:schemeClr w14:val="tx1"/>
                  </w14:solidFill>
                </w14:textFill>
              </w:rPr>
              <w:t>-S64</w:t>
            </w:r>
          </w:p>
        </w:tc>
        <w:tc>
          <w:tcPr>
            <w:tcW w:w="1254" w:type="dxa"/>
            <w:noWrap w:val="0"/>
            <w:vAlign w:val="center"/>
          </w:tcPr>
          <w:p w14:paraId="4B0386A2">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生活垃圾桶</w:t>
            </w:r>
          </w:p>
        </w:tc>
        <w:tc>
          <w:tcPr>
            <w:tcW w:w="2212" w:type="dxa"/>
            <w:noWrap w:val="0"/>
            <w:vAlign w:val="center"/>
          </w:tcPr>
          <w:p w14:paraId="4E439969">
            <w:pPr>
              <w:pStyle w:val="43"/>
              <w:bidi w:val="0"/>
              <w:rPr>
                <w:rFonts w:hint="default" w:eastAsia="宋体"/>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与电石厂生活垃圾一同处置。</w:t>
            </w:r>
          </w:p>
        </w:tc>
        <w:tc>
          <w:tcPr>
            <w:tcW w:w="1139" w:type="dxa"/>
            <w:shd w:val="clear" w:color="auto" w:fill="auto"/>
            <w:noWrap w:val="0"/>
            <w:vAlign w:val="center"/>
          </w:tcPr>
          <w:p w14:paraId="25FCB9F2">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8.7</w:t>
            </w:r>
          </w:p>
        </w:tc>
        <w:tc>
          <w:tcPr>
            <w:tcW w:w="1140" w:type="dxa"/>
            <w:noWrap w:val="0"/>
            <w:vAlign w:val="center"/>
          </w:tcPr>
          <w:p w14:paraId="60D4A94F">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3312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056" w:type="dxa"/>
            <w:noWrap w:val="0"/>
            <w:vAlign w:val="center"/>
          </w:tcPr>
          <w:p w14:paraId="35E6E937">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底泥</w:t>
            </w:r>
          </w:p>
        </w:tc>
        <w:tc>
          <w:tcPr>
            <w:tcW w:w="1177" w:type="dxa"/>
            <w:noWrap w:val="0"/>
            <w:vAlign w:val="center"/>
          </w:tcPr>
          <w:p w14:paraId="2FAE90D5">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初期雨水沉淀</w:t>
            </w:r>
          </w:p>
        </w:tc>
        <w:tc>
          <w:tcPr>
            <w:tcW w:w="991" w:type="dxa"/>
            <w:noWrap w:val="0"/>
            <w:vAlign w:val="center"/>
          </w:tcPr>
          <w:p w14:paraId="576F21CC">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40</w:t>
            </w:r>
          </w:p>
        </w:tc>
        <w:tc>
          <w:tcPr>
            <w:tcW w:w="965" w:type="dxa"/>
            <w:noWrap w:val="0"/>
            <w:vAlign w:val="center"/>
          </w:tcPr>
          <w:p w14:paraId="52A15CFB">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753" w:type="dxa"/>
            <w:noWrap w:val="0"/>
            <w:vAlign w:val="center"/>
          </w:tcPr>
          <w:p w14:paraId="62B82A6D">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固态</w:t>
            </w:r>
          </w:p>
        </w:tc>
        <w:tc>
          <w:tcPr>
            <w:tcW w:w="1039" w:type="dxa"/>
            <w:noWrap w:val="0"/>
            <w:vAlign w:val="center"/>
          </w:tcPr>
          <w:p w14:paraId="0C95E265">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w:t>
            </w:r>
          </w:p>
        </w:tc>
        <w:tc>
          <w:tcPr>
            <w:tcW w:w="1135" w:type="dxa"/>
            <w:shd w:val="clear" w:color="auto" w:fill="auto"/>
            <w:noWrap w:val="0"/>
            <w:vAlign w:val="center"/>
          </w:tcPr>
          <w:p w14:paraId="3BCC7AEE">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SW64其他垃圾</w:t>
            </w:r>
          </w:p>
        </w:tc>
        <w:tc>
          <w:tcPr>
            <w:tcW w:w="1197" w:type="dxa"/>
            <w:shd w:val="clear" w:color="auto" w:fill="auto"/>
            <w:noWrap w:val="0"/>
            <w:vAlign w:val="center"/>
          </w:tcPr>
          <w:p w14:paraId="00C763C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w:t>
            </w:r>
            <w:r>
              <w:rPr>
                <w:rFonts w:hint="eastAsia"/>
                <w:color w:val="000000" w:themeColor="text1"/>
                <w:highlight w:val="none"/>
                <w:lang w:val="en-US" w:eastAsia="zh-CN"/>
                <w14:textFill>
                  <w14:solidFill>
                    <w14:schemeClr w14:val="tx1"/>
                  </w14:solidFill>
                </w14:textFill>
              </w:rPr>
              <w:t>002</w:t>
            </w:r>
            <w:r>
              <w:rPr>
                <w:rFonts w:hint="default"/>
                <w:color w:val="000000" w:themeColor="text1"/>
                <w:highlight w:val="none"/>
                <w:lang w:val="en-US" w:eastAsia="zh-CN"/>
                <w14:textFill>
                  <w14:solidFill>
                    <w14:schemeClr w14:val="tx1"/>
                  </w14:solidFill>
                </w14:textFill>
              </w:rPr>
              <w:t>-S64</w:t>
            </w:r>
          </w:p>
        </w:tc>
        <w:tc>
          <w:tcPr>
            <w:tcW w:w="1254" w:type="dxa"/>
            <w:noWrap w:val="0"/>
            <w:vAlign w:val="center"/>
          </w:tcPr>
          <w:p w14:paraId="5321A752">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c>
          <w:tcPr>
            <w:tcW w:w="2212" w:type="dxa"/>
            <w:noWrap w:val="0"/>
            <w:vAlign w:val="center"/>
          </w:tcPr>
          <w:p w14:paraId="43F96D17">
            <w:pPr>
              <w:pStyle w:val="43"/>
              <w:bidi w:val="0"/>
              <w:rPr>
                <w:rFonts w:hint="eastAsia" w:eastAsia="宋体"/>
                <w:color w:val="000000" w:themeColor="text1"/>
                <w:highlight w:val="none"/>
                <w:lang w:val="en-US" w:eastAsia="zh-CN"/>
                <w14:textFill>
                  <w14:solidFill>
                    <w14:schemeClr w14:val="tx1"/>
                  </w14:solidFill>
                </w14:textFill>
              </w:rPr>
            </w:pPr>
            <w:r>
              <w:rPr>
                <w:rFonts w:hint="eastAsia"/>
              </w:rPr>
              <w:t>定期清掏后，用作项目场区低洼处回填</w:t>
            </w:r>
            <w:r>
              <w:rPr>
                <w:rFonts w:hint="eastAsia"/>
                <w:lang w:eastAsia="zh-CN"/>
              </w:rPr>
              <w:t>。</w:t>
            </w:r>
          </w:p>
        </w:tc>
        <w:tc>
          <w:tcPr>
            <w:tcW w:w="1139" w:type="dxa"/>
            <w:shd w:val="clear" w:color="auto" w:fill="auto"/>
            <w:noWrap w:val="0"/>
            <w:vAlign w:val="center"/>
          </w:tcPr>
          <w:p w14:paraId="3F8EB1F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0.24</w:t>
            </w:r>
          </w:p>
        </w:tc>
        <w:tc>
          <w:tcPr>
            <w:tcW w:w="1140" w:type="dxa"/>
            <w:noWrap w:val="0"/>
            <w:vAlign w:val="center"/>
          </w:tcPr>
          <w:p w14:paraId="262A2F1A">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r w14:paraId="22BB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9" w:hRule="atLeast"/>
          <w:jc w:val="center"/>
        </w:trPr>
        <w:tc>
          <w:tcPr>
            <w:tcW w:w="1056" w:type="dxa"/>
            <w:noWrap w:val="0"/>
            <w:vAlign w:val="center"/>
          </w:tcPr>
          <w:p w14:paraId="73DFDB5B">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机修废物</w:t>
            </w:r>
          </w:p>
        </w:tc>
        <w:tc>
          <w:tcPr>
            <w:tcW w:w="1177" w:type="dxa"/>
            <w:noWrap w:val="0"/>
            <w:vAlign w:val="center"/>
          </w:tcPr>
          <w:p w14:paraId="0ED720DC">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设备维修</w:t>
            </w:r>
          </w:p>
        </w:tc>
        <w:tc>
          <w:tcPr>
            <w:tcW w:w="991" w:type="dxa"/>
            <w:noWrap w:val="0"/>
            <w:vAlign w:val="center"/>
          </w:tcPr>
          <w:p w14:paraId="2A1D672D">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0.1</w:t>
            </w:r>
          </w:p>
        </w:tc>
        <w:tc>
          <w:tcPr>
            <w:tcW w:w="965" w:type="dxa"/>
            <w:noWrap w:val="0"/>
            <w:vAlign w:val="center"/>
          </w:tcPr>
          <w:p w14:paraId="38C0AC13">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含废矿物油</w:t>
            </w:r>
          </w:p>
        </w:tc>
        <w:tc>
          <w:tcPr>
            <w:tcW w:w="753" w:type="dxa"/>
            <w:noWrap w:val="0"/>
            <w:vAlign w:val="center"/>
          </w:tcPr>
          <w:p w14:paraId="26C72B28">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固态</w:t>
            </w:r>
          </w:p>
        </w:tc>
        <w:tc>
          <w:tcPr>
            <w:tcW w:w="1039" w:type="dxa"/>
            <w:noWrap w:val="0"/>
            <w:vAlign w:val="center"/>
          </w:tcPr>
          <w:p w14:paraId="554D20A5">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T</w:t>
            </w:r>
            <w:r>
              <w:rPr>
                <w:rFonts w:hint="eastAsia"/>
                <w:color w:val="000000" w:themeColor="text1"/>
                <w:highlight w:val="none"/>
                <w:lang w:val="en-US" w:eastAsia="zh-CN"/>
                <w14:textFill>
                  <w14:solidFill>
                    <w14:schemeClr w14:val="tx1"/>
                  </w14:solidFill>
                </w14:textFill>
              </w:rPr>
              <w:t xml:space="preserve">, </w:t>
            </w:r>
            <w:r>
              <w:rPr>
                <w:rFonts w:hint="default"/>
                <w:color w:val="000000" w:themeColor="text1"/>
                <w:highlight w:val="none"/>
                <w:lang w:val="en-US" w:eastAsia="zh-CN"/>
                <w14:textFill>
                  <w14:solidFill>
                    <w14:schemeClr w14:val="tx1"/>
                  </w14:solidFill>
                </w14:textFill>
              </w:rPr>
              <w:t>I</w:t>
            </w:r>
          </w:p>
        </w:tc>
        <w:tc>
          <w:tcPr>
            <w:tcW w:w="1135" w:type="dxa"/>
            <w:noWrap w:val="0"/>
            <w:vAlign w:val="center"/>
          </w:tcPr>
          <w:p w14:paraId="743A6D54">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HW08废矿物油与含矿物油废物</w:t>
            </w:r>
          </w:p>
        </w:tc>
        <w:tc>
          <w:tcPr>
            <w:tcW w:w="1197" w:type="dxa"/>
            <w:noWrap w:val="0"/>
            <w:vAlign w:val="center"/>
          </w:tcPr>
          <w:p w14:paraId="41C891EB">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900-214-08</w:t>
            </w:r>
          </w:p>
        </w:tc>
        <w:tc>
          <w:tcPr>
            <w:tcW w:w="1254" w:type="dxa"/>
            <w:shd w:val="clear" w:color="auto" w:fill="auto"/>
            <w:noWrap w:val="0"/>
            <w:vAlign w:val="center"/>
          </w:tcPr>
          <w:p w14:paraId="27B828BF">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桶装，危废间暂存</w:t>
            </w:r>
          </w:p>
        </w:tc>
        <w:tc>
          <w:tcPr>
            <w:tcW w:w="2212" w:type="dxa"/>
            <w:shd w:val="clear" w:color="auto" w:fill="auto"/>
            <w:noWrap w:val="0"/>
            <w:vAlign w:val="center"/>
          </w:tcPr>
          <w:p w14:paraId="19D87E4A">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14:textFill>
                  <w14:solidFill>
                    <w14:schemeClr w14:val="tx1"/>
                  </w14:solidFill>
                </w14:textFill>
              </w:rPr>
              <w:t>委托</w:t>
            </w:r>
            <w:r>
              <w:rPr>
                <w:rFonts w:hint="default"/>
                <w:color w:val="000000" w:themeColor="text1"/>
                <w:highlight w:val="none"/>
                <w:lang w:val="en-US" w:eastAsia="zh-CN"/>
                <w14:textFill>
                  <w14:solidFill>
                    <w14:schemeClr w14:val="tx1"/>
                  </w14:solidFill>
                </w14:textFill>
              </w:rPr>
              <w:t>有资质的单位清运</w:t>
            </w:r>
            <w:r>
              <w:rPr>
                <w:rFonts w:hint="default"/>
                <w:color w:val="000000" w:themeColor="text1"/>
                <w:highlight w:val="none"/>
                <w14:textFill>
                  <w14:solidFill>
                    <w14:schemeClr w14:val="tx1"/>
                  </w14:solidFill>
                </w14:textFill>
              </w:rPr>
              <w:t>处理</w:t>
            </w:r>
          </w:p>
        </w:tc>
        <w:tc>
          <w:tcPr>
            <w:tcW w:w="1139" w:type="dxa"/>
            <w:shd w:val="clear" w:color="auto" w:fill="auto"/>
            <w:noWrap w:val="0"/>
            <w:vAlign w:val="center"/>
          </w:tcPr>
          <w:p w14:paraId="3656BCAC">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0.1</w:t>
            </w:r>
          </w:p>
        </w:tc>
        <w:tc>
          <w:tcPr>
            <w:tcW w:w="1140" w:type="dxa"/>
            <w:shd w:val="clear" w:color="auto" w:fill="auto"/>
            <w:noWrap w:val="0"/>
            <w:vAlign w:val="center"/>
          </w:tcPr>
          <w:p w14:paraId="40956ED8">
            <w:pPr>
              <w:pStyle w:val="43"/>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100%处置</w:t>
            </w:r>
          </w:p>
        </w:tc>
      </w:tr>
    </w:tbl>
    <w:p w14:paraId="372C2D47">
      <w:pPr>
        <w:pStyle w:val="41"/>
        <w:bidi w:val="0"/>
        <w:rPr>
          <w:rFonts w:hint="eastAsia"/>
          <w:lang w:val="en-US" w:eastAsia="zh-CN"/>
        </w:rPr>
      </w:pPr>
      <w:r>
        <w:t>从上表可以看出，本项目产生的危险固废和一般固废均得到合理有效处置，处置方式均可行，处理率达100%</w:t>
      </w:r>
      <w:r>
        <w:rPr>
          <w:rFonts w:hint="eastAsia"/>
          <w:lang w:eastAsia="zh-CN"/>
        </w:rPr>
        <w:t>。</w:t>
      </w:r>
    </w:p>
    <w:p w14:paraId="0F5DFBB1">
      <w:pPr>
        <w:pStyle w:val="41"/>
        <w:bidi w:val="0"/>
        <w:rPr>
          <w:rFonts w:hint="default"/>
          <w:b/>
          <w:bCs/>
          <w:lang w:val="en-US" w:eastAsia="zh-CN"/>
        </w:rPr>
      </w:pPr>
      <w:r>
        <w:rPr>
          <w:rFonts w:hint="eastAsia"/>
          <w:b/>
          <w:bCs/>
          <w:lang w:val="en-US" w:eastAsia="zh-CN"/>
        </w:rPr>
        <w:t>（2）固废处理处置设施合理性分析</w:t>
      </w:r>
    </w:p>
    <w:p w14:paraId="142F8588">
      <w:pPr>
        <w:pStyle w:val="41"/>
        <w:bidi w:val="0"/>
        <w:rPr>
          <w:rFonts w:hint="default"/>
          <w:b/>
          <w:bCs/>
          <w:lang w:val="en-US" w:eastAsia="zh-CN"/>
        </w:rPr>
      </w:pPr>
      <w:r>
        <w:rPr>
          <w:rFonts w:hint="eastAsia"/>
          <w:b/>
          <w:bCs/>
          <w:lang w:val="en-US" w:eastAsia="zh-CN"/>
        </w:rPr>
        <w:t>1）表土堆场设置合理性分析</w:t>
      </w:r>
    </w:p>
    <w:p w14:paraId="1502D362">
      <w:pPr>
        <w:pStyle w:val="41"/>
        <w:bidi w:val="0"/>
        <w:rPr>
          <w:rFonts w:hint="default"/>
          <w:lang w:val="en-US" w:eastAsia="zh-CN"/>
        </w:rPr>
      </w:pPr>
      <w:r>
        <w:rPr>
          <w:rFonts w:hint="eastAsia"/>
          <w:lang w:val="en-US" w:eastAsia="zh-CN"/>
        </w:rPr>
        <w:t>①设置情况</w:t>
      </w:r>
    </w:p>
    <w:p w14:paraId="2CF4E530">
      <w:pPr>
        <w:pStyle w:val="41"/>
        <w:bidi w:val="0"/>
        <w:rPr>
          <w:rFonts w:hint="eastAsia"/>
          <w:lang w:val="en-US" w:eastAsia="zh-CN"/>
        </w:rPr>
      </w:pPr>
      <w:r>
        <w:t>根据</w:t>
      </w:r>
      <w:r>
        <w:rPr>
          <w:rFonts w:hint="eastAsia"/>
          <w:lang w:eastAsia="zh-CN"/>
        </w:rPr>
        <w:t>《云南普阳煤化工有限责任公司砚山县红舍克东山石灰石矿开采方案</w:t>
      </w:r>
      <w:r>
        <w:t>》，设计在运行</w:t>
      </w:r>
      <w:r>
        <w:rPr>
          <w:rFonts w:hint="eastAsia"/>
          <w:lang w:val="en-US" w:eastAsia="zh-CN"/>
        </w:rPr>
        <w:t>期</w:t>
      </w:r>
      <w:r>
        <w:t>对露天采场进行表土（浮土）剥离，用于矿山后期封场绿化覆土使用。为了后期绿化覆土的需要，在不影响矿山生产运行的前提下，考虑到场地限制，设计将剥离的表土临时堆放于项目区</w:t>
      </w:r>
      <w:r>
        <w:rPr>
          <w:rFonts w:hint="eastAsia"/>
          <w:lang w:val="en-US" w:eastAsia="zh-CN"/>
        </w:rPr>
        <w:t>西南侧。</w:t>
      </w:r>
    </w:p>
    <w:p w14:paraId="5783398C">
      <w:pPr>
        <w:pStyle w:val="41"/>
        <w:bidi w:val="0"/>
        <w:rPr>
          <w:rFonts w:hint="default"/>
          <w:lang w:val="en-US" w:eastAsia="zh-CN"/>
        </w:rPr>
      </w:pPr>
      <w:r>
        <w:rPr>
          <w:rFonts w:hint="eastAsia"/>
          <w:lang w:val="en-US" w:eastAsia="zh-CN"/>
        </w:rPr>
        <w:t>②设置合理性分析</w:t>
      </w:r>
    </w:p>
    <w:p w14:paraId="2FF3BEBC">
      <w:pPr>
        <w:pStyle w:val="41"/>
        <w:bidi w:val="0"/>
        <w:rPr>
          <w:rFonts w:hint="eastAsia"/>
          <w:lang w:val="en-US" w:eastAsia="zh-CN"/>
        </w:rPr>
      </w:pPr>
      <w:r>
        <w:rPr>
          <w:rFonts w:hint="eastAsia"/>
          <w:lang w:val="en-US" w:eastAsia="zh-CN"/>
        </w:rPr>
        <w:t>项目按照《有色金属行业绿色矿山建设规范》（DZ/T0320-2018）中“边开采、边治理、边恢复”的原则进行开采设计，基建期和运营初期剥离表土需暂存，待复垦阶段用于矿区复垦表层土覆土。</w:t>
      </w:r>
    </w:p>
    <w:p w14:paraId="1E10119D">
      <w:pPr>
        <w:pStyle w:val="41"/>
        <w:bidi w:val="0"/>
        <w:rPr>
          <w:rFonts w:hint="default"/>
          <w:lang w:val="en-US" w:eastAsia="zh-CN"/>
        </w:rPr>
      </w:pPr>
      <w:r>
        <w:rPr>
          <w:rFonts w:hint="eastAsia"/>
        </w:rPr>
        <w:t>矿山覆土厚度0~1.3m，根据计算，覆土量约7.6万</w:t>
      </w:r>
      <w:r>
        <w:rPr>
          <w:rFonts w:hint="eastAsia"/>
          <w:lang w:eastAsia="zh-CN"/>
        </w:rPr>
        <w:t>m</w:t>
      </w:r>
      <w:r>
        <w:rPr>
          <w:rFonts w:hint="eastAsia"/>
          <w:vertAlign w:val="superscript"/>
          <w:lang w:eastAsia="zh-CN"/>
        </w:rPr>
        <w:t>3</w:t>
      </w:r>
      <w:r>
        <w:rPr>
          <w:rFonts w:hint="eastAsia"/>
        </w:rPr>
        <w:t>，矿山剥离覆土运至临时表土堆场堆存，待上部台阶靠帮后，将堆存表土用于矿区生态修复使用。设计临时表土堆场面积8251m</w:t>
      </w:r>
      <w:r>
        <w:rPr>
          <w:rFonts w:hint="eastAsia"/>
          <w:vertAlign w:val="superscript"/>
        </w:rPr>
        <w:t>2</w:t>
      </w:r>
      <w:r>
        <w:rPr>
          <w:rFonts w:hint="eastAsia"/>
        </w:rPr>
        <w:t>，设计一个台阶堆放，堆高10m，容积为8.3万</w:t>
      </w:r>
      <w:r>
        <w:rPr>
          <w:rFonts w:hint="eastAsia"/>
          <w:lang w:eastAsia="zh-CN"/>
        </w:rPr>
        <w:t>m</w:t>
      </w:r>
      <w:r>
        <w:rPr>
          <w:rFonts w:hint="eastAsia"/>
          <w:vertAlign w:val="superscript"/>
          <w:lang w:eastAsia="zh-CN"/>
        </w:rPr>
        <w:t>3</w:t>
      </w:r>
      <w:r>
        <w:rPr>
          <w:rFonts w:hint="eastAsia"/>
        </w:rPr>
        <w:t>，设计堆存表土边坡角为32</w:t>
      </w:r>
      <w:r>
        <w:t>°</w:t>
      </w:r>
      <w:r>
        <w:rPr>
          <w:rFonts w:hint="eastAsia"/>
        </w:rPr>
        <w:t>，可以满足矿山堆存表土需求。</w:t>
      </w:r>
      <w:r>
        <w:t>主体工程设计在表土堆场下游设置浆砌石挡渣墙措施，周边截排水沟措施等进行防护。待矿山开采</w:t>
      </w:r>
      <w:r>
        <w:rPr>
          <w:rFonts w:hint="eastAsia"/>
          <w:lang w:val="en-US" w:eastAsia="zh-CN"/>
        </w:rPr>
        <w:t>过程及闭矿期</w:t>
      </w:r>
      <w:r>
        <w:t>，由建设单位及时将表土运至工程内需要进行绿化覆土的区域进行利用，从施工组织、施工工艺上看，表土堆场规划合理可行，不会对矿山正常建设造成影响</w:t>
      </w:r>
      <w:r>
        <w:rPr>
          <w:rFonts w:hint="eastAsia"/>
          <w:lang w:val="en-US" w:eastAsia="zh-CN"/>
        </w:rPr>
        <w:t>。</w:t>
      </w:r>
    </w:p>
    <w:p w14:paraId="7B972468">
      <w:pPr>
        <w:pStyle w:val="41"/>
        <w:bidi w:val="0"/>
        <w:rPr>
          <w:rFonts w:hint="eastAsia"/>
          <w:lang w:val="en-US" w:eastAsia="zh-CN"/>
        </w:rPr>
      </w:pPr>
      <w:r>
        <w:rPr>
          <w:rFonts w:hint="eastAsia"/>
          <w:lang w:val="en-US" w:eastAsia="zh-CN"/>
        </w:rPr>
        <w:t>③</w:t>
      </w:r>
      <w:r>
        <w:t>表土</w:t>
      </w:r>
      <w:r>
        <w:rPr>
          <w:rFonts w:hint="eastAsia"/>
          <w:lang w:val="en-US" w:eastAsia="zh-CN"/>
        </w:rPr>
        <w:t>堆</w:t>
      </w:r>
      <w:r>
        <w:t>场对环境的影响</w:t>
      </w:r>
      <w:r>
        <w:rPr>
          <w:rFonts w:hint="eastAsia"/>
          <w:lang w:val="en-US" w:eastAsia="zh-CN"/>
        </w:rPr>
        <w:t>分析</w:t>
      </w:r>
    </w:p>
    <w:p w14:paraId="771B6220">
      <w:pPr>
        <w:pStyle w:val="41"/>
        <w:bidi w:val="0"/>
      </w:pPr>
      <w:r>
        <w:t>表土</w:t>
      </w:r>
      <w:r>
        <w:rPr>
          <w:rFonts w:hint="eastAsia"/>
          <w:lang w:val="en-US" w:eastAsia="zh-CN"/>
        </w:rPr>
        <w:t>堆</w:t>
      </w:r>
      <w:r>
        <w:t>场对环境的影响主要表现在：表土对水环境的影响；</w:t>
      </w:r>
      <w:r>
        <w:rPr>
          <w:rFonts w:hint="eastAsia"/>
          <w:lang w:eastAsia="zh-CN"/>
        </w:rPr>
        <w:t>表土堆场</w:t>
      </w:r>
      <w:r>
        <w:t>占压土地对生态环境影响；堆场</w:t>
      </w:r>
      <w:r>
        <w:rPr>
          <w:rFonts w:hint="eastAsia"/>
          <w:lang w:val="en-US" w:eastAsia="zh-CN"/>
        </w:rPr>
        <w:t>扬尘</w:t>
      </w:r>
      <w:r>
        <w:t>对环境</w:t>
      </w:r>
      <w:r>
        <w:rPr>
          <w:rFonts w:hint="eastAsia"/>
          <w:lang w:val="en-US" w:eastAsia="zh-CN"/>
        </w:rPr>
        <w:t>空气</w:t>
      </w:r>
      <w:r>
        <w:t>影响</w:t>
      </w:r>
      <w:r>
        <w:rPr>
          <w:rFonts w:hint="eastAsia"/>
          <w:lang w:eastAsia="zh-CN"/>
        </w:rPr>
        <w:t>；</w:t>
      </w:r>
      <w:r>
        <w:rPr>
          <w:rFonts w:hint="eastAsia"/>
          <w:lang w:val="en-US" w:eastAsia="zh-CN"/>
        </w:rPr>
        <w:t>暴雨天气雨水冲刷造成初期雨水悬浮颗粒物明显增加造成</w:t>
      </w:r>
      <w:r>
        <w:t>。</w:t>
      </w:r>
    </w:p>
    <w:p w14:paraId="2016C732">
      <w:pPr>
        <w:pStyle w:val="41"/>
        <w:bidi w:val="0"/>
      </w:pPr>
      <w:r>
        <w:rPr>
          <w:rFonts w:hint="eastAsia"/>
          <w:lang w:val="en-US" w:eastAsia="zh-CN"/>
        </w:rPr>
        <w:t>A.</w:t>
      </w:r>
      <w:r>
        <w:rPr>
          <w:rFonts w:hint="eastAsia"/>
          <w:lang w:eastAsia="zh-CN"/>
        </w:rPr>
        <w:t>表土堆场</w:t>
      </w:r>
      <w:r>
        <w:t>对地表水的影响分析</w:t>
      </w:r>
    </w:p>
    <w:p w14:paraId="268FBCFD">
      <w:pPr>
        <w:pStyle w:val="41"/>
        <w:bidi w:val="0"/>
      </w:pPr>
      <w:r>
        <w:t>本项目</w:t>
      </w:r>
      <w:r>
        <w:rPr>
          <w:rFonts w:hint="eastAsia"/>
          <w:lang w:eastAsia="zh-CN"/>
        </w:rPr>
        <w:t>表土堆场</w:t>
      </w:r>
      <w:r>
        <w:t>位于缓坡上，旱季无流水，不会形成冲刷，对地表水体的影响很小。</w:t>
      </w:r>
    </w:p>
    <w:p w14:paraId="345563CE">
      <w:pPr>
        <w:pStyle w:val="41"/>
        <w:bidi w:val="0"/>
      </w:pPr>
      <w:r>
        <w:t>雨季由于降雨量较大，</w:t>
      </w:r>
      <w:r>
        <w:rPr>
          <w:rFonts w:hint="eastAsia"/>
          <w:lang w:eastAsia="zh-CN"/>
        </w:rPr>
        <w:t>表土堆场</w:t>
      </w:r>
      <w:r>
        <w:t>截水沟范围内面积所产生的径流较大，水流冲刷的分选作用，松散表土将被带走，因此造成的水土流失是较为严重的。主体工程设计在表土堆场下游设置浆砌石挡渣墙措施，周边截排水沟措施等进行防护。为了防止松散堆积体的流失，</w:t>
      </w:r>
      <w:r>
        <w:rPr>
          <w:rFonts w:hint="eastAsia"/>
          <w:lang w:val="en-US" w:eastAsia="zh-CN"/>
        </w:rPr>
        <w:t>本次评价提出设置表土堆场初期雨水收集系统，新增区域雨水收集沟及末端初期雨水池，初期雨水经收集沉淀后回用于厂区洒水降尘</w:t>
      </w:r>
      <w:r>
        <w:t>。本项目废石属于第</w:t>
      </w:r>
      <w:r>
        <w:fldChar w:fldCharType="begin"/>
      </w:r>
      <w:r>
        <w:instrText xml:space="preserve"> = 1 \* ROMAN </w:instrText>
      </w:r>
      <w:r>
        <w:fldChar w:fldCharType="separate"/>
      </w:r>
      <w:r>
        <w:t>I</w:t>
      </w:r>
      <w:r>
        <w:fldChar w:fldCharType="end"/>
      </w:r>
      <w:r>
        <w:t>类一般工业固体废物，</w:t>
      </w:r>
      <w:r>
        <w:rPr>
          <w:rFonts w:hint="eastAsia"/>
          <w:lang w:eastAsia="zh-CN"/>
        </w:rPr>
        <w:t>表土堆场</w:t>
      </w:r>
      <w:r>
        <w:rPr>
          <w:rFonts w:hint="eastAsia"/>
          <w:lang w:val="en-US" w:eastAsia="zh-CN"/>
        </w:rPr>
        <w:t>初期雨水</w:t>
      </w:r>
      <w:r>
        <w:t>主要污染物为SS，经过</w:t>
      </w:r>
      <w:r>
        <w:rPr>
          <w:rFonts w:hint="eastAsia"/>
          <w:lang w:val="en-US" w:eastAsia="zh-CN"/>
        </w:rPr>
        <w:t>收集沉淀</w:t>
      </w:r>
      <w:r>
        <w:t>后可用于晴天降尘用水。</w:t>
      </w:r>
    </w:p>
    <w:p w14:paraId="78AC680C">
      <w:pPr>
        <w:pStyle w:val="41"/>
        <w:bidi w:val="0"/>
      </w:pPr>
      <w:r>
        <w:t>由于</w:t>
      </w:r>
      <w:r>
        <w:rPr>
          <w:rFonts w:hint="eastAsia"/>
          <w:lang w:eastAsia="zh-CN"/>
        </w:rPr>
        <w:t>表土堆场</w:t>
      </w:r>
      <w:r>
        <w:t>截排水沟实现了清污分流，矿山关闭后及时绿化恢复，</w:t>
      </w:r>
      <w:r>
        <w:rPr>
          <w:rFonts w:hint="eastAsia"/>
          <w:lang w:eastAsia="zh-CN"/>
        </w:rPr>
        <w:t>表土堆场</w:t>
      </w:r>
      <w:r>
        <w:rPr>
          <w:rFonts w:hint="eastAsia"/>
          <w:lang w:val="en-US" w:eastAsia="zh-CN"/>
        </w:rPr>
        <w:t>初期雨水</w:t>
      </w:r>
      <w:r>
        <w:t>不会对下游地表水体产生明显影响。</w:t>
      </w:r>
    </w:p>
    <w:p w14:paraId="799859BF">
      <w:pPr>
        <w:pStyle w:val="41"/>
        <w:bidi w:val="0"/>
      </w:pPr>
      <w:r>
        <w:rPr>
          <w:rFonts w:hint="eastAsia"/>
          <w:lang w:val="en-US" w:eastAsia="zh-CN"/>
        </w:rPr>
        <w:t>B.</w:t>
      </w:r>
      <w:r>
        <w:rPr>
          <w:rFonts w:hint="eastAsia"/>
          <w:lang w:eastAsia="zh-CN"/>
        </w:rPr>
        <w:t>表土堆场</w:t>
      </w:r>
      <w:r>
        <w:t>占压土地对生态环境影响</w:t>
      </w:r>
    </w:p>
    <w:p w14:paraId="4FA8275C">
      <w:pPr>
        <w:pStyle w:val="41"/>
        <w:bidi w:val="0"/>
      </w:pPr>
      <w:r>
        <w:t>为减少</w:t>
      </w:r>
      <w:r>
        <w:rPr>
          <w:rFonts w:hint="eastAsia"/>
        </w:rPr>
        <w:t>项目</w:t>
      </w:r>
      <w:r>
        <w:t>占地对土地利用的不利影响，建设单位在征地过程中须协调好与当地政府、群众的关系，同时交纳足额的土地补偿费，</w:t>
      </w:r>
      <w:r>
        <w:rPr>
          <w:rFonts w:hint="eastAsia"/>
          <w:lang w:val="en-US" w:eastAsia="zh-CN"/>
        </w:rPr>
        <w:t>闭矿后</w:t>
      </w:r>
      <w:r>
        <w:t>及时恢复临时</w:t>
      </w:r>
      <w:r>
        <w:rPr>
          <w:rFonts w:hint="eastAsia"/>
          <w:lang w:val="en-US" w:eastAsia="zh-CN"/>
        </w:rPr>
        <w:t>表土堆场</w:t>
      </w:r>
      <w:r>
        <w:t>占地区的植被，将对土地利用的不利影响降到最低限度。</w:t>
      </w:r>
    </w:p>
    <w:p w14:paraId="76871FC6">
      <w:pPr>
        <w:pStyle w:val="41"/>
        <w:bidi w:val="0"/>
      </w:pPr>
      <w:r>
        <w:rPr>
          <w:rFonts w:hint="eastAsia"/>
          <w:lang w:val="en-US" w:eastAsia="zh-CN"/>
        </w:rPr>
        <w:t>C.</w:t>
      </w:r>
      <w:r>
        <w:rPr>
          <w:rFonts w:hint="eastAsia"/>
          <w:lang w:eastAsia="zh-CN"/>
        </w:rPr>
        <w:t>表土堆场</w:t>
      </w:r>
      <w:r>
        <w:t>扬尘对环境</w:t>
      </w:r>
      <w:r>
        <w:rPr>
          <w:rFonts w:hint="eastAsia"/>
          <w:lang w:val="en-US" w:eastAsia="zh-CN"/>
        </w:rPr>
        <w:t>空气</w:t>
      </w:r>
      <w:r>
        <w:t>影响</w:t>
      </w:r>
    </w:p>
    <w:p w14:paraId="7733C01E">
      <w:pPr>
        <w:pStyle w:val="41"/>
        <w:bidi w:val="0"/>
        <w:rPr>
          <w:rFonts w:hint="default"/>
          <w:lang w:val="en-US" w:eastAsia="zh-CN"/>
        </w:rPr>
      </w:pPr>
      <w:r>
        <w:t>项目</w:t>
      </w:r>
      <w:r>
        <w:rPr>
          <w:rFonts w:hint="eastAsia"/>
          <w:lang w:val="en-US" w:eastAsia="zh-CN"/>
        </w:rPr>
        <w:t>表土松散，</w:t>
      </w:r>
      <w:r>
        <w:t>大风天气容易形成扬尘，</w:t>
      </w:r>
      <w:r>
        <w:rPr>
          <w:rFonts w:hint="eastAsia"/>
          <w:lang w:val="en-US" w:eastAsia="zh-CN"/>
        </w:rPr>
        <w:t>经过采取雾炮机+洒水车等在晴天进行洒水降尘后，堆场产生的扬尘满足排放标准及环境质量标准要求（详见大气环境影响分析章节），对环境空气影响可接受</w:t>
      </w:r>
      <w:r>
        <w:t>。</w:t>
      </w:r>
    </w:p>
    <w:p w14:paraId="4DC80506">
      <w:pPr>
        <w:pStyle w:val="41"/>
        <w:bidi w:val="0"/>
        <w:rPr>
          <w:rFonts w:hint="default"/>
          <w:lang w:val="en-US" w:eastAsia="zh-CN"/>
        </w:rPr>
      </w:pPr>
      <w:r>
        <w:rPr>
          <w:rFonts w:hint="eastAsia"/>
          <w:lang w:val="en-US" w:eastAsia="zh-CN"/>
        </w:rPr>
        <w:t>④小结</w:t>
      </w:r>
    </w:p>
    <w:p w14:paraId="2C9EE2E5">
      <w:pPr>
        <w:pStyle w:val="41"/>
        <w:bidi w:val="0"/>
        <w:rPr>
          <w:rFonts w:hint="default"/>
          <w:lang w:val="en-US" w:eastAsia="zh-CN"/>
        </w:rPr>
      </w:pPr>
      <w:r>
        <w:rPr>
          <w:rFonts w:hint="eastAsia"/>
          <w:lang w:val="en-US" w:eastAsia="zh-CN"/>
        </w:rPr>
        <w:t>综上分析，项目拟设置的表土堆场，满足剥离表土暂存要求，对环境影响可接受，设置可行。</w:t>
      </w:r>
    </w:p>
    <w:p w14:paraId="213A2A60">
      <w:pPr>
        <w:pStyle w:val="41"/>
        <w:bidi w:val="0"/>
        <w:rPr>
          <w:rFonts w:hint="default"/>
          <w:b/>
          <w:bCs/>
          <w:lang w:val="en-US" w:eastAsia="zh-CN"/>
        </w:rPr>
      </w:pPr>
      <w:r>
        <w:rPr>
          <w:rFonts w:hint="eastAsia"/>
          <w:b/>
          <w:bCs/>
          <w:lang w:val="en-US" w:eastAsia="zh-CN"/>
        </w:rPr>
        <w:t>2）危险废物暂存间设置要求</w:t>
      </w:r>
    </w:p>
    <w:p w14:paraId="7413B551">
      <w:pPr>
        <w:pStyle w:val="41"/>
        <w:bidi w:val="0"/>
        <w:rPr>
          <w:rFonts w:hint="default"/>
        </w:rPr>
      </w:pPr>
      <w:r>
        <w:rPr>
          <w:rFonts w:hint="default"/>
          <w:lang w:val="en-US" w:eastAsia="zh-CN"/>
        </w:rPr>
        <w:t>项目</w:t>
      </w:r>
      <w:r>
        <w:rPr>
          <w:rFonts w:hint="eastAsia"/>
          <w:lang w:val="en-US" w:eastAsia="zh-CN"/>
        </w:rPr>
        <w:t>依托的</w:t>
      </w:r>
      <w:r>
        <w:rPr>
          <w:rFonts w:hint="default"/>
          <w:lang w:val="en-US" w:eastAsia="zh-CN"/>
        </w:rPr>
        <w:t>危险废物</w:t>
      </w:r>
      <w:r>
        <w:rPr>
          <w:rFonts w:hint="default"/>
        </w:rPr>
        <w:t>暂存间设置要求满足</w:t>
      </w:r>
      <w:r>
        <w:rPr>
          <w:rFonts w:hint="eastAsia"/>
          <w:lang w:eastAsia="zh-CN"/>
        </w:rPr>
        <w:t>《</w:t>
      </w:r>
      <w:r>
        <w:rPr>
          <w:rFonts w:hint="default"/>
        </w:rPr>
        <w:t>危险废物贮存污染控制标准》（GB 18597-2023）中的要求：</w:t>
      </w:r>
    </w:p>
    <w:p w14:paraId="59AB5BAF">
      <w:pPr>
        <w:pStyle w:val="41"/>
        <w:bidi w:val="0"/>
        <w:rPr>
          <w:rFonts w:hint="default"/>
        </w:rPr>
      </w:pPr>
      <w:r>
        <w:rPr>
          <w:rFonts w:hint="default"/>
        </w:rPr>
        <w:t>①危险废物暂存间必须符合国家规定标准</w:t>
      </w:r>
      <w:r>
        <w:rPr>
          <w:rFonts w:hint="default"/>
          <w:lang w:eastAsia="zh-CN"/>
        </w:rPr>
        <w:t>，</w:t>
      </w:r>
      <w:r>
        <w:rPr>
          <w:rFonts w:hint="default"/>
        </w:rPr>
        <w:t>基础必须防渗</w:t>
      </w:r>
      <w:r>
        <w:rPr>
          <w:rFonts w:hint="default"/>
          <w:lang w:eastAsia="zh-CN"/>
        </w:rPr>
        <w:t>，</w:t>
      </w:r>
      <w:r>
        <w:rPr>
          <w:rFonts w:hint="default"/>
        </w:rPr>
        <w:t>要求防渗系数达到≤10</w:t>
      </w:r>
      <w:r>
        <w:rPr>
          <w:rFonts w:hint="eastAsia"/>
          <w:lang w:eastAsia="zh-CN"/>
        </w:rPr>
        <w:t>—</w:t>
      </w:r>
      <w:r>
        <w:rPr>
          <w:rFonts w:hint="default"/>
          <w:vertAlign w:val="superscript"/>
        </w:rPr>
        <w:t>10</w:t>
      </w:r>
      <w:r>
        <w:rPr>
          <w:rFonts w:hint="default"/>
        </w:rPr>
        <w:t>cm/s</w:t>
      </w:r>
      <w:r>
        <w:rPr>
          <w:rFonts w:hint="default"/>
          <w:lang w:eastAsia="zh-CN"/>
        </w:rPr>
        <w:t>，</w:t>
      </w:r>
      <w:r>
        <w:rPr>
          <w:rFonts w:hint="default"/>
        </w:rPr>
        <w:t>配套防火器材。</w:t>
      </w:r>
    </w:p>
    <w:p w14:paraId="0CF3FCE6">
      <w:pPr>
        <w:pStyle w:val="41"/>
        <w:bidi w:val="0"/>
        <w:rPr>
          <w:rFonts w:hint="default"/>
        </w:rPr>
      </w:pPr>
      <w:r>
        <w:rPr>
          <w:rFonts w:hint="default"/>
        </w:rPr>
        <w:t>②暂存间地面必须进行硬化地面</w:t>
      </w:r>
      <w:r>
        <w:rPr>
          <w:rFonts w:hint="default"/>
          <w:lang w:eastAsia="zh-CN"/>
        </w:rPr>
        <w:t>，</w:t>
      </w:r>
      <w:r>
        <w:rPr>
          <w:rFonts w:hint="default"/>
        </w:rPr>
        <w:t>且表面无裂痕。</w:t>
      </w:r>
    </w:p>
    <w:p w14:paraId="1D99B1EA">
      <w:pPr>
        <w:pStyle w:val="41"/>
        <w:bidi w:val="0"/>
        <w:rPr>
          <w:rFonts w:hint="default"/>
        </w:rPr>
      </w:pPr>
      <w:r>
        <w:rPr>
          <w:rFonts w:hint="default"/>
        </w:rPr>
        <w:t>③禁止将不相容的危险废物在同一容器内混装。</w:t>
      </w:r>
    </w:p>
    <w:p w14:paraId="29D04C25">
      <w:pPr>
        <w:pStyle w:val="41"/>
        <w:bidi w:val="0"/>
        <w:rPr>
          <w:rFonts w:hint="eastAsia"/>
          <w:lang w:eastAsia="zh-CN"/>
        </w:rPr>
      </w:pPr>
      <w:r>
        <w:rPr>
          <w:rFonts w:hint="default"/>
        </w:rPr>
        <w:t>储存容器的要求</w:t>
      </w:r>
      <w:r>
        <w:rPr>
          <w:rFonts w:hint="eastAsia"/>
          <w:lang w:eastAsia="zh-CN"/>
        </w:rPr>
        <w:t>：</w:t>
      </w:r>
    </w:p>
    <w:p w14:paraId="522E15D3">
      <w:pPr>
        <w:pStyle w:val="41"/>
        <w:bidi w:val="0"/>
        <w:rPr>
          <w:rFonts w:hint="default"/>
        </w:rPr>
      </w:pPr>
      <w:r>
        <w:rPr>
          <w:rFonts w:hint="default"/>
        </w:rPr>
        <w:t>本项目产生的危险废物主要为</w:t>
      </w:r>
      <w:r>
        <w:rPr>
          <w:rFonts w:hint="default"/>
          <w:lang w:val="en-US" w:eastAsia="zh-CN"/>
        </w:rPr>
        <w:t>废机油</w:t>
      </w:r>
      <w:r>
        <w:rPr>
          <w:rFonts w:hint="default"/>
          <w:lang w:eastAsia="zh-CN"/>
        </w:rPr>
        <w:t>，</w:t>
      </w:r>
      <w:r>
        <w:rPr>
          <w:rFonts w:hint="default"/>
        </w:rPr>
        <w:t>采用</w:t>
      </w:r>
      <w:r>
        <w:rPr>
          <w:rFonts w:hint="default"/>
          <w:lang w:val="en-US" w:eastAsia="zh-CN"/>
        </w:rPr>
        <w:t>收集</w:t>
      </w:r>
      <w:r>
        <w:rPr>
          <w:rFonts w:hint="default"/>
        </w:rPr>
        <w:t>桶收集以上危险废物</w:t>
      </w:r>
      <w:r>
        <w:rPr>
          <w:rFonts w:hint="default"/>
          <w:lang w:eastAsia="zh-CN"/>
        </w:rPr>
        <w:t>，</w:t>
      </w:r>
      <w:r>
        <w:rPr>
          <w:rFonts w:hint="default"/>
        </w:rPr>
        <w:t>收集桶的要求如下：</w:t>
      </w:r>
    </w:p>
    <w:p w14:paraId="53B8E3EF">
      <w:pPr>
        <w:pStyle w:val="41"/>
        <w:bidi w:val="0"/>
        <w:rPr>
          <w:rFonts w:hint="default"/>
        </w:rPr>
      </w:pPr>
      <w:r>
        <w:rPr>
          <w:rFonts w:hint="default"/>
        </w:rPr>
        <w:t>①项目收集桶需采用符合标准的专业收集桶。</w:t>
      </w:r>
    </w:p>
    <w:p w14:paraId="758F9976">
      <w:pPr>
        <w:pStyle w:val="41"/>
        <w:bidi w:val="0"/>
        <w:rPr>
          <w:rFonts w:hint="default"/>
        </w:rPr>
      </w:pPr>
      <w:r>
        <w:rPr>
          <w:rFonts w:hint="default"/>
        </w:rPr>
        <w:t>②收集桶及材质要满足相应强度需求。</w:t>
      </w:r>
    </w:p>
    <w:p w14:paraId="395A07AF">
      <w:pPr>
        <w:pStyle w:val="41"/>
        <w:bidi w:val="0"/>
        <w:rPr>
          <w:rFonts w:hint="default"/>
        </w:rPr>
      </w:pPr>
      <w:r>
        <w:rPr>
          <w:rFonts w:hint="default"/>
        </w:rPr>
        <w:t>③各收集桶均为封闭收集。</w:t>
      </w:r>
    </w:p>
    <w:p w14:paraId="61907858">
      <w:pPr>
        <w:pStyle w:val="41"/>
        <w:bidi w:val="0"/>
        <w:rPr>
          <w:rFonts w:hint="default"/>
        </w:rPr>
      </w:pPr>
      <w:r>
        <w:rPr>
          <w:rFonts w:hint="default"/>
        </w:rPr>
        <w:t>④收集桶必须完好无损</w:t>
      </w:r>
      <w:r>
        <w:rPr>
          <w:rFonts w:hint="default"/>
          <w:lang w:eastAsia="zh-CN"/>
        </w:rPr>
        <w:t>，</w:t>
      </w:r>
      <w:r>
        <w:rPr>
          <w:rFonts w:hint="default"/>
        </w:rPr>
        <w:t>桶内容器材质与收集危废互不相容。</w:t>
      </w:r>
    </w:p>
    <w:p w14:paraId="0FF8F23D">
      <w:pPr>
        <w:pStyle w:val="41"/>
        <w:bidi w:val="0"/>
        <w:rPr>
          <w:rFonts w:hint="default"/>
        </w:rPr>
      </w:pPr>
      <w:r>
        <w:rPr>
          <w:rFonts w:hint="default"/>
        </w:rPr>
        <w:t>⑤收集桶外必须贴上危险废物标签。</w:t>
      </w:r>
    </w:p>
    <w:p w14:paraId="5BA30377">
      <w:pPr>
        <w:pStyle w:val="41"/>
        <w:bidi w:val="0"/>
        <w:rPr>
          <w:rFonts w:hint="eastAsia"/>
          <w:lang w:eastAsia="zh-CN"/>
        </w:rPr>
      </w:pPr>
      <w:r>
        <w:rPr>
          <w:rFonts w:hint="default"/>
        </w:rPr>
        <w:t>储存措施要求</w:t>
      </w:r>
      <w:r>
        <w:rPr>
          <w:rFonts w:hint="eastAsia"/>
          <w:lang w:eastAsia="zh-CN"/>
        </w:rPr>
        <w:t>：</w:t>
      </w:r>
    </w:p>
    <w:p w14:paraId="28ABEFDE">
      <w:pPr>
        <w:pStyle w:val="41"/>
        <w:bidi w:val="0"/>
        <w:rPr>
          <w:rFonts w:hint="default"/>
        </w:rPr>
      </w:pPr>
      <w:r>
        <w:rPr>
          <w:rFonts w:hint="default"/>
        </w:rPr>
        <w:t>①危废处置单位应每一次都对回收的危废进行记录</w:t>
      </w:r>
      <w:r>
        <w:rPr>
          <w:rFonts w:hint="default"/>
          <w:lang w:eastAsia="zh-CN"/>
        </w:rPr>
        <w:t>，</w:t>
      </w:r>
      <w:r>
        <w:rPr>
          <w:rFonts w:hint="default"/>
        </w:rPr>
        <w:t>记录内容包括：危废名称、来源、数量、特性和收集容器的类别、入室日期、存放地点、出室时间以及回收单位名称。</w:t>
      </w:r>
    </w:p>
    <w:p w14:paraId="6D9AD6D1">
      <w:pPr>
        <w:pStyle w:val="41"/>
        <w:bidi w:val="0"/>
        <w:rPr>
          <w:rFonts w:hint="default"/>
        </w:rPr>
      </w:pPr>
      <w:r>
        <w:rPr>
          <w:rFonts w:hint="default"/>
        </w:rPr>
        <w:t>②定期检查收集桶有无破漏、渗漏和污染</w:t>
      </w:r>
      <w:r>
        <w:rPr>
          <w:rFonts w:hint="default"/>
          <w:lang w:eastAsia="zh-CN"/>
        </w:rPr>
        <w:t>，</w:t>
      </w:r>
      <w:r>
        <w:rPr>
          <w:rFonts w:hint="default"/>
        </w:rPr>
        <w:t>发现破损</w:t>
      </w:r>
      <w:r>
        <w:rPr>
          <w:rFonts w:hint="default"/>
          <w:lang w:eastAsia="zh-CN"/>
        </w:rPr>
        <w:t>，</w:t>
      </w:r>
      <w:r>
        <w:rPr>
          <w:rFonts w:hint="default"/>
        </w:rPr>
        <w:t>应及时采取措施清理更换。</w:t>
      </w:r>
    </w:p>
    <w:p w14:paraId="731273F2">
      <w:pPr>
        <w:pStyle w:val="41"/>
        <w:bidi w:val="0"/>
        <w:rPr>
          <w:rFonts w:hint="default"/>
        </w:rPr>
      </w:pPr>
      <w:r>
        <w:rPr>
          <w:rFonts w:hint="default"/>
        </w:rPr>
        <w:t>③不相容的危险废物必须分区存放。</w:t>
      </w:r>
    </w:p>
    <w:p w14:paraId="639B1494">
      <w:pPr>
        <w:pStyle w:val="41"/>
        <w:bidi w:val="0"/>
        <w:rPr>
          <w:rFonts w:hint="eastAsia"/>
          <w:lang w:eastAsia="zh-CN"/>
        </w:rPr>
      </w:pPr>
      <w:r>
        <w:rPr>
          <w:rFonts w:hint="default"/>
        </w:rPr>
        <w:t>储存运行管理要求</w:t>
      </w:r>
      <w:r>
        <w:rPr>
          <w:rFonts w:hint="eastAsia"/>
          <w:lang w:eastAsia="zh-CN"/>
        </w:rPr>
        <w:t>：</w:t>
      </w:r>
    </w:p>
    <w:p w14:paraId="59B4C857">
      <w:pPr>
        <w:pStyle w:val="41"/>
        <w:bidi w:val="0"/>
        <w:rPr>
          <w:rFonts w:hint="default"/>
        </w:rPr>
      </w:pPr>
      <w:r>
        <w:rPr>
          <w:rFonts w:hint="default"/>
        </w:rPr>
        <w:t>①每个收集桶之间必须留有搬运通道。</w:t>
      </w:r>
    </w:p>
    <w:p w14:paraId="7BAD6CE4">
      <w:pPr>
        <w:pStyle w:val="41"/>
        <w:bidi w:val="0"/>
        <w:rPr>
          <w:rFonts w:hint="default"/>
        </w:rPr>
      </w:pPr>
      <w:r>
        <w:rPr>
          <w:rFonts w:hint="default"/>
        </w:rPr>
        <w:t>②不能混合装在同一收集桶内。</w:t>
      </w:r>
    </w:p>
    <w:p w14:paraId="0DAA306B">
      <w:pPr>
        <w:pStyle w:val="41"/>
        <w:bidi w:val="0"/>
        <w:rPr>
          <w:rFonts w:hint="default"/>
        </w:rPr>
      </w:pPr>
      <w:r>
        <w:rPr>
          <w:rFonts w:hint="default"/>
        </w:rPr>
        <w:t>③进桶必须检验</w:t>
      </w:r>
      <w:r>
        <w:rPr>
          <w:rFonts w:hint="default"/>
          <w:lang w:eastAsia="zh-CN"/>
        </w:rPr>
        <w:t>，</w:t>
      </w:r>
      <w:r>
        <w:rPr>
          <w:rFonts w:hint="default"/>
        </w:rPr>
        <w:t>确保收集桶外标签与储存危废一致。</w:t>
      </w:r>
    </w:p>
    <w:p w14:paraId="2BF3D125">
      <w:pPr>
        <w:pStyle w:val="41"/>
        <w:bidi w:val="0"/>
        <w:rPr>
          <w:rFonts w:hint="default"/>
        </w:rPr>
      </w:pPr>
      <w:r>
        <w:rPr>
          <w:rFonts w:hint="default"/>
        </w:rPr>
        <w:t>④进入收集桶储存室的人员、机动车辆和作业车辆</w:t>
      </w:r>
      <w:r>
        <w:rPr>
          <w:rFonts w:hint="default"/>
          <w:lang w:eastAsia="zh-CN"/>
        </w:rPr>
        <w:t>，</w:t>
      </w:r>
      <w:r>
        <w:rPr>
          <w:rFonts w:hint="default"/>
        </w:rPr>
        <w:t>必须采取防火措施。</w:t>
      </w:r>
    </w:p>
    <w:p w14:paraId="7C5416B3">
      <w:pPr>
        <w:pStyle w:val="41"/>
        <w:bidi w:val="0"/>
        <w:rPr>
          <w:rFonts w:hint="default"/>
        </w:rPr>
      </w:pPr>
      <w:r>
        <w:rPr>
          <w:rFonts w:hint="default"/>
        </w:rPr>
        <w:t>⑤危险废物的储存运输应按照</w:t>
      </w:r>
      <w:r>
        <w:rPr>
          <w:rFonts w:hint="eastAsia"/>
          <w:lang w:eastAsia="zh-CN"/>
        </w:rPr>
        <w:t>《</w:t>
      </w:r>
      <w:r>
        <w:rPr>
          <w:rFonts w:hint="default"/>
        </w:rPr>
        <w:t>危险废物贮存污染控制标准》（GB 18597-2023）要求进行台账、记录管理。</w:t>
      </w:r>
    </w:p>
    <w:p w14:paraId="4817A45A">
      <w:pPr>
        <w:pStyle w:val="41"/>
        <w:bidi w:val="0"/>
        <w:rPr>
          <w:rFonts w:hint="default"/>
        </w:rPr>
      </w:pPr>
      <w:r>
        <w:rPr>
          <w:rFonts w:hint="default"/>
        </w:rPr>
        <w:t>综上</w:t>
      </w:r>
      <w:r>
        <w:rPr>
          <w:rFonts w:hint="default"/>
          <w:lang w:eastAsia="zh-CN"/>
        </w:rPr>
        <w:t>，</w:t>
      </w:r>
      <w:r>
        <w:rPr>
          <w:rFonts w:hint="default"/>
        </w:rPr>
        <w:t>项目区产生的固体废物进行分类收集、处置</w:t>
      </w:r>
      <w:r>
        <w:rPr>
          <w:rFonts w:hint="default"/>
          <w:lang w:eastAsia="zh-CN"/>
        </w:rPr>
        <w:t>，</w:t>
      </w:r>
      <w:r>
        <w:rPr>
          <w:rFonts w:hint="default"/>
        </w:rPr>
        <w:t>均能得到妥善处理</w:t>
      </w:r>
      <w:r>
        <w:rPr>
          <w:rFonts w:hint="default"/>
          <w:lang w:eastAsia="zh-CN"/>
        </w:rPr>
        <w:t>，</w:t>
      </w:r>
      <w:r>
        <w:rPr>
          <w:rFonts w:hint="default"/>
        </w:rPr>
        <w:t>处理率能达到100%</w:t>
      </w:r>
      <w:r>
        <w:rPr>
          <w:rFonts w:hint="default"/>
          <w:lang w:eastAsia="zh-CN"/>
        </w:rPr>
        <w:t>，</w:t>
      </w:r>
      <w:r>
        <w:rPr>
          <w:rFonts w:hint="default"/>
        </w:rPr>
        <w:t>故对周围环境影响较小</w:t>
      </w:r>
      <w:r>
        <w:rPr>
          <w:rFonts w:hint="default"/>
          <w:lang w:eastAsia="zh-CN"/>
        </w:rPr>
        <w:t>。</w:t>
      </w:r>
    </w:p>
    <w:p w14:paraId="5334CA48">
      <w:pPr>
        <w:pStyle w:val="41"/>
        <w:bidi w:val="0"/>
        <w:rPr>
          <w:rFonts w:hint="default"/>
          <w:b/>
          <w:bCs/>
        </w:rPr>
      </w:pPr>
      <w:r>
        <w:rPr>
          <w:rFonts w:hint="default"/>
          <w:b/>
          <w:bCs/>
        </w:rPr>
        <w:t>（</w:t>
      </w:r>
      <w:r>
        <w:rPr>
          <w:rFonts w:hint="eastAsia"/>
          <w:b/>
          <w:bCs/>
          <w:lang w:val="en-US" w:eastAsia="zh-CN"/>
        </w:rPr>
        <w:t>3</w:t>
      </w:r>
      <w:r>
        <w:rPr>
          <w:rFonts w:hint="default"/>
          <w:b/>
          <w:bCs/>
        </w:rPr>
        <w:t>）影响分析</w:t>
      </w:r>
    </w:p>
    <w:p w14:paraId="4EFDE7AF">
      <w:pPr>
        <w:pStyle w:val="41"/>
        <w:bidi w:val="0"/>
        <w:rPr>
          <w:rFonts w:hint="default"/>
        </w:rPr>
      </w:pPr>
      <w:r>
        <w:rPr>
          <w:rFonts w:hint="default"/>
        </w:rPr>
        <w:t>本项目产生的固废均得到合理有效处置</w:t>
      </w:r>
      <w:r>
        <w:rPr>
          <w:rFonts w:hint="default"/>
          <w:lang w:eastAsia="zh-CN"/>
        </w:rPr>
        <w:t>，</w:t>
      </w:r>
      <w:r>
        <w:rPr>
          <w:rFonts w:hint="eastAsia"/>
          <w:lang w:val="en-US" w:eastAsia="zh-CN"/>
        </w:rPr>
        <w:t>贮存设施设置合理，</w:t>
      </w:r>
      <w:r>
        <w:rPr>
          <w:rFonts w:hint="default"/>
        </w:rPr>
        <w:t>处置方式均可行</w:t>
      </w:r>
      <w:r>
        <w:rPr>
          <w:rFonts w:hint="default"/>
          <w:lang w:eastAsia="zh-CN"/>
        </w:rPr>
        <w:t>，</w:t>
      </w:r>
      <w:r>
        <w:rPr>
          <w:rFonts w:hint="default"/>
        </w:rPr>
        <w:t>100%</w:t>
      </w:r>
      <w:r>
        <w:rPr>
          <w:rFonts w:hint="eastAsia"/>
          <w:lang w:val="en-US" w:eastAsia="zh-CN"/>
        </w:rPr>
        <w:t>合理处置，对环境影响可接受</w:t>
      </w:r>
      <w:r>
        <w:rPr>
          <w:rFonts w:hint="default"/>
        </w:rPr>
        <w:t>。</w:t>
      </w:r>
    </w:p>
    <w:p w14:paraId="07553B81">
      <w:pPr>
        <w:pStyle w:val="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467" w:name="_Toc24869"/>
      <w:r>
        <w:rPr>
          <w:rFonts w:hint="default" w:ascii="Times New Roman" w:hAnsi="Times New Roman" w:cs="Times New Roman"/>
          <w:color w:val="000000" w:themeColor="text1"/>
          <w:highlight w:val="none"/>
          <w14:textFill>
            <w14:solidFill>
              <w14:schemeClr w14:val="tx1"/>
            </w14:solidFill>
          </w14:textFill>
        </w:rPr>
        <w:t>土壤环境影响分析</w:t>
      </w:r>
      <w:r>
        <w:rPr>
          <w:rFonts w:hint="eastAsia" w:cs="Times New Roman"/>
          <w:color w:val="000000" w:themeColor="text1"/>
          <w:highlight w:val="none"/>
          <w:lang w:val="en-US" w:eastAsia="zh-CN"/>
          <w14:textFill>
            <w14:solidFill>
              <w14:schemeClr w14:val="tx1"/>
            </w14:solidFill>
          </w14:textFill>
        </w:rPr>
        <w:t>与评价</w:t>
      </w:r>
      <w:bookmarkEnd w:id="467"/>
    </w:p>
    <w:p w14:paraId="5EB2235D">
      <w:pPr>
        <w:pStyle w:val="41"/>
        <w:bidi w:val="0"/>
        <w:rPr>
          <w:rFonts w:hint="default"/>
        </w:rPr>
      </w:pPr>
      <w:r>
        <w:rPr>
          <w:rFonts w:hint="default"/>
        </w:rPr>
        <w:t>本项目</w:t>
      </w:r>
      <w:r>
        <w:rPr>
          <w:rFonts w:hint="default"/>
          <w:lang w:val="en-US" w:eastAsia="zh-CN"/>
        </w:rPr>
        <w:t>为灰岩矿开采</w:t>
      </w:r>
      <w:r>
        <w:rPr>
          <w:rFonts w:hint="eastAsia"/>
          <w:lang w:val="en-US" w:eastAsia="zh-CN"/>
        </w:rPr>
        <w:t>及加工</w:t>
      </w:r>
      <w:r>
        <w:rPr>
          <w:rFonts w:hint="default"/>
          <w:lang w:val="en-US" w:eastAsia="zh-CN"/>
        </w:rPr>
        <w:t>，</w:t>
      </w:r>
      <w:r>
        <w:rPr>
          <w:rFonts w:hint="default"/>
        </w:rPr>
        <w:t>根据</w:t>
      </w:r>
      <w:r>
        <w:rPr>
          <w:rFonts w:hint="eastAsia"/>
          <w:lang w:eastAsia="zh-CN"/>
        </w:rPr>
        <w:t>《</w:t>
      </w:r>
      <w:r>
        <w:rPr>
          <w:rFonts w:hint="default"/>
        </w:rPr>
        <w:t>环境影响评价技术导则 土壤环境》（HJ964-2018）附录A，属于行业类别中</w:t>
      </w:r>
      <w:r>
        <w:rPr>
          <w:rFonts w:hint="eastAsia"/>
          <w:lang w:eastAsia="zh-CN"/>
        </w:rPr>
        <w:t>“</w:t>
      </w:r>
      <w:r>
        <w:rPr>
          <w:rFonts w:hint="default"/>
        </w:rPr>
        <w:t>采矿业中的其他</w:t>
      </w:r>
      <w:r>
        <w:rPr>
          <w:rFonts w:hint="eastAsia"/>
          <w:lang w:eastAsia="zh-CN"/>
        </w:rPr>
        <w:t>”</w:t>
      </w:r>
      <w:r>
        <w:rPr>
          <w:rFonts w:hint="default"/>
        </w:rPr>
        <w:t>，土壤环境影响评价的项目类别</w:t>
      </w:r>
      <w:r>
        <w:rPr>
          <w:rFonts w:hint="default"/>
          <w:lang w:val="en-US" w:eastAsia="zh-CN"/>
        </w:rPr>
        <w:t>为</w:t>
      </w:r>
      <w:r>
        <w:rPr>
          <w:rFonts w:hint="default"/>
        </w:rPr>
        <w:t>Ⅲ类；根据HJ964-2018中的第6.2.3条，项目同时涉及土壤环境生态影响型与污染影响型时，应分别判定评价工作等级，并按相应等级分别开展评价工作。</w:t>
      </w:r>
    </w:p>
    <w:p w14:paraId="2DDA162F">
      <w:pPr>
        <w:pStyle w:val="5"/>
        <w:keepNext/>
        <w:pageBreakBefore w:val="0"/>
        <w:kinsoku/>
        <w:wordWrap/>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生态影响型</w:t>
      </w:r>
    </w:p>
    <w:p w14:paraId="081CA1B8">
      <w:pPr>
        <w:pStyle w:val="41"/>
        <w:bidi w:val="0"/>
        <w:rPr>
          <w:rFonts w:hint="default"/>
          <w:b/>
          <w:bCs/>
        </w:rPr>
      </w:pPr>
      <w:r>
        <w:rPr>
          <w:rFonts w:hint="default"/>
          <w:b/>
          <w:bCs/>
        </w:rPr>
        <w:t>（1）土壤环境敏感程度</w:t>
      </w:r>
    </w:p>
    <w:p w14:paraId="0FF7D82E">
      <w:pPr>
        <w:pStyle w:val="41"/>
        <w:bidi w:val="0"/>
        <w:rPr>
          <w:rFonts w:hint="default"/>
        </w:rPr>
      </w:pPr>
      <w:r>
        <w:rPr>
          <w:rFonts w:hint="default"/>
        </w:rPr>
        <w:t>生态影响型建设项目所在地土壤环境敏感程度分为敏感、较敏感、不敏感，判别依据见下表。</w:t>
      </w:r>
    </w:p>
    <w:p w14:paraId="14047738">
      <w:pPr>
        <w:pStyle w:val="45"/>
        <w:bidi w:val="0"/>
        <w:rPr>
          <w:rFonts w:hint="default"/>
        </w:rPr>
      </w:pPr>
      <w:r>
        <w:rPr>
          <w:rFonts w:hint="default"/>
        </w:rPr>
        <w:t>表</w:t>
      </w:r>
      <w:r>
        <w:rPr>
          <w:rFonts w:hint="eastAsia"/>
          <w:lang w:val="en-US" w:eastAsia="zh-CN"/>
        </w:rPr>
        <w:t>6.6-1</w:t>
      </w:r>
      <w:r>
        <w:rPr>
          <w:rFonts w:hint="default"/>
        </w:rPr>
        <w:t xml:space="preserve">  生态影响型土壤评价工作等级划分表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4595"/>
        <w:gridCol w:w="1435"/>
        <w:gridCol w:w="1632"/>
      </w:tblGrid>
      <w:tr w14:paraId="3214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66" w:type="dxa"/>
            <w:vMerge w:val="restart"/>
            <w:noWrap/>
            <w:vAlign w:val="center"/>
          </w:tcPr>
          <w:p w14:paraId="2529FDA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敏感</w:t>
            </w:r>
          </w:p>
          <w:p w14:paraId="64DE6F6B">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程度</w:t>
            </w:r>
          </w:p>
        </w:tc>
        <w:tc>
          <w:tcPr>
            <w:tcW w:w="7656" w:type="dxa"/>
            <w:gridSpan w:val="3"/>
            <w:noWrap/>
            <w:vAlign w:val="center"/>
          </w:tcPr>
          <w:p w14:paraId="3D8F402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判别依据</w:t>
            </w:r>
          </w:p>
        </w:tc>
      </w:tr>
      <w:tr w14:paraId="15F3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66" w:type="dxa"/>
            <w:vMerge w:val="continue"/>
            <w:noWrap w:val="0"/>
            <w:vAlign w:val="center"/>
          </w:tcPr>
          <w:p w14:paraId="3E7B42BE">
            <w:pPr>
              <w:pStyle w:val="43"/>
              <w:bidi w:val="0"/>
              <w:rPr>
                <w:rFonts w:hint="default" w:ascii="Times New Roman" w:hAnsi="Times New Roman" w:cs="Times New Roman"/>
                <w:b/>
                <w:bCs/>
                <w:color w:val="000000" w:themeColor="text1"/>
                <w:highlight w:val="none"/>
                <w14:textFill>
                  <w14:solidFill>
                    <w14:schemeClr w14:val="tx1"/>
                  </w14:solidFill>
                </w14:textFill>
              </w:rPr>
            </w:pPr>
          </w:p>
        </w:tc>
        <w:tc>
          <w:tcPr>
            <w:tcW w:w="4591" w:type="dxa"/>
            <w:noWrap/>
            <w:vAlign w:val="center"/>
          </w:tcPr>
          <w:p w14:paraId="3357564C">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盐化</w:t>
            </w:r>
          </w:p>
        </w:tc>
        <w:tc>
          <w:tcPr>
            <w:tcW w:w="1434" w:type="dxa"/>
            <w:noWrap/>
            <w:vAlign w:val="center"/>
          </w:tcPr>
          <w:p w14:paraId="51199D0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酸化</w:t>
            </w:r>
          </w:p>
        </w:tc>
        <w:tc>
          <w:tcPr>
            <w:tcW w:w="1631" w:type="dxa"/>
            <w:noWrap/>
            <w:vAlign w:val="center"/>
          </w:tcPr>
          <w:p w14:paraId="714D78A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碱化</w:t>
            </w:r>
          </w:p>
        </w:tc>
      </w:tr>
      <w:tr w14:paraId="0DB9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2744633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敏感</w:t>
            </w:r>
          </w:p>
        </w:tc>
        <w:tc>
          <w:tcPr>
            <w:tcW w:w="4591" w:type="dxa"/>
            <w:noWrap w:val="0"/>
            <w:vAlign w:val="center"/>
          </w:tcPr>
          <w:p w14:paraId="0909D75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建设项目所在地干燥度*&gt;2.5且常年地下水位平均埋深&lt;1.5m的地势平坦区域；或土壤含盐量&gt;4g/kg的区域</w:t>
            </w:r>
          </w:p>
        </w:tc>
        <w:tc>
          <w:tcPr>
            <w:tcW w:w="1434" w:type="dxa"/>
            <w:noWrap/>
            <w:vAlign w:val="center"/>
          </w:tcPr>
          <w:p w14:paraId="4315BD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pH≤</w:t>
            </w:r>
            <w:r>
              <w:rPr>
                <w:rFonts w:hint="default" w:ascii="Times New Roman" w:hAnsi="Times New Roman"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5</w:t>
            </w:r>
          </w:p>
        </w:tc>
        <w:tc>
          <w:tcPr>
            <w:tcW w:w="1631" w:type="dxa"/>
            <w:noWrap/>
            <w:vAlign w:val="center"/>
          </w:tcPr>
          <w:p w14:paraId="76A7781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pH≥9.0</w:t>
            </w:r>
          </w:p>
        </w:tc>
      </w:tr>
      <w:tr w14:paraId="1357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2C3F8C5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较敏感</w:t>
            </w:r>
          </w:p>
        </w:tc>
        <w:tc>
          <w:tcPr>
            <w:tcW w:w="4591" w:type="dxa"/>
            <w:noWrap w:val="0"/>
            <w:vAlign w:val="center"/>
          </w:tcPr>
          <w:p w14:paraId="6906DA4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项目所在地干燥度&gt;2.5且常年地下水位平均埋深≥1.5m的，或1.8&lt;干燥度≤2.5且常年地下水位平均埋&lt;1.8m的地势平坦区域；建设项目所在地干燥度&gt;2.5或常年地下水位平均埋深&lt;1.5m的平原区；或土壤含盐量&gt;4g/kg的区域</w:t>
            </w:r>
          </w:p>
        </w:tc>
        <w:tc>
          <w:tcPr>
            <w:tcW w:w="1434" w:type="dxa"/>
            <w:noWrap/>
            <w:vAlign w:val="center"/>
          </w:tcPr>
          <w:p w14:paraId="553E766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5&lt;pH≤5.5</w:t>
            </w:r>
          </w:p>
        </w:tc>
        <w:tc>
          <w:tcPr>
            <w:tcW w:w="1631" w:type="dxa"/>
            <w:noWrap/>
            <w:vAlign w:val="center"/>
          </w:tcPr>
          <w:p w14:paraId="74057CE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8.5≤pH&lt;9.0</w:t>
            </w:r>
          </w:p>
        </w:tc>
      </w:tr>
      <w:tr w14:paraId="0399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6" w:type="dxa"/>
            <w:noWrap/>
            <w:vAlign w:val="center"/>
          </w:tcPr>
          <w:p w14:paraId="632684D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不敏感</w:t>
            </w:r>
          </w:p>
        </w:tc>
        <w:tc>
          <w:tcPr>
            <w:tcW w:w="4591" w:type="dxa"/>
            <w:noWrap/>
            <w:vAlign w:val="center"/>
          </w:tcPr>
          <w:p w14:paraId="176C7AD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其他</w:t>
            </w:r>
          </w:p>
        </w:tc>
        <w:tc>
          <w:tcPr>
            <w:tcW w:w="3065" w:type="dxa"/>
            <w:gridSpan w:val="2"/>
            <w:noWrap/>
            <w:vAlign w:val="center"/>
          </w:tcPr>
          <w:p w14:paraId="7A835AF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5.5&lt;pH≤8.5</w:t>
            </w:r>
          </w:p>
        </w:tc>
      </w:tr>
      <w:tr w14:paraId="7520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22" w:type="dxa"/>
            <w:gridSpan w:val="4"/>
            <w:noWrap/>
            <w:vAlign w:val="center"/>
          </w:tcPr>
          <w:p w14:paraId="46356B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*是指采用E601观测的多年平均水面蒸发量与降雨量的比值，即蒸降比。</w:t>
            </w:r>
          </w:p>
        </w:tc>
      </w:tr>
    </w:tbl>
    <w:p w14:paraId="2E7DF4D5">
      <w:pPr>
        <w:pStyle w:val="41"/>
        <w:bidi w:val="0"/>
        <w:rPr>
          <w:rFonts w:hint="default"/>
        </w:rPr>
      </w:pPr>
      <w:r>
        <w:rPr>
          <w:rFonts w:hint="default"/>
        </w:rPr>
        <w:t>项目位于山区，通过相关资料收集，项目所在地多年平均水面蒸发量</w:t>
      </w:r>
      <w:r>
        <w:rPr>
          <w:rFonts w:hint="eastAsia"/>
          <w:lang w:val="en-US" w:eastAsia="zh-CN"/>
        </w:rPr>
        <w:t>1780.2</w:t>
      </w:r>
      <w:r>
        <w:rPr>
          <w:rFonts w:hint="default"/>
        </w:rPr>
        <w:t>mm，多年平均降水量</w:t>
      </w:r>
      <w:r>
        <w:rPr>
          <w:rFonts w:hint="eastAsia"/>
          <w:lang w:val="en-US" w:eastAsia="zh-CN"/>
        </w:rPr>
        <w:t>1008</w:t>
      </w:r>
      <w:r>
        <w:rPr>
          <w:rFonts w:hint="default"/>
        </w:rPr>
        <w:t>mm，干燥度=</w:t>
      </w:r>
      <w:r>
        <w:rPr>
          <w:rFonts w:hint="eastAsia"/>
          <w:lang w:val="en-US" w:eastAsia="zh-CN"/>
        </w:rPr>
        <w:t>1780.2</w:t>
      </w:r>
      <w:r>
        <w:rPr>
          <w:rFonts w:hint="default"/>
        </w:rPr>
        <w:t>/</w:t>
      </w:r>
      <w:r>
        <w:rPr>
          <w:rFonts w:hint="eastAsia"/>
          <w:lang w:val="en-US" w:eastAsia="zh-CN"/>
        </w:rPr>
        <w:t>1008</w:t>
      </w:r>
      <w:r>
        <w:rPr>
          <w:rFonts w:hint="default"/>
        </w:rPr>
        <w:t>=</w:t>
      </w:r>
      <w:r>
        <w:rPr>
          <w:rFonts w:hint="default"/>
          <w:lang w:val="en-US" w:eastAsia="zh-CN"/>
        </w:rPr>
        <w:t>1.</w:t>
      </w:r>
      <w:r>
        <w:rPr>
          <w:rFonts w:hint="eastAsia"/>
          <w:lang w:val="en-US" w:eastAsia="zh-CN"/>
        </w:rPr>
        <w:t>7</w:t>
      </w:r>
      <w:r>
        <w:rPr>
          <w:rFonts w:hint="default"/>
          <w:lang w:val="en-US" w:eastAsia="zh-CN"/>
        </w:rPr>
        <w:t>7</w:t>
      </w:r>
      <w:r>
        <w:rPr>
          <w:rFonts w:hint="default"/>
        </w:rPr>
        <w:t>；当地的常年地下水水位平均埋深&gt;1.8m；根据</w:t>
      </w:r>
      <w:r>
        <w:rPr>
          <w:rFonts w:hint="default"/>
          <w:lang w:val="en-US" w:eastAsia="zh-CN"/>
        </w:rPr>
        <w:t>现状</w:t>
      </w:r>
      <w:r>
        <w:rPr>
          <w:rFonts w:hint="default"/>
        </w:rPr>
        <w:t>检测结果，</w:t>
      </w:r>
      <w:r>
        <w:rPr>
          <w:rFonts w:hint="eastAsia"/>
          <w:lang w:val="en-US" w:eastAsia="zh-CN"/>
        </w:rPr>
        <w:t>根据土壤现状监测，</w:t>
      </w:r>
      <w:r>
        <w:rPr>
          <w:rFonts w:hint="default"/>
        </w:rPr>
        <w:t>建设项目所在地土壤</w:t>
      </w:r>
      <w:r>
        <w:rPr>
          <w:rFonts w:hint="default"/>
          <w:lang w:val="en-US" w:eastAsia="zh-CN"/>
        </w:rPr>
        <w:t>含盐量4g/kg，</w:t>
      </w:r>
      <w:r>
        <w:rPr>
          <w:rFonts w:hint="default"/>
        </w:rPr>
        <w:t>pH</w:t>
      </w:r>
      <w:r>
        <w:rPr>
          <w:rFonts w:hint="default"/>
          <w:lang w:val="en-US" w:eastAsia="zh-CN"/>
        </w:rPr>
        <w:t>值为6.60</w:t>
      </w:r>
      <w:r>
        <w:rPr>
          <w:rFonts w:hint="default"/>
        </w:rPr>
        <w:t>~</w:t>
      </w:r>
      <w:r>
        <w:rPr>
          <w:rFonts w:hint="default"/>
          <w:lang w:val="en-US" w:eastAsia="zh-CN"/>
        </w:rPr>
        <w:t>8.26</w:t>
      </w:r>
      <w:r>
        <w:rPr>
          <w:rFonts w:hint="default"/>
        </w:rPr>
        <w:t>。因此，本项目场地土壤环境</w:t>
      </w:r>
      <w:r>
        <w:rPr>
          <w:rFonts w:hint="default"/>
          <w:lang w:val="en-US" w:eastAsia="zh-CN"/>
        </w:rPr>
        <w:t>为</w:t>
      </w:r>
      <w:r>
        <w:rPr>
          <w:rFonts w:hint="eastAsia"/>
          <w:lang w:val="en-US" w:eastAsia="zh-CN"/>
        </w:rPr>
        <w:t>“</w:t>
      </w:r>
      <w:r>
        <w:rPr>
          <w:rFonts w:hint="default"/>
          <w:lang w:val="en-US" w:eastAsia="zh-CN"/>
        </w:rPr>
        <w:t>不</w:t>
      </w:r>
      <w:r>
        <w:rPr>
          <w:rFonts w:hint="default"/>
        </w:rPr>
        <w:t>敏感</w:t>
      </w:r>
      <w:r>
        <w:rPr>
          <w:rFonts w:hint="eastAsia"/>
          <w:lang w:eastAsia="zh-CN"/>
        </w:rPr>
        <w:t>”</w:t>
      </w:r>
      <w:r>
        <w:rPr>
          <w:rFonts w:hint="default"/>
        </w:rPr>
        <w:t>。</w:t>
      </w:r>
    </w:p>
    <w:p w14:paraId="79EB8AA8">
      <w:pPr>
        <w:pStyle w:val="41"/>
        <w:bidi w:val="0"/>
        <w:rPr>
          <w:rFonts w:hint="default"/>
          <w:b/>
          <w:bCs/>
        </w:rPr>
      </w:pPr>
      <w:r>
        <w:rPr>
          <w:rFonts w:hint="default"/>
          <w:b/>
          <w:bCs/>
        </w:rPr>
        <w:t>（2）评价等级</w:t>
      </w:r>
    </w:p>
    <w:p w14:paraId="7565F1CB">
      <w:pPr>
        <w:pStyle w:val="41"/>
        <w:bidi w:val="0"/>
        <w:rPr>
          <w:rFonts w:hint="default"/>
        </w:rPr>
      </w:pPr>
      <w:r>
        <w:rPr>
          <w:rFonts w:hint="default"/>
        </w:rPr>
        <w:t>根据</w:t>
      </w:r>
      <w:r>
        <w:rPr>
          <w:rFonts w:hint="eastAsia"/>
          <w:lang w:eastAsia="zh-CN"/>
        </w:rPr>
        <w:t>《</w:t>
      </w:r>
      <w:r>
        <w:rPr>
          <w:rFonts w:hint="default"/>
        </w:rPr>
        <w:t>环境影响评价技术导则 土壤环境》（HJ964-2018），生态影响型土壤环境评价工作等级的划分是由项目类别、环境敏感程度确定，具体见下表。</w:t>
      </w:r>
    </w:p>
    <w:p w14:paraId="26097DE1">
      <w:pPr>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w:t>
      </w:r>
      <w:r>
        <w:rPr>
          <w:rFonts w:hint="eastAsia" w:ascii="Times New Roman" w:hAnsi="Times New Roman" w:cs="Times New Roman"/>
          <w:b/>
          <w:bCs/>
          <w:color w:val="000000" w:themeColor="text1"/>
          <w:highlight w:val="none"/>
          <w:lang w:val="en-US" w:eastAsia="zh-CN"/>
          <w14:textFill>
            <w14:solidFill>
              <w14:schemeClr w14:val="tx1"/>
            </w14:solidFill>
          </w14:textFill>
        </w:rPr>
        <w:t>6.6-2</w:t>
      </w:r>
      <w:r>
        <w:rPr>
          <w:rFonts w:hint="default" w:ascii="Times New Roman" w:hAnsi="Times New Roman" w:cs="Times New Roman"/>
          <w:b/>
          <w:bCs/>
          <w:color w:val="000000" w:themeColor="text1"/>
          <w:highlight w:val="none"/>
          <w14:textFill>
            <w14:solidFill>
              <w14:schemeClr w14:val="tx1"/>
            </w14:solidFill>
          </w14:textFill>
        </w:rPr>
        <w:t xml:space="preserve">  生态影响型土壤评价工作等级划分表</w:t>
      </w:r>
    </w:p>
    <w:tbl>
      <w:tblPr>
        <w:tblStyle w:val="3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37"/>
        <w:gridCol w:w="1564"/>
        <w:gridCol w:w="1765"/>
        <w:gridCol w:w="1963"/>
      </w:tblGrid>
      <w:tr w14:paraId="33DDC6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tcBorders>
              <w:tl2br w:val="single" w:color="auto" w:sz="4" w:space="0"/>
            </w:tcBorders>
            <w:noWrap w:val="0"/>
            <w:vAlign w:val="center"/>
          </w:tcPr>
          <w:p w14:paraId="71244076">
            <w:pPr>
              <w:pStyle w:val="43"/>
              <w:bidi w:val="0"/>
              <w:jc w:val="righ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项目类别</w:t>
            </w:r>
          </w:p>
          <w:p w14:paraId="31606513">
            <w:pPr>
              <w:pStyle w:val="43"/>
              <w:bidi w:val="0"/>
              <w:jc w:val="left"/>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敏感程度</w:t>
            </w:r>
          </w:p>
        </w:tc>
        <w:tc>
          <w:tcPr>
            <w:tcW w:w="1563" w:type="dxa"/>
            <w:tcBorders>
              <w:right w:val="single" w:color="auto" w:sz="4" w:space="0"/>
            </w:tcBorders>
            <w:noWrap w:val="0"/>
            <w:vAlign w:val="center"/>
          </w:tcPr>
          <w:p w14:paraId="6DBC2462">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I类</w:t>
            </w:r>
          </w:p>
        </w:tc>
        <w:tc>
          <w:tcPr>
            <w:tcW w:w="1764" w:type="dxa"/>
            <w:tcBorders>
              <w:left w:val="single" w:color="auto" w:sz="4" w:space="0"/>
              <w:right w:val="single" w:color="auto" w:sz="4" w:space="0"/>
            </w:tcBorders>
            <w:noWrap w:val="0"/>
            <w:vAlign w:val="center"/>
          </w:tcPr>
          <w:p w14:paraId="3567E268">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ascii="Times New Roman" w:hAnsi="Times New Roman" w:cs="Times New Roman"/>
                <w:b/>
                <w:bCs/>
                <w:color w:val="000000" w:themeColor="text1"/>
                <w:highlight w:val="none"/>
                <w:lang w:eastAsia="zh-CN"/>
                <w14:textFill>
                  <w14:solidFill>
                    <w14:schemeClr w14:val="tx1"/>
                  </w14:solidFill>
                </w14:textFill>
              </w:rPr>
              <w:t>Ⅱ</w:t>
            </w:r>
            <w:r>
              <w:rPr>
                <w:rFonts w:hint="default" w:ascii="Times New Roman" w:hAnsi="Times New Roman" w:cs="Times New Roman"/>
                <w:b/>
                <w:bCs/>
                <w:color w:val="000000" w:themeColor="text1"/>
                <w:highlight w:val="none"/>
                <w14:textFill>
                  <w14:solidFill>
                    <w14:schemeClr w14:val="tx1"/>
                  </w14:solidFill>
                </w14:textFill>
              </w:rPr>
              <w:t>类</w:t>
            </w:r>
          </w:p>
        </w:tc>
        <w:tc>
          <w:tcPr>
            <w:tcW w:w="1961" w:type="dxa"/>
            <w:tcBorders>
              <w:left w:val="single" w:color="auto" w:sz="4" w:space="0"/>
            </w:tcBorders>
            <w:noWrap w:val="0"/>
            <w:vAlign w:val="center"/>
          </w:tcPr>
          <w:p w14:paraId="7EFA766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ascii="Times New Roman" w:hAnsi="Times New Roman" w:cs="Times New Roman"/>
                <w:b/>
                <w:bCs/>
                <w:color w:val="000000" w:themeColor="text1"/>
                <w:highlight w:val="none"/>
                <w:lang w:eastAsia="zh-CN"/>
                <w14:textFill>
                  <w14:solidFill>
                    <w14:schemeClr w14:val="tx1"/>
                  </w14:solidFill>
                </w14:textFill>
              </w:rPr>
              <w:t>Ⅲ</w:t>
            </w:r>
            <w:r>
              <w:rPr>
                <w:rFonts w:hint="default" w:ascii="Times New Roman" w:hAnsi="Times New Roman" w:cs="Times New Roman"/>
                <w:b/>
                <w:bCs/>
                <w:color w:val="000000" w:themeColor="text1"/>
                <w:highlight w:val="none"/>
                <w14:textFill>
                  <w14:solidFill>
                    <w14:schemeClr w14:val="tx1"/>
                  </w14:solidFill>
                </w14:textFill>
              </w:rPr>
              <w:t>类</w:t>
            </w:r>
          </w:p>
        </w:tc>
      </w:tr>
      <w:tr w14:paraId="739DB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4010CE8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敏感</w:t>
            </w:r>
          </w:p>
        </w:tc>
        <w:tc>
          <w:tcPr>
            <w:tcW w:w="1563" w:type="dxa"/>
            <w:noWrap w:val="0"/>
            <w:vAlign w:val="center"/>
          </w:tcPr>
          <w:p w14:paraId="5C088F6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一级</w:t>
            </w:r>
          </w:p>
        </w:tc>
        <w:tc>
          <w:tcPr>
            <w:tcW w:w="1764" w:type="dxa"/>
            <w:noWrap w:val="0"/>
            <w:vAlign w:val="center"/>
          </w:tcPr>
          <w:p w14:paraId="040DE77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961" w:type="dxa"/>
            <w:shd w:val="clear" w:color="auto" w:fill="auto"/>
            <w:noWrap w:val="0"/>
            <w:vAlign w:val="center"/>
          </w:tcPr>
          <w:p w14:paraId="6A119A7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r>
      <w:tr w14:paraId="378D5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72953FE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较敏感</w:t>
            </w:r>
          </w:p>
        </w:tc>
        <w:tc>
          <w:tcPr>
            <w:tcW w:w="1563" w:type="dxa"/>
            <w:noWrap w:val="0"/>
            <w:vAlign w:val="center"/>
          </w:tcPr>
          <w:p w14:paraId="249E6799">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764" w:type="dxa"/>
            <w:noWrap w:val="0"/>
            <w:vAlign w:val="center"/>
          </w:tcPr>
          <w:p w14:paraId="2AB90E2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961" w:type="dxa"/>
            <w:noWrap w:val="0"/>
            <w:vAlign w:val="center"/>
          </w:tcPr>
          <w:p w14:paraId="40DB9B51">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r>
      <w:tr w14:paraId="2DED8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234" w:type="dxa"/>
            <w:noWrap w:val="0"/>
            <w:vAlign w:val="center"/>
          </w:tcPr>
          <w:p w14:paraId="7E27436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不敏感</w:t>
            </w:r>
          </w:p>
        </w:tc>
        <w:tc>
          <w:tcPr>
            <w:tcW w:w="1563" w:type="dxa"/>
            <w:noWrap w:val="0"/>
            <w:vAlign w:val="center"/>
          </w:tcPr>
          <w:p w14:paraId="573F1BA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二级</w:t>
            </w:r>
          </w:p>
        </w:tc>
        <w:tc>
          <w:tcPr>
            <w:tcW w:w="1764" w:type="dxa"/>
            <w:noWrap w:val="0"/>
            <w:vAlign w:val="center"/>
          </w:tcPr>
          <w:p w14:paraId="5D6B0DB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三级</w:t>
            </w:r>
          </w:p>
        </w:tc>
        <w:tc>
          <w:tcPr>
            <w:tcW w:w="1961" w:type="dxa"/>
            <w:shd w:val="clear" w:color="auto" w:fill="92D050"/>
            <w:noWrap w:val="0"/>
            <w:vAlign w:val="center"/>
          </w:tcPr>
          <w:p w14:paraId="24D5CEF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7D844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522" w:type="dxa"/>
            <w:gridSpan w:val="4"/>
            <w:noWrap w:val="0"/>
            <w:vAlign w:val="center"/>
          </w:tcPr>
          <w:p w14:paraId="3513AC6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注：</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表示可不开展土壤环境影响评价工作。</w:t>
            </w:r>
          </w:p>
        </w:tc>
      </w:tr>
    </w:tbl>
    <w:p w14:paraId="2D0CFB0B">
      <w:pPr>
        <w:pStyle w:val="41"/>
        <w:bidi w:val="0"/>
        <w:rPr>
          <w:rFonts w:hint="default"/>
        </w:rPr>
      </w:pPr>
      <w:r>
        <w:rPr>
          <w:rFonts w:hint="default"/>
        </w:rPr>
        <w:t>项目为Ⅲ类项目，生态影响型土壤敏感程度为</w:t>
      </w:r>
      <w:r>
        <w:rPr>
          <w:rFonts w:hint="eastAsia"/>
          <w:lang w:eastAsia="zh-CN"/>
        </w:rPr>
        <w:t>“</w:t>
      </w:r>
      <w:r>
        <w:rPr>
          <w:rFonts w:hint="default"/>
          <w:lang w:val="en-US" w:eastAsia="zh-CN"/>
        </w:rPr>
        <w:t>不</w:t>
      </w:r>
      <w:r>
        <w:rPr>
          <w:rFonts w:hint="default"/>
        </w:rPr>
        <w:t>敏感</w:t>
      </w:r>
      <w:r>
        <w:rPr>
          <w:rFonts w:hint="eastAsia"/>
          <w:lang w:eastAsia="zh-CN"/>
        </w:rPr>
        <w:t>”</w:t>
      </w:r>
      <w:r>
        <w:rPr>
          <w:rFonts w:hint="default"/>
        </w:rPr>
        <w:t>，因此项目</w:t>
      </w:r>
      <w:r>
        <w:rPr>
          <w:rFonts w:hint="default"/>
          <w:lang w:val="en-US" w:eastAsia="zh-CN"/>
        </w:rPr>
        <w:t>可不开展生态影响型</w:t>
      </w:r>
      <w:r>
        <w:rPr>
          <w:rFonts w:hint="default"/>
        </w:rPr>
        <w:t>土壤环境影响评价。</w:t>
      </w:r>
    </w:p>
    <w:p w14:paraId="2569A1B9">
      <w:pPr>
        <w:pStyle w:val="5"/>
        <w:keepNext/>
        <w:pageBreakBefore w:val="0"/>
        <w:kinsoku/>
        <w:wordWrap/>
        <w:overflowPunct/>
        <w:topLinePunct w:val="0"/>
        <w:autoSpaceDE/>
        <w:autoSpaceDN/>
        <w:bidi w:val="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污染影响型</w:t>
      </w:r>
    </w:p>
    <w:p w14:paraId="7A836797">
      <w:pPr>
        <w:pStyle w:val="41"/>
        <w:bidi w:val="0"/>
        <w:rPr>
          <w:rFonts w:hint="default"/>
          <w:b/>
          <w:bCs/>
        </w:rPr>
      </w:pPr>
      <w:r>
        <w:rPr>
          <w:rFonts w:hint="default"/>
          <w:b/>
          <w:bCs/>
        </w:rPr>
        <w:t>（1）评价等级</w:t>
      </w:r>
    </w:p>
    <w:p w14:paraId="4A4FFEE2">
      <w:pPr>
        <w:pStyle w:val="41"/>
        <w:bidi w:val="0"/>
        <w:rPr>
          <w:rFonts w:hint="default" w:ascii="Times New Roman" w:hAnsi="Times New Roman" w:cs="Times New Roman"/>
          <w:color w:val="000000" w:themeColor="text1"/>
          <w:highlight w:val="none"/>
          <w14:textFill>
            <w14:solidFill>
              <w14:schemeClr w14:val="tx1"/>
            </w14:solidFill>
          </w14:textFill>
        </w:rPr>
      </w:pPr>
      <w:r>
        <w:rPr>
          <w:rFonts w:hint="default"/>
        </w:rPr>
        <w:t>根据</w:t>
      </w:r>
      <w:r>
        <w:rPr>
          <w:rFonts w:hint="eastAsia"/>
          <w:lang w:eastAsia="zh-CN"/>
        </w:rPr>
        <w:t>《</w:t>
      </w:r>
      <w:r>
        <w:rPr>
          <w:rFonts w:hint="default"/>
        </w:rPr>
        <w:t>环境影响评价技术导则 土壤环境》（HJ964-2018），污染影响型建设项目土壤评价等级划分见下表。</w:t>
      </w:r>
    </w:p>
    <w:p w14:paraId="22A24DC1">
      <w:pPr>
        <w:pStyle w:val="45"/>
        <w:bidi w:val="0"/>
        <w:rPr>
          <w:rFonts w:hint="default"/>
          <w:lang w:eastAsia="zh-CN"/>
        </w:rPr>
      </w:pPr>
      <w:r>
        <w:rPr>
          <w:rFonts w:hint="default"/>
        </w:rPr>
        <w:t>表</w:t>
      </w:r>
      <w:r>
        <w:rPr>
          <w:rFonts w:hint="eastAsia"/>
          <w:lang w:val="en-US" w:eastAsia="zh-CN"/>
        </w:rPr>
        <w:t>6.6-3</w:t>
      </w:r>
      <w:r>
        <w:rPr>
          <w:rFonts w:hint="default"/>
          <w:lang w:val="en-US" w:eastAsia="zh-CN"/>
        </w:rPr>
        <w:t xml:space="preserve"> </w:t>
      </w:r>
      <w:r>
        <w:rPr>
          <w:rFonts w:hint="default"/>
          <w:lang w:eastAsia="zh-CN"/>
        </w:rPr>
        <w:t>污染</w:t>
      </w:r>
      <w:r>
        <w:rPr>
          <w:rFonts w:hint="default"/>
        </w:rPr>
        <w:t>影响</w:t>
      </w:r>
      <w:r>
        <w:rPr>
          <w:rFonts w:hint="default"/>
          <w:lang w:eastAsia="zh-CN"/>
        </w:rPr>
        <w:t>型</w:t>
      </w:r>
      <w:r>
        <w:rPr>
          <w:rFonts w:hint="default"/>
        </w:rPr>
        <w:t>评价工作等级划分表</w:t>
      </w:r>
    </w:p>
    <w:tbl>
      <w:tblPr>
        <w:tblStyle w:val="34"/>
        <w:tblW w:w="5000" w:type="pct"/>
        <w:jc w:val="center"/>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254"/>
        <w:gridCol w:w="739"/>
        <w:gridCol w:w="732"/>
        <w:gridCol w:w="742"/>
        <w:gridCol w:w="882"/>
        <w:gridCol w:w="872"/>
        <w:gridCol w:w="863"/>
        <w:gridCol w:w="854"/>
        <w:gridCol w:w="856"/>
        <w:gridCol w:w="738"/>
      </w:tblGrid>
      <w:tr w14:paraId="06F1B4B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ABB029F">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占地规模</w:t>
            </w:r>
          </w:p>
          <w:p w14:paraId="2BB23AC3">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敏感程度</w:t>
            </w:r>
          </w:p>
        </w:tc>
        <w:tc>
          <w:tcPr>
            <w:tcW w:w="221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DCB8C99">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Ⅰ类</w:t>
            </w:r>
          </w:p>
        </w:tc>
        <w:tc>
          <w:tcPr>
            <w:tcW w:w="2614" w:type="dxa"/>
            <w:gridSpan w:val="3"/>
            <w:tcBorders>
              <w:top w:val="single" w:color="auto" w:sz="4" w:space="0"/>
              <w:left w:val="single" w:color="auto" w:sz="4" w:space="0"/>
              <w:bottom w:val="single" w:color="auto" w:sz="4" w:space="0"/>
              <w:right w:val="single" w:color="auto" w:sz="4" w:space="0"/>
            </w:tcBorders>
            <w:noWrap w:val="0"/>
            <w:vAlign w:val="center"/>
          </w:tcPr>
          <w:p w14:paraId="3770FFE3">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Ⅱ类</w:t>
            </w:r>
          </w:p>
        </w:tc>
        <w:tc>
          <w:tcPr>
            <w:tcW w:w="2442"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56F2684A">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Ⅲ类</w:t>
            </w:r>
          </w:p>
        </w:tc>
      </w:tr>
      <w:tr w14:paraId="2FF10E1E">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53" w:type="dxa"/>
            <w:vMerge w:val="continue"/>
            <w:tcBorders>
              <w:top w:val="single" w:color="auto" w:sz="4" w:space="0"/>
              <w:left w:val="single" w:color="auto" w:sz="4" w:space="0"/>
              <w:bottom w:val="single" w:color="auto" w:sz="4" w:space="0"/>
              <w:right w:val="single" w:color="auto" w:sz="4" w:space="0"/>
            </w:tcBorders>
            <w:noWrap w:val="0"/>
            <w:vAlign w:val="center"/>
          </w:tcPr>
          <w:p w14:paraId="73E5C19C">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7C4062">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331A0C">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25AFD4">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51AEB4">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024707CE">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D21906C">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3B2A8FF">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54C0EF8E">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中</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4DAA462F">
            <w:pPr>
              <w:pStyle w:val="43"/>
              <w:bidi w:val="0"/>
              <w:rPr>
                <w:rFonts w:hint="default" w:ascii="Times New Roman" w:hAnsi="Times New Roman" w:cs="Times New Roman"/>
                <w:b/>
                <w:bCs/>
                <w:color w:val="000000" w:themeColor="text1"/>
                <w:highlight w:val="none"/>
                <w:lang w:eastAsia="zh-CN"/>
                <w14:textFill>
                  <w14:solidFill>
                    <w14:schemeClr w14:val="tx1"/>
                  </w14:solidFill>
                </w14:textFill>
              </w:rPr>
            </w:pPr>
            <w:r>
              <w:rPr>
                <w:rFonts w:hint="default" w:ascii="Times New Roman" w:hAnsi="Times New Roman" w:cs="Times New Roman"/>
                <w:b/>
                <w:bCs/>
                <w:color w:val="000000" w:themeColor="text1"/>
                <w:highlight w:val="none"/>
                <w:lang w:eastAsia="zh-CN"/>
                <w14:textFill>
                  <w14:solidFill>
                    <w14:schemeClr w14:val="tx1"/>
                  </w14:solidFill>
                </w14:textFill>
              </w:rPr>
              <w:t>小</w:t>
            </w:r>
          </w:p>
        </w:tc>
      </w:tr>
      <w:tr w14:paraId="7DDD6D9C">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89DC8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敏感</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6ADF7A">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FD8D18">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9C73F0">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74D3CA8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71D6FA6B">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8E3DC42">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9EC35F">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shd w:val="clear" w:color="auto" w:fill="92D050"/>
            <w:noWrap w:val="0"/>
            <w:vAlign w:val="center"/>
          </w:tcPr>
          <w:p w14:paraId="547F0373">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7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5B0D4F">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r>
      <w:tr w14:paraId="136A8F89">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noWrap w:val="0"/>
            <w:vAlign w:val="center"/>
          </w:tcPr>
          <w:p w14:paraId="33D321D6">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较敏感</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2B44B7">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46D8C6">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4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9C9DF7">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33788CAA">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406A7EEE">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43EA5111">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00ABD9">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213A3A7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25C8BE65">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r>
      <w:tr w14:paraId="1E8E8390">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53" w:type="dxa"/>
            <w:tcBorders>
              <w:top w:val="single" w:color="auto" w:sz="4" w:space="0"/>
              <w:left w:val="single" w:color="auto" w:sz="4" w:space="0"/>
              <w:bottom w:val="single" w:color="auto" w:sz="4" w:space="0"/>
              <w:right w:val="single" w:color="auto" w:sz="4" w:space="0"/>
            </w:tcBorders>
            <w:noWrap w:val="0"/>
            <w:vAlign w:val="center"/>
          </w:tcPr>
          <w:p w14:paraId="0A72E5B9">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不敏感</w:t>
            </w:r>
          </w:p>
        </w:tc>
        <w:tc>
          <w:tcPr>
            <w:tcW w:w="738" w:type="dxa"/>
            <w:tcBorders>
              <w:top w:val="single" w:color="auto" w:sz="4" w:space="0"/>
              <w:left w:val="single" w:color="auto" w:sz="4" w:space="0"/>
              <w:bottom w:val="single" w:color="auto" w:sz="4" w:space="0"/>
              <w:right w:val="single" w:color="auto" w:sz="4" w:space="0"/>
            </w:tcBorders>
            <w:noWrap w:val="0"/>
            <w:vAlign w:val="center"/>
          </w:tcPr>
          <w:p w14:paraId="2875C60D">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一级</w:t>
            </w:r>
          </w:p>
        </w:tc>
        <w:tc>
          <w:tcPr>
            <w:tcW w:w="731" w:type="dxa"/>
            <w:tcBorders>
              <w:top w:val="single" w:color="auto" w:sz="4" w:space="0"/>
              <w:left w:val="single" w:color="auto" w:sz="4" w:space="0"/>
              <w:bottom w:val="single" w:color="auto" w:sz="4" w:space="0"/>
              <w:right w:val="single" w:color="auto" w:sz="4" w:space="0"/>
            </w:tcBorders>
            <w:noWrap w:val="0"/>
            <w:vAlign w:val="center"/>
          </w:tcPr>
          <w:p w14:paraId="504FA9CA">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06F66291">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2C875A2C">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二级</w:t>
            </w:r>
          </w:p>
        </w:tc>
        <w:tc>
          <w:tcPr>
            <w:tcW w:w="871" w:type="dxa"/>
            <w:tcBorders>
              <w:top w:val="single" w:color="auto" w:sz="4" w:space="0"/>
              <w:left w:val="single" w:color="auto" w:sz="4" w:space="0"/>
              <w:bottom w:val="single" w:color="auto" w:sz="4" w:space="0"/>
              <w:right w:val="single" w:color="auto" w:sz="4" w:space="0"/>
            </w:tcBorders>
            <w:noWrap w:val="0"/>
            <w:vAlign w:val="center"/>
          </w:tcPr>
          <w:p w14:paraId="2387E47B">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7569BE2">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CAB2A0">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三级</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796F0C3D">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65EDC54F">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w:t>
            </w:r>
          </w:p>
        </w:tc>
      </w:tr>
      <w:tr w14:paraId="7E552013">
        <w:tblPrEx>
          <w:tblBorders>
            <w:top w:val="double" w:color="auto" w:sz="4" w:space="0"/>
            <w:left w:val="none" w:color="auto" w:sz="0" w:space="0"/>
            <w:bottom w:val="double" w:color="auto"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8519" w:type="dxa"/>
            <w:gridSpan w:val="10"/>
            <w:tcBorders>
              <w:top w:val="single" w:color="auto" w:sz="4" w:space="0"/>
              <w:left w:val="single" w:color="auto" w:sz="4" w:space="0"/>
              <w:bottom w:val="single" w:color="auto" w:sz="4" w:space="0"/>
              <w:right w:val="single" w:color="auto" w:sz="4" w:space="0"/>
            </w:tcBorders>
            <w:noWrap w:val="0"/>
            <w:vAlign w:val="center"/>
          </w:tcPr>
          <w:p w14:paraId="655CE821">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注：</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eastAsia="zh-CN"/>
                <w14:textFill>
                  <w14:solidFill>
                    <w14:schemeClr w14:val="tx1"/>
                  </w14:solidFill>
                </w14:textFill>
              </w:rPr>
              <w:t>表示可不开展土壤环境影响评价工作</w:t>
            </w:r>
          </w:p>
        </w:tc>
      </w:tr>
    </w:tbl>
    <w:p w14:paraId="278EA6EA">
      <w:pPr>
        <w:pStyle w:val="41"/>
        <w:bidi w:val="0"/>
        <w:rPr>
          <w:rFonts w:hint="default"/>
        </w:rPr>
      </w:pPr>
      <w:r>
        <w:rPr>
          <w:rFonts w:hint="default"/>
        </w:rPr>
        <w:t>本项目为Ⅲ类项目；矿区周边</w:t>
      </w:r>
      <w:r>
        <w:rPr>
          <w:rFonts w:hint="default"/>
          <w:lang w:val="en-US" w:eastAsia="zh-CN"/>
        </w:rPr>
        <w:t>东侧分布</w:t>
      </w:r>
      <w:r>
        <w:rPr>
          <w:rFonts w:hint="default"/>
        </w:rPr>
        <w:t>有耕地，土壤环境</w:t>
      </w:r>
      <w:r>
        <w:rPr>
          <w:rFonts w:hint="default"/>
          <w:lang w:val="en-US" w:eastAsia="zh-CN"/>
        </w:rPr>
        <w:t>敏感程度</w:t>
      </w:r>
      <w:r>
        <w:rPr>
          <w:rFonts w:hint="default"/>
        </w:rPr>
        <w:t>属于</w:t>
      </w:r>
      <w:r>
        <w:rPr>
          <w:rFonts w:hint="eastAsia"/>
          <w:lang w:eastAsia="zh-CN"/>
        </w:rPr>
        <w:t>“</w:t>
      </w:r>
      <w:r>
        <w:rPr>
          <w:rFonts w:hint="default"/>
        </w:rPr>
        <w:t>敏感</w:t>
      </w:r>
      <w:r>
        <w:rPr>
          <w:rFonts w:hint="eastAsia"/>
          <w:lang w:eastAsia="zh-CN"/>
        </w:rPr>
        <w:t>”</w:t>
      </w:r>
      <w:r>
        <w:rPr>
          <w:rFonts w:hint="default"/>
        </w:rPr>
        <w:t>；本项目总</w:t>
      </w:r>
      <w:r>
        <w:rPr>
          <w:rFonts w:hint="eastAsia"/>
          <w:lang w:val="en-US" w:eastAsia="zh-CN"/>
        </w:rPr>
        <w:t>占地面积31.956hm</w:t>
      </w:r>
      <w:r>
        <w:rPr>
          <w:rFonts w:hint="eastAsia"/>
          <w:vertAlign w:val="superscript"/>
          <w:lang w:val="en-US" w:eastAsia="zh-CN"/>
        </w:rPr>
        <w:t>2</w:t>
      </w:r>
      <w:r>
        <w:rPr>
          <w:rFonts w:hint="default"/>
          <w:lang w:val="en-US" w:eastAsia="zh-CN"/>
        </w:rPr>
        <w:t>，项目占地面积在5hm</w:t>
      </w:r>
      <w:r>
        <w:rPr>
          <w:rFonts w:hint="default"/>
          <w:vertAlign w:val="superscript"/>
          <w:lang w:val="en-US" w:eastAsia="zh-CN"/>
        </w:rPr>
        <w:t>2</w:t>
      </w:r>
      <w:r>
        <w:rPr>
          <w:rFonts w:hint="default"/>
          <w:lang w:val="en-US" w:eastAsia="zh-CN"/>
        </w:rPr>
        <w:t>~</w:t>
      </w:r>
      <w:r>
        <w:rPr>
          <w:rFonts w:hint="default"/>
        </w:rPr>
        <w:t>50hm</w:t>
      </w:r>
      <w:r>
        <w:rPr>
          <w:rFonts w:hint="default"/>
          <w:vertAlign w:val="superscript"/>
        </w:rPr>
        <w:t>2</w:t>
      </w:r>
      <w:r>
        <w:rPr>
          <w:rFonts w:hint="default"/>
          <w:lang w:val="en-US" w:eastAsia="zh-CN"/>
        </w:rPr>
        <w:t>区间内</w:t>
      </w:r>
      <w:r>
        <w:rPr>
          <w:rFonts w:hint="default"/>
        </w:rPr>
        <w:t>，占地规模属于</w:t>
      </w:r>
      <w:r>
        <w:rPr>
          <w:rFonts w:hint="eastAsia"/>
          <w:lang w:eastAsia="zh-CN"/>
        </w:rPr>
        <w:t>“</w:t>
      </w:r>
      <w:r>
        <w:rPr>
          <w:rFonts w:hint="default"/>
          <w:lang w:val="en-US" w:eastAsia="zh-CN"/>
        </w:rPr>
        <w:t>中</w:t>
      </w:r>
      <w:r>
        <w:rPr>
          <w:rFonts w:hint="default"/>
        </w:rPr>
        <w:t>型</w:t>
      </w:r>
      <w:r>
        <w:rPr>
          <w:rFonts w:hint="eastAsia"/>
          <w:lang w:eastAsia="zh-CN"/>
        </w:rPr>
        <w:t>”</w:t>
      </w:r>
      <w:r>
        <w:rPr>
          <w:rFonts w:hint="default"/>
        </w:rPr>
        <w:t>，因此项目</w:t>
      </w:r>
      <w:r>
        <w:rPr>
          <w:rFonts w:hint="default"/>
          <w:lang w:val="en-US" w:eastAsia="zh-CN"/>
        </w:rPr>
        <w:t>污染影响型</w:t>
      </w:r>
      <w:r>
        <w:rPr>
          <w:rFonts w:hint="default"/>
        </w:rPr>
        <w:t>土壤环境影响评价工作等级为三级</w:t>
      </w:r>
      <w:r>
        <w:rPr>
          <w:rFonts w:hint="default"/>
          <w:lang w:eastAsia="zh-CN"/>
        </w:rPr>
        <w:t>。</w:t>
      </w:r>
      <w:r>
        <w:rPr>
          <w:rFonts w:hint="default"/>
        </w:rPr>
        <w:t>根据HJ964-2018中8.7.4条，三级评价可采用定性描述或类比分析法进行预测。</w:t>
      </w:r>
    </w:p>
    <w:p w14:paraId="79ABCF2A">
      <w:pPr>
        <w:pStyle w:val="41"/>
        <w:bidi w:val="0"/>
        <w:rPr>
          <w:rFonts w:hint="default"/>
          <w:b/>
          <w:bCs/>
        </w:rPr>
      </w:pPr>
      <w:r>
        <w:rPr>
          <w:rFonts w:hint="default"/>
          <w:b/>
          <w:bCs/>
        </w:rPr>
        <w:t>（2）评价范围</w:t>
      </w:r>
    </w:p>
    <w:p w14:paraId="59878345">
      <w:pPr>
        <w:pStyle w:val="41"/>
        <w:bidi w:val="0"/>
        <w:rPr>
          <w:rFonts w:hint="default"/>
        </w:rPr>
      </w:pPr>
      <w:r>
        <w:rPr>
          <w:rFonts w:hint="default"/>
        </w:rPr>
        <w:t>项目同时涉及土壤环境生态影响型与污染影响型时，应分别判定评价工作等级</w:t>
      </w:r>
      <w:r>
        <w:rPr>
          <w:rFonts w:hint="default"/>
          <w:lang w:eastAsia="zh-CN"/>
        </w:rPr>
        <w:t>，</w:t>
      </w:r>
      <w:r>
        <w:rPr>
          <w:rFonts w:hint="default"/>
          <w:lang w:val="en-US" w:eastAsia="zh-CN"/>
        </w:rPr>
        <w:t>分别划定评价范围</w:t>
      </w:r>
      <w:r>
        <w:rPr>
          <w:rFonts w:hint="default"/>
          <w:lang w:eastAsia="zh-CN"/>
        </w:rPr>
        <w:t>，</w:t>
      </w:r>
      <w:r>
        <w:rPr>
          <w:rFonts w:hint="default"/>
          <w:lang w:val="en-US" w:eastAsia="zh-CN"/>
        </w:rPr>
        <w:t>通过分析，项目</w:t>
      </w:r>
      <w:r>
        <w:rPr>
          <w:rFonts w:hint="default"/>
        </w:rPr>
        <w:t>污染影响型</w:t>
      </w:r>
      <w:r>
        <w:rPr>
          <w:rFonts w:hint="default"/>
          <w:lang w:val="en-US" w:eastAsia="zh-CN"/>
        </w:rPr>
        <w:t>土壤评价等级为</w:t>
      </w:r>
      <w:r>
        <w:rPr>
          <w:rFonts w:hint="eastAsia"/>
          <w:lang w:val="en-US" w:eastAsia="zh-CN"/>
        </w:rPr>
        <w:t>“</w:t>
      </w:r>
      <w:r>
        <w:rPr>
          <w:rFonts w:hint="default"/>
          <w:lang w:val="en-US" w:eastAsia="zh-CN"/>
        </w:rPr>
        <w:t>三级</w:t>
      </w:r>
      <w:r>
        <w:rPr>
          <w:rFonts w:hint="eastAsia"/>
          <w:lang w:val="en-US" w:eastAsia="zh-CN"/>
        </w:rPr>
        <w:t>”</w:t>
      </w:r>
      <w:r>
        <w:rPr>
          <w:rFonts w:hint="default"/>
          <w:lang w:val="en-US" w:eastAsia="zh-CN"/>
        </w:rPr>
        <w:t>，项目可不开展</w:t>
      </w:r>
      <w:r>
        <w:rPr>
          <w:rFonts w:hint="default"/>
        </w:rPr>
        <w:t>生态影响型</w:t>
      </w:r>
      <w:r>
        <w:rPr>
          <w:rFonts w:hint="default"/>
          <w:lang w:val="en-US" w:eastAsia="zh-CN"/>
        </w:rPr>
        <w:t>土壤评价。</w:t>
      </w:r>
      <w:r>
        <w:rPr>
          <w:rFonts w:hint="default"/>
        </w:rPr>
        <w:t>根据</w:t>
      </w:r>
      <w:r>
        <w:rPr>
          <w:rFonts w:hint="eastAsia"/>
          <w:lang w:eastAsia="zh-CN"/>
        </w:rPr>
        <w:t>《</w:t>
      </w:r>
      <w:r>
        <w:rPr>
          <w:rFonts w:hint="default"/>
        </w:rPr>
        <w:t>环境影响评价技术导则 土壤环境》（HJ964-2018），本项目土壤的评价范围为项目</w:t>
      </w:r>
      <w:r>
        <w:rPr>
          <w:rFonts w:hint="default"/>
          <w:lang w:val="en-US" w:eastAsia="zh-CN"/>
        </w:rPr>
        <w:t>工程占地</w:t>
      </w:r>
      <w:r>
        <w:rPr>
          <w:rFonts w:hint="default"/>
        </w:rPr>
        <w:t>外扩0.05km</w:t>
      </w:r>
      <w:r>
        <w:rPr>
          <w:rFonts w:hint="default"/>
          <w:lang w:val="en-US" w:eastAsia="zh-CN"/>
        </w:rPr>
        <w:t>外包线</w:t>
      </w:r>
      <w:r>
        <w:rPr>
          <w:rFonts w:hint="default"/>
        </w:rPr>
        <w:t>范围。</w:t>
      </w:r>
    </w:p>
    <w:p w14:paraId="29FCD6CF">
      <w:pPr>
        <w:pStyle w:val="4"/>
        <w:bidi w:val="0"/>
        <w:rPr>
          <w:rFonts w:hint="default" w:ascii="Times New Roman" w:hAnsi="Times New Roman" w:cs="Times New Roman"/>
          <w:color w:val="000000" w:themeColor="text1"/>
          <w:highlight w:val="none"/>
          <w14:textFill>
            <w14:solidFill>
              <w14:schemeClr w14:val="tx1"/>
            </w14:solidFill>
          </w14:textFill>
        </w:rPr>
      </w:pPr>
      <w:bookmarkStart w:id="468" w:name="_Toc32201"/>
      <w:r>
        <w:rPr>
          <w:rFonts w:hint="default" w:ascii="Times New Roman" w:hAnsi="Times New Roman" w:cs="Times New Roman"/>
          <w:color w:val="000000" w:themeColor="text1"/>
          <w:highlight w:val="none"/>
          <w14:textFill>
            <w14:solidFill>
              <w14:schemeClr w14:val="tx1"/>
            </w14:solidFill>
          </w14:textFill>
        </w:rPr>
        <w:t>土壤环境现状监测结果</w:t>
      </w:r>
      <w:bookmarkEnd w:id="468"/>
    </w:p>
    <w:p w14:paraId="78FD0799">
      <w:pPr>
        <w:pStyle w:val="41"/>
        <w:bidi w:val="0"/>
        <w:rPr>
          <w:rFonts w:hint="default"/>
          <w:highlight w:val="none"/>
          <w:lang w:val="en-US" w:eastAsia="zh-CN"/>
        </w:rPr>
      </w:pPr>
      <w:r>
        <w:rPr>
          <w:rFonts w:hint="default"/>
          <w:highlight w:val="none"/>
        </w:rPr>
        <w:t>为了解项目区域土壤环境质量现状，本次环评委托</w:t>
      </w:r>
      <w:r>
        <w:rPr>
          <w:rFonts w:hint="eastAsia"/>
          <w:highlight w:val="none"/>
          <w:lang w:eastAsia="zh-CN"/>
        </w:rPr>
        <w:t>中博源检测（云南）</w:t>
      </w:r>
      <w:r>
        <w:rPr>
          <w:rFonts w:hint="default"/>
          <w:highlight w:val="none"/>
        </w:rPr>
        <w:t>有限公司对项目区域土壤环境质量现状进行了监测</w:t>
      </w:r>
      <w:r>
        <w:rPr>
          <w:rFonts w:hint="default"/>
          <w:highlight w:val="none"/>
          <w:lang w:val="en-US" w:eastAsia="zh-CN"/>
        </w:rPr>
        <w:t>。</w:t>
      </w:r>
      <w:r>
        <w:rPr>
          <w:rFonts w:hint="eastAsia"/>
          <w:highlight w:val="none"/>
          <w:lang w:val="en-US" w:eastAsia="zh-CN"/>
        </w:rPr>
        <w:t>根据各点位监测</w:t>
      </w:r>
      <w:r>
        <w:rPr>
          <w:rFonts w:hint="default"/>
          <w:highlight w:val="none"/>
          <w:lang w:eastAsia="zh-CN"/>
        </w:rPr>
        <w:t>，</w:t>
      </w:r>
      <w:r>
        <w:rPr>
          <w:rFonts w:hint="default"/>
          <w:highlight w:val="none"/>
          <w:lang w:val="en-US" w:eastAsia="zh-CN"/>
        </w:rPr>
        <w:t>项目区范围内</w:t>
      </w:r>
      <w:r>
        <w:rPr>
          <w:rFonts w:hint="default"/>
          <w:highlight w:val="none"/>
        </w:rPr>
        <w:t>土壤中污染物含量监测值</w:t>
      </w:r>
      <w:r>
        <w:rPr>
          <w:rFonts w:hint="default"/>
          <w:highlight w:val="none"/>
          <w:lang w:val="en-US" w:eastAsia="zh-CN"/>
        </w:rPr>
        <w:t>满足</w:t>
      </w:r>
      <w:r>
        <w:rPr>
          <w:rFonts w:hint="eastAsia"/>
          <w:highlight w:val="none"/>
          <w:lang w:eastAsia="zh-CN"/>
        </w:rPr>
        <w:t>《</w:t>
      </w:r>
      <w:r>
        <w:rPr>
          <w:rFonts w:hint="default"/>
          <w:highlight w:val="none"/>
        </w:rPr>
        <w:t>土壤环境质量 建设用地土壤污染风险管控标准（试行）》（GB36600-2018）第二类用地土壤污染风险筛选值。</w:t>
      </w:r>
    </w:p>
    <w:p w14:paraId="6AE3DD03">
      <w:pPr>
        <w:pStyle w:val="4"/>
        <w:bidi w:val="0"/>
        <w:rPr>
          <w:rFonts w:hint="default" w:ascii="Times New Roman" w:hAnsi="Times New Roman" w:cs="Times New Roman"/>
          <w:color w:val="000000" w:themeColor="text1"/>
          <w:highlight w:val="none"/>
          <w14:textFill>
            <w14:solidFill>
              <w14:schemeClr w14:val="tx1"/>
            </w14:solidFill>
          </w14:textFill>
        </w:rPr>
      </w:pPr>
      <w:bookmarkStart w:id="469" w:name="_Toc8607"/>
      <w:r>
        <w:rPr>
          <w:rFonts w:hint="default" w:ascii="Times New Roman" w:hAnsi="Times New Roman" w:cs="Times New Roman"/>
          <w:color w:val="000000" w:themeColor="text1"/>
          <w:highlight w:val="none"/>
          <w14:textFill>
            <w14:solidFill>
              <w14:schemeClr w14:val="tx1"/>
            </w14:solidFill>
          </w14:textFill>
        </w:rPr>
        <w:t>预测与评价</w:t>
      </w:r>
      <w:bookmarkEnd w:id="469"/>
    </w:p>
    <w:p w14:paraId="0815668A">
      <w:pPr>
        <w:pStyle w:val="41"/>
        <w:bidi w:val="0"/>
        <w:rPr>
          <w:rFonts w:hint="default"/>
          <w:lang w:val="en-US" w:eastAsia="zh-CN"/>
        </w:rPr>
      </w:pPr>
      <w:r>
        <w:rPr>
          <w:rFonts w:hint="default"/>
          <w:lang w:val="en-US" w:eastAsia="zh-CN"/>
        </w:rPr>
        <w:t>根据</w:t>
      </w:r>
      <w:r>
        <w:rPr>
          <w:rFonts w:hint="eastAsia"/>
          <w:lang w:val="en-US" w:eastAsia="zh-CN"/>
        </w:rPr>
        <w:t>《</w:t>
      </w:r>
      <w:r>
        <w:rPr>
          <w:rFonts w:hint="default"/>
          <w:lang w:val="en-US" w:eastAsia="zh-CN"/>
        </w:rPr>
        <w:t>环境影响评价技术导则 土壤环境》（HJ964-2018）（试行），本项目以生态影响型判定为不设评价等级，以污染影响型判定为三级评价，</w:t>
      </w:r>
      <w:r>
        <w:rPr>
          <w:rFonts w:hint="eastAsia"/>
          <w:lang w:val="en-US" w:eastAsia="zh-CN"/>
        </w:rPr>
        <w:t>本次</w:t>
      </w:r>
      <w:r>
        <w:rPr>
          <w:rFonts w:hint="default"/>
          <w:lang w:val="en-US" w:eastAsia="zh-CN"/>
        </w:rPr>
        <w:t>采用定性描述分析。</w:t>
      </w:r>
    </w:p>
    <w:p w14:paraId="46C1D906">
      <w:pPr>
        <w:pStyle w:val="41"/>
        <w:bidi w:val="0"/>
        <w:rPr>
          <w:rFonts w:hint="default"/>
          <w:b/>
          <w:bCs/>
          <w:lang w:val="en-US" w:eastAsia="zh-CN"/>
        </w:rPr>
      </w:pPr>
      <w:r>
        <w:rPr>
          <w:rFonts w:hint="default"/>
          <w:b/>
          <w:bCs/>
          <w:lang w:val="en-US" w:eastAsia="zh-CN"/>
        </w:rPr>
        <w:t>（1）评价范围和评价时段</w:t>
      </w:r>
    </w:p>
    <w:p w14:paraId="71A38924">
      <w:pPr>
        <w:pStyle w:val="41"/>
        <w:bidi w:val="0"/>
        <w:rPr>
          <w:rFonts w:hint="default"/>
          <w:lang w:val="en-US" w:eastAsia="zh-CN"/>
        </w:rPr>
      </w:pPr>
      <w:r>
        <w:rPr>
          <w:rFonts w:hint="default"/>
          <w:lang w:val="en-US" w:eastAsia="zh-CN"/>
        </w:rPr>
        <w:t>根据</w:t>
      </w:r>
      <w:r>
        <w:rPr>
          <w:rFonts w:hint="eastAsia"/>
          <w:lang w:val="en-US" w:eastAsia="zh-CN"/>
        </w:rPr>
        <w:t>《</w:t>
      </w:r>
      <w:r>
        <w:rPr>
          <w:rFonts w:hint="default"/>
          <w:lang w:val="en-US" w:eastAsia="zh-CN"/>
        </w:rPr>
        <w:t>环境影响评价技术导则土壤环境（试行）》（HJ964-2018），预测范围一般与调查范围一致，污染影响型项目三级评价，评价范围为项目区范围内及周边50m范围。评价时段为项目运营期。</w:t>
      </w:r>
    </w:p>
    <w:p w14:paraId="623EFA22">
      <w:pPr>
        <w:pStyle w:val="41"/>
        <w:bidi w:val="0"/>
        <w:rPr>
          <w:rFonts w:hint="default"/>
          <w:b/>
          <w:bCs/>
          <w:lang w:val="en-US" w:eastAsia="zh-CN"/>
        </w:rPr>
      </w:pPr>
      <w:r>
        <w:rPr>
          <w:rFonts w:hint="default"/>
          <w:b/>
          <w:bCs/>
          <w:lang w:val="en-US" w:eastAsia="zh-CN"/>
        </w:rPr>
        <w:t>（2）评价因子</w:t>
      </w:r>
    </w:p>
    <w:p w14:paraId="004A501A">
      <w:pPr>
        <w:pStyle w:val="41"/>
        <w:bidi w:val="0"/>
        <w:rPr>
          <w:rFonts w:hint="default"/>
          <w:lang w:val="en-US" w:eastAsia="zh-CN"/>
        </w:rPr>
      </w:pPr>
      <w:r>
        <w:rPr>
          <w:rFonts w:hint="default"/>
          <w:lang w:val="en-US" w:eastAsia="zh-CN"/>
        </w:rPr>
        <w:t>本项目为</w:t>
      </w:r>
      <w:r>
        <w:rPr>
          <w:rFonts w:hint="eastAsia"/>
          <w:lang w:val="en-US" w:eastAsia="zh-CN"/>
        </w:rPr>
        <w:t>灰岩矿开采加工，根据工程分析，</w:t>
      </w:r>
      <w:r>
        <w:rPr>
          <w:rFonts w:hint="default"/>
          <w:lang w:val="en-US" w:eastAsia="zh-CN"/>
        </w:rPr>
        <w:t>项目</w:t>
      </w:r>
      <w:r>
        <w:rPr>
          <w:rFonts w:hint="eastAsia"/>
          <w:lang w:val="en-US" w:eastAsia="zh-CN"/>
        </w:rPr>
        <w:t>矿坑涌水、初期雨水经</w:t>
      </w:r>
      <w:r>
        <w:rPr>
          <w:rFonts w:hint="default"/>
          <w:lang w:val="en-US" w:eastAsia="zh-CN"/>
        </w:rPr>
        <w:t>收集沉淀后作为降尘水回用不外排，生活污水</w:t>
      </w:r>
      <w:r>
        <w:rPr>
          <w:rFonts w:hint="eastAsia"/>
          <w:lang w:val="en-US" w:eastAsia="zh-CN"/>
        </w:rPr>
        <w:t>经粪污收集池收集后用作农肥</w:t>
      </w:r>
      <w:r>
        <w:rPr>
          <w:rFonts w:hint="default"/>
          <w:lang w:val="en-US" w:eastAsia="zh-CN"/>
        </w:rPr>
        <w:t>；机修产生的废机油属于危废，分类收集后暂存于</w:t>
      </w:r>
      <w:r>
        <w:rPr>
          <w:rFonts w:hint="eastAsia"/>
          <w:lang w:val="en-US" w:eastAsia="zh-CN"/>
        </w:rPr>
        <w:t>依托电石厂的</w:t>
      </w:r>
      <w:r>
        <w:rPr>
          <w:rFonts w:hint="default"/>
          <w:lang w:val="en-US" w:eastAsia="zh-CN"/>
        </w:rPr>
        <w:t>危废暂存间，危废暂存间做防渗处理，委托有资质的单位进行处置，正常生产不会对土壤环境造成影响。</w:t>
      </w:r>
    </w:p>
    <w:p w14:paraId="75C8C0E4">
      <w:pPr>
        <w:pStyle w:val="41"/>
        <w:bidi w:val="0"/>
      </w:pPr>
      <w:r>
        <w:rPr>
          <w:rFonts w:hint="eastAsia" w:cs="Times New Roman"/>
          <w:color w:val="000000" w:themeColor="text1"/>
          <w:highlight w:val="none"/>
          <w:lang w:val="en-US" w:eastAsia="zh-CN"/>
          <w14:textFill>
            <w14:solidFill>
              <w14:schemeClr w14:val="tx1"/>
            </w14:solidFill>
          </w14:textFill>
        </w:rPr>
        <w:t>本项目对土壤产生的</w:t>
      </w:r>
      <w:r>
        <w:rPr>
          <w:rFonts w:hint="eastAsia" w:ascii="Times New Roman" w:hAnsi="Times New Roman" w:cs="Times New Roman"/>
          <w:color w:val="000000" w:themeColor="text1"/>
          <w:highlight w:val="none"/>
          <w:lang w:val="en-US" w:eastAsia="zh-CN"/>
          <w14:textFill>
            <w14:solidFill>
              <w14:schemeClr w14:val="tx1"/>
            </w14:solidFill>
          </w14:textFill>
        </w:rPr>
        <w:t>影响因子主要为</w:t>
      </w:r>
      <w:r>
        <w:t>开采过程中排放的颗粒物易通过大气沉降至土壤，对土壤环境产生影响。</w:t>
      </w:r>
    </w:p>
    <w:p w14:paraId="5993EBF6">
      <w:pPr>
        <w:pStyle w:val="45"/>
        <w:bidi w:val="0"/>
      </w:pPr>
      <w:r>
        <w:t>表</w:t>
      </w:r>
      <w:r>
        <w:rPr>
          <w:rFonts w:hint="eastAsia"/>
          <w:lang w:val="en-US" w:eastAsia="zh-CN"/>
        </w:rPr>
        <w:t>6.6-5</w:t>
      </w:r>
      <w:r>
        <w:t xml:space="preserve">   建设项目土壤环境影响源及影响因子识别表</w:t>
      </w:r>
    </w:p>
    <w:tbl>
      <w:tblPr>
        <w:tblStyle w:val="54"/>
        <w:tblW w:w="852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4"/>
        <w:gridCol w:w="1099"/>
        <w:gridCol w:w="1099"/>
        <w:gridCol w:w="1074"/>
        <w:gridCol w:w="837"/>
        <w:gridCol w:w="750"/>
        <w:gridCol w:w="837"/>
        <w:gridCol w:w="737"/>
        <w:gridCol w:w="739"/>
      </w:tblGrid>
      <w:tr w14:paraId="4453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54" w:type="dxa"/>
            <w:vMerge w:val="restart"/>
            <w:vAlign w:val="center"/>
          </w:tcPr>
          <w:p w14:paraId="66251A32">
            <w:pPr>
              <w:pStyle w:val="43"/>
              <w:bidi w:val="0"/>
              <w:jc w:val="center"/>
              <w:rPr>
                <w:b/>
                <w:bCs/>
              </w:rPr>
            </w:pPr>
            <w:r>
              <w:rPr>
                <w:b/>
                <w:bCs/>
              </w:rPr>
              <w:t>不同时段</w:t>
            </w:r>
          </w:p>
        </w:tc>
        <w:tc>
          <w:tcPr>
            <w:tcW w:w="4109" w:type="dxa"/>
            <w:gridSpan w:val="4"/>
            <w:vAlign w:val="center"/>
          </w:tcPr>
          <w:p w14:paraId="52A4DCC0">
            <w:pPr>
              <w:pStyle w:val="43"/>
              <w:bidi w:val="0"/>
              <w:jc w:val="center"/>
              <w:rPr>
                <w:b/>
                <w:bCs/>
              </w:rPr>
            </w:pPr>
            <w:r>
              <w:rPr>
                <w:b/>
                <w:bCs/>
              </w:rPr>
              <w:t>污染影响型</w:t>
            </w:r>
          </w:p>
        </w:tc>
        <w:tc>
          <w:tcPr>
            <w:tcW w:w="3063" w:type="dxa"/>
            <w:gridSpan w:val="4"/>
            <w:vAlign w:val="center"/>
          </w:tcPr>
          <w:p w14:paraId="0622477D">
            <w:pPr>
              <w:pStyle w:val="43"/>
              <w:bidi w:val="0"/>
              <w:jc w:val="center"/>
              <w:rPr>
                <w:b/>
                <w:bCs/>
              </w:rPr>
            </w:pPr>
            <w:r>
              <w:rPr>
                <w:b/>
                <w:bCs/>
              </w:rPr>
              <w:t>生态影响型</w:t>
            </w:r>
          </w:p>
        </w:tc>
      </w:tr>
      <w:tr w14:paraId="0647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54" w:type="dxa"/>
            <w:vMerge w:val="continue"/>
            <w:vAlign w:val="center"/>
          </w:tcPr>
          <w:p w14:paraId="14E9A97E">
            <w:pPr>
              <w:pStyle w:val="43"/>
              <w:bidi w:val="0"/>
              <w:jc w:val="center"/>
              <w:rPr>
                <w:b/>
                <w:bCs/>
              </w:rPr>
            </w:pPr>
          </w:p>
        </w:tc>
        <w:tc>
          <w:tcPr>
            <w:tcW w:w="1099" w:type="dxa"/>
            <w:vAlign w:val="center"/>
          </w:tcPr>
          <w:p w14:paraId="18936B0A">
            <w:pPr>
              <w:pStyle w:val="43"/>
              <w:bidi w:val="0"/>
              <w:jc w:val="center"/>
              <w:rPr>
                <w:b/>
                <w:bCs/>
              </w:rPr>
            </w:pPr>
            <w:r>
              <w:rPr>
                <w:b/>
                <w:bCs/>
              </w:rPr>
              <w:t>大气沉降</w:t>
            </w:r>
          </w:p>
        </w:tc>
        <w:tc>
          <w:tcPr>
            <w:tcW w:w="1099" w:type="dxa"/>
            <w:vAlign w:val="center"/>
          </w:tcPr>
          <w:p w14:paraId="183544D0">
            <w:pPr>
              <w:pStyle w:val="43"/>
              <w:bidi w:val="0"/>
              <w:jc w:val="center"/>
              <w:rPr>
                <w:b/>
                <w:bCs/>
              </w:rPr>
            </w:pPr>
            <w:r>
              <w:rPr>
                <w:b/>
                <w:bCs/>
              </w:rPr>
              <w:t>地面漫流</w:t>
            </w:r>
          </w:p>
        </w:tc>
        <w:tc>
          <w:tcPr>
            <w:tcW w:w="1074" w:type="dxa"/>
            <w:vAlign w:val="center"/>
          </w:tcPr>
          <w:p w14:paraId="59888C98">
            <w:pPr>
              <w:pStyle w:val="43"/>
              <w:bidi w:val="0"/>
              <w:jc w:val="center"/>
              <w:rPr>
                <w:b/>
                <w:bCs/>
              </w:rPr>
            </w:pPr>
            <w:r>
              <w:rPr>
                <w:b/>
                <w:bCs/>
              </w:rPr>
              <w:t>垂直入渗</w:t>
            </w:r>
          </w:p>
        </w:tc>
        <w:tc>
          <w:tcPr>
            <w:tcW w:w="837" w:type="dxa"/>
            <w:vAlign w:val="center"/>
          </w:tcPr>
          <w:p w14:paraId="766EB227">
            <w:pPr>
              <w:pStyle w:val="43"/>
              <w:bidi w:val="0"/>
              <w:jc w:val="center"/>
              <w:rPr>
                <w:b/>
                <w:bCs/>
              </w:rPr>
            </w:pPr>
            <w:r>
              <w:rPr>
                <w:b/>
                <w:bCs/>
              </w:rPr>
              <w:t>其他</w:t>
            </w:r>
          </w:p>
        </w:tc>
        <w:tc>
          <w:tcPr>
            <w:tcW w:w="750" w:type="dxa"/>
            <w:vAlign w:val="center"/>
          </w:tcPr>
          <w:p w14:paraId="411B9B5C">
            <w:pPr>
              <w:pStyle w:val="43"/>
              <w:bidi w:val="0"/>
              <w:jc w:val="center"/>
              <w:rPr>
                <w:b/>
                <w:bCs/>
              </w:rPr>
            </w:pPr>
            <w:r>
              <w:rPr>
                <w:b/>
                <w:bCs/>
              </w:rPr>
              <w:t>盐化</w:t>
            </w:r>
          </w:p>
        </w:tc>
        <w:tc>
          <w:tcPr>
            <w:tcW w:w="837" w:type="dxa"/>
            <w:vAlign w:val="center"/>
          </w:tcPr>
          <w:p w14:paraId="455C52C4">
            <w:pPr>
              <w:pStyle w:val="43"/>
              <w:bidi w:val="0"/>
              <w:jc w:val="center"/>
              <w:rPr>
                <w:b/>
                <w:bCs/>
              </w:rPr>
            </w:pPr>
            <w:r>
              <w:rPr>
                <w:b/>
                <w:bCs/>
              </w:rPr>
              <w:t>酸化</w:t>
            </w:r>
          </w:p>
        </w:tc>
        <w:tc>
          <w:tcPr>
            <w:tcW w:w="737" w:type="dxa"/>
            <w:vAlign w:val="center"/>
          </w:tcPr>
          <w:p w14:paraId="5F56B85E">
            <w:pPr>
              <w:pStyle w:val="43"/>
              <w:bidi w:val="0"/>
              <w:jc w:val="center"/>
              <w:rPr>
                <w:b/>
                <w:bCs/>
              </w:rPr>
            </w:pPr>
            <w:r>
              <w:rPr>
                <w:b/>
                <w:bCs/>
              </w:rPr>
              <w:t>碱化</w:t>
            </w:r>
          </w:p>
        </w:tc>
        <w:tc>
          <w:tcPr>
            <w:tcW w:w="739" w:type="dxa"/>
            <w:vAlign w:val="center"/>
          </w:tcPr>
          <w:p w14:paraId="7BC44AD0">
            <w:pPr>
              <w:pStyle w:val="43"/>
              <w:bidi w:val="0"/>
              <w:jc w:val="center"/>
              <w:rPr>
                <w:b/>
                <w:bCs/>
              </w:rPr>
            </w:pPr>
            <w:r>
              <w:rPr>
                <w:b/>
                <w:bCs/>
              </w:rPr>
              <w:t>其他</w:t>
            </w:r>
          </w:p>
        </w:tc>
      </w:tr>
      <w:tr w14:paraId="042A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54" w:type="dxa"/>
            <w:vAlign w:val="center"/>
          </w:tcPr>
          <w:p w14:paraId="7AFFA5F3">
            <w:pPr>
              <w:pStyle w:val="43"/>
              <w:bidi w:val="0"/>
              <w:jc w:val="center"/>
            </w:pPr>
            <w:r>
              <w:t>建设期</w:t>
            </w:r>
          </w:p>
        </w:tc>
        <w:tc>
          <w:tcPr>
            <w:tcW w:w="1099" w:type="dxa"/>
            <w:vAlign w:val="center"/>
          </w:tcPr>
          <w:p w14:paraId="290B5914">
            <w:pPr>
              <w:pStyle w:val="43"/>
              <w:bidi w:val="0"/>
              <w:jc w:val="center"/>
            </w:pPr>
          </w:p>
        </w:tc>
        <w:tc>
          <w:tcPr>
            <w:tcW w:w="1099" w:type="dxa"/>
            <w:vAlign w:val="center"/>
          </w:tcPr>
          <w:p w14:paraId="49ACCAD7">
            <w:pPr>
              <w:pStyle w:val="43"/>
              <w:bidi w:val="0"/>
              <w:jc w:val="center"/>
            </w:pPr>
          </w:p>
        </w:tc>
        <w:tc>
          <w:tcPr>
            <w:tcW w:w="1074" w:type="dxa"/>
            <w:vAlign w:val="center"/>
          </w:tcPr>
          <w:p w14:paraId="55BF9AFC">
            <w:pPr>
              <w:pStyle w:val="43"/>
              <w:bidi w:val="0"/>
              <w:jc w:val="center"/>
            </w:pPr>
          </w:p>
        </w:tc>
        <w:tc>
          <w:tcPr>
            <w:tcW w:w="837" w:type="dxa"/>
            <w:vAlign w:val="center"/>
          </w:tcPr>
          <w:p w14:paraId="29F872CD">
            <w:pPr>
              <w:pStyle w:val="43"/>
              <w:bidi w:val="0"/>
              <w:jc w:val="center"/>
            </w:pPr>
          </w:p>
        </w:tc>
        <w:tc>
          <w:tcPr>
            <w:tcW w:w="750" w:type="dxa"/>
            <w:vAlign w:val="center"/>
          </w:tcPr>
          <w:p w14:paraId="30B17AB4">
            <w:pPr>
              <w:pStyle w:val="43"/>
              <w:bidi w:val="0"/>
              <w:jc w:val="center"/>
            </w:pPr>
          </w:p>
        </w:tc>
        <w:tc>
          <w:tcPr>
            <w:tcW w:w="837" w:type="dxa"/>
            <w:vAlign w:val="center"/>
          </w:tcPr>
          <w:p w14:paraId="18663A8B">
            <w:pPr>
              <w:pStyle w:val="43"/>
              <w:bidi w:val="0"/>
              <w:jc w:val="center"/>
            </w:pPr>
          </w:p>
        </w:tc>
        <w:tc>
          <w:tcPr>
            <w:tcW w:w="737" w:type="dxa"/>
            <w:vAlign w:val="center"/>
          </w:tcPr>
          <w:p w14:paraId="314AA480">
            <w:pPr>
              <w:pStyle w:val="43"/>
              <w:bidi w:val="0"/>
              <w:jc w:val="center"/>
            </w:pPr>
          </w:p>
        </w:tc>
        <w:tc>
          <w:tcPr>
            <w:tcW w:w="739" w:type="dxa"/>
            <w:vAlign w:val="center"/>
          </w:tcPr>
          <w:p w14:paraId="2C129E20">
            <w:pPr>
              <w:pStyle w:val="43"/>
              <w:bidi w:val="0"/>
              <w:jc w:val="center"/>
            </w:pPr>
          </w:p>
        </w:tc>
      </w:tr>
      <w:tr w14:paraId="6891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54" w:type="dxa"/>
            <w:vAlign w:val="center"/>
          </w:tcPr>
          <w:p w14:paraId="0B45C29A">
            <w:pPr>
              <w:pStyle w:val="43"/>
              <w:bidi w:val="0"/>
              <w:jc w:val="center"/>
            </w:pPr>
            <w:r>
              <w:t>运营期</w:t>
            </w:r>
          </w:p>
        </w:tc>
        <w:tc>
          <w:tcPr>
            <w:tcW w:w="1099" w:type="dxa"/>
            <w:vAlign w:val="center"/>
          </w:tcPr>
          <w:p w14:paraId="0D191B3F">
            <w:pPr>
              <w:pStyle w:val="43"/>
              <w:bidi w:val="0"/>
              <w:jc w:val="center"/>
            </w:pPr>
            <w:r>
              <w:t>√</w:t>
            </w:r>
          </w:p>
        </w:tc>
        <w:tc>
          <w:tcPr>
            <w:tcW w:w="1099" w:type="dxa"/>
            <w:vAlign w:val="center"/>
          </w:tcPr>
          <w:p w14:paraId="081C6664">
            <w:pPr>
              <w:pStyle w:val="43"/>
              <w:bidi w:val="0"/>
              <w:jc w:val="center"/>
            </w:pPr>
          </w:p>
        </w:tc>
        <w:tc>
          <w:tcPr>
            <w:tcW w:w="1074" w:type="dxa"/>
            <w:vAlign w:val="center"/>
          </w:tcPr>
          <w:p w14:paraId="5D5007E4">
            <w:pPr>
              <w:pStyle w:val="43"/>
              <w:bidi w:val="0"/>
              <w:jc w:val="center"/>
            </w:pPr>
          </w:p>
        </w:tc>
        <w:tc>
          <w:tcPr>
            <w:tcW w:w="837" w:type="dxa"/>
            <w:vAlign w:val="center"/>
          </w:tcPr>
          <w:p w14:paraId="39872913">
            <w:pPr>
              <w:pStyle w:val="43"/>
              <w:bidi w:val="0"/>
              <w:jc w:val="center"/>
            </w:pPr>
          </w:p>
        </w:tc>
        <w:tc>
          <w:tcPr>
            <w:tcW w:w="750" w:type="dxa"/>
            <w:vAlign w:val="center"/>
          </w:tcPr>
          <w:p w14:paraId="72D0571C">
            <w:pPr>
              <w:pStyle w:val="43"/>
              <w:bidi w:val="0"/>
              <w:jc w:val="center"/>
            </w:pPr>
          </w:p>
        </w:tc>
        <w:tc>
          <w:tcPr>
            <w:tcW w:w="837" w:type="dxa"/>
            <w:vAlign w:val="center"/>
          </w:tcPr>
          <w:p w14:paraId="470E289D">
            <w:pPr>
              <w:pStyle w:val="43"/>
              <w:bidi w:val="0"/>
              <w:jc w:val="center"/>
            </w:pPr>
          </w:p>
        </w:tc>
        <w:tc>
          <w:tcPr>
            <w:tcW w:w="737" w:type="dxa"/>
            <w:vAlign w:val="center"/>
          </w:tcPr>
          <w:p w14:paraId="45210C75">
            <w:pPr>
              <w:pStyle w:val="43"/>
              <w:bidi w:val="0"/>
              <w:jc w:val="center"/>
            </w:pPr>
          </w:p>
        </w:tc>
        <w:tc>
          <w:tcPr>
            <w:tcW w:w="739" w:type="dxa"/>
            <w:vAlign w:val="center"/>
          </w:tcPr>
          <w:p w14:paraId="2768AF0C">
            <w:pPr>
              <w:pStyle w:val="43"/>
              <w:bidi w:val="0"/>
              <w:jc w:val="center"/>
            </w:pPr>
          </w:p>
        </w:tc>
      </w:tr>
      <w:tr w14:paraId="590B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1354" w:type="dxa"/>
            <w:vAlign w:val="center"/>
          </w:tcPr>
          <w:p w14:paraId="48B1A8DF">
            <w:pPr>
              <w:pStyle w:val="43"/>
              <w:bidi w:val="0"/>
              <w:jc w:val="center"/>
            </w:pPr>
            <w:r>
              <w:t>服务期满后</w:t>
            </w:r>
          </w:p>
        </w:tc>
        <w:tc>
          <w:tcPr>
            <w:tcW w:w="1099" w:type="dxa"/>
            <w:vAlign w:val="center"/>
          </w:tcPr>
          <w:p w14:paraId="0CA67705">
            <w:pPr>
              <w:pStyle w:val="43"/>
              <w:bidi w:val="0"/>
              <w:jc w:val="center"/>
            </w:pPr>
          </w:p>
        </w:tc>
        <w:tc>
          <w:tcPr>
            <w:tcW w:w="1099" w:type="dxa"/>
            <w:vAlign w:val="center"/>
          </w:tcPr>
          <w:p w14:paraId="493B05C2">
            <w:pPr>
              <w:pStyle w:val="43"/>
              <w:bidi w:val="0"/>
              <w:jc w:val="center"/>
            </w:pPr>
          </w:p>
        </w:tc>
        <w:tc>
          <w:tcPr>
            <w:tcW w:w="1074" w:type="dxa"/>
            <w:vAlign w:val="center"/>
          </w:tcPr>
          <w:p w14:paraId="2B4770CF">
            <w:pPr>
              <w:pStyle w:val="43"/>
              <w:bidi w:val="0"/>
              <w:jc w:val="center"/>
            </w:pPr>
          </w:p>
        </w:tc>
        <w:tc>
          <w:tcPr>
            <w:tcW w:w="837" w:type="dxa"/>
            <w:vAlign w:val="center"/>
          </w:tcPr>
          <w:p w14:paraId="1A260211">
            <w:pPr>
              <w:pStyle w:val="43"/>
              <w:bidi w:val="0"/>
              <w:jc w:val="center"/>
            </w:pPr>
          </w:p>
        </w:tc>
        <w:tc>
          <w:tcPr>
            <w:tcW w:w="750" w:type="dxa"/>
            <w:vAlign w:val="center"/>
          </w:tcPr>
          <w:p w14:paraId="51D6B9FE">
            <w:pPr>
              <w:pStyle w:val="43"/>
              <w:bidi w:val="0"/>
              <w:jc w:val="center"/>
            </w:pPr>
          </w:p>
        </w:tc>
        <w:tc>
          <w:tcPr>
            <w:tcW w:w="837" w:type="dxa"/>
            <w:vAlign w:val="center"/>
          </w:tcPr>
          <w:p w14:paraId="7B682E9F">
            <w:pPr>
              <w:pStyle w:val="43"/>
              <w:bidi w:val="0"/>
              <w:jc w:val="center"/>
            </w:pPr>
          </w:p>
        </w:tc>
        <w:tc>
          <w:tcPr>
            <w:tcW w:w="737" w:type="dxa"/>
            <w:vAlign w:val="center"/>
          </w:tcPr>
          <w:p w14:paraId="2CF9C46A">
            <w:pPr>
              <w:pStyle w:val="43"/>
              <w:bidi w:val="0"/>
              <w:jc w:val="center"/>
            </w:pPr>
          </w:p>
        </w:tc>
        <w:tc>
          <w:tcPr>
            <w:tcW w:w="739" w:type="dxa"/>
            <w:vAlign w:val="center"/>
          </w:tcPr>
          <w:p w14:paraId="4D28CE53">
            <w:pPr>
              <w:pStyle w:val="43"/>
              <w:bidi w:val="0"/>
              <w:jc w:val="center"/>
            </w:pPr>
          </w:p>
        </w:tc>
      </w:tr>
    </w:tbl>
    <w:p w14:paraId="7D4474C3">
      <w:pPr>
        <w:pStyle w:val="41"/>
        <w:bidi w:val="0"/>
        <w:rPr>
          <w:b/>
          <w:bCs/>
        </w:rPr>
      </w:pPr>
      <w:r>
        <w:rPr>
          <w:rFonts w:hint="eastAsia"/>
          <w:b/>
          <w:bCs/>
          <w:lang w:eastAsia="zh-CN"/>
        </w:rPr>
        <w:t>（</w:t>
      </w:r>
      <w:r>
        <w:rPr>
          <w:rFonts w:hint="eastAsia"/>
          <w:b/>
          <w:bCs/>
          <w:lang w:val="en-US" w:eastAsia="zh-CN"/>
        </w:rPr>
        <w:t>3）</w:t>
      </w:r>
      <w:r>
        <w:rPr>
          <w:b/>
          <w:bCs/>
        </w:rPr>
        <w:t>影响源及影响因子识别</w:t>
      </w:r>
    </w:p>
    <w:p w14:paraId="321727F9">
      <w:pPr>
        <w:pStyle w:val="45"/>
        <w:bidi w:val="0"/>
      </w:pPr>
      <w:r>
        <w:t>表</w:t>
      </w:r>
      <w:r>
        <w:rPr>
          <w:rFonts w:hint="eastAsia"/>
          <w:lang w:val="en-US" w:eastAsia="zh-CN"/>
        </w:rPr>
        <w:t>6.6-6</w:t>
      </w:r>
      <w:r>
        <w:t xml:space="preserve"> 污染影响型建设项目土壤环境影响源及影响因子识别表</w:t>
      </w:r>
    </w:p>
    <w:tbl>
      <w:tblPr>
        <w:tblStyle w:val="54"/>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4"/>
        <w:gridCol w:w="1419"/>
        <w:gridCol w:w="1419"/>
        <w:gridCol w:w="1419"/>
        <w:gridCol w:w="1420"/>
        <w:gridCol w:w="1425"/>
      </w:tblGrid>
      <w:tr w14:paraId="3FC62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4" w:type="dxa"/>
            <w:vAlign w:val="center"/>
          </w:tcPr>
          <w:p w14:paraId="42D39F1B">
            <w:pPr>
              <w:pStyle w:val="43"/>
              <w:bidi w:val="0"/>
              <w:jc w:val="center"/>
              <w:rPr>
                <w:b/>
                <w:bCs/>
              </w:rPr>
            </w:pPr>
            <w:r>
              <w:rPr>
                <w:b/>
                <w:bCs/>
              </w:rPr>
              <w:t>污染源</w:t>
            </w:r>
          </w:p>
        </w:tc>
        <w:tc>
          <w:tcPr>
            <w:tcW w:w="1419" w:type="dxa"/>
            <w:vAlign w:val="center"/>
          </w:tcPr>
          <w:p w14:paraId="402996BB">
            <w:pPr>
              <w:pStyle w:val="43"/>
              <w:bidi w:val="0"/>
              <w:jc w:val="center"/>
              <w:rPr>
                <w:b/>
                <w:bCs/>
              </w:rPr>
            </w:pPr>
            <w:r>
              <w:rPr>
                <w:b/>
                <w:bCs/>
              </w:rPr>
              <w:t>工艺流程/节点</w:t>
            </w:r>
          </w:p>
        </w:tc>
        <w:tc>
          <w:tcPr>
            <w:tcW w:w="1419" w:type="dxa"/>
            <w:vAlign w:val="center"/>
          </w:tcPr>
          <w:p w14:paraId="5F9B4F9B">
            <w:pPr>
              <w:pStyle w:val="43"/>
              <w:bidi w:val="0"/>
              <w:jc w:val="center"/>
              <w:rPr>
                <w:b/>
                <w:bCs/>
              </w:rPr>
            </w:pPr>
            <w:r>
              <w:rPr>
                <w:b/>
                <w:bCs/>
              </w:rPr>
              <w:t>污染途径</w:t>
            </w:r>
          </w:p>
        </w:tc>
        <w:tc>
          <w:tcPr>
            <w:tcW w:w="1419" w:type="dxa"/>
            <w:vAlign w:val="center"/>
          </w:tcPr>
          <w:p w14:paraId="439320C0">
            <w:pPr>
              <w:pStyle w:val="43"/>
              <w:bidi w:val="0"/>
              <w:jc w:val="center"/>
              <w:rPr>
                <w:b/>
                <w:bCs/>
              </w:rPr>
            </w:pPr>
            <w:r>
              <w:rPr>
                <w:b/>
                <w:bCs/>
              </w:rPr>
              <w:t>全部污染物指标</w:t>
            </w:r>
          </w:p>
        </w:tc>
        <w:tc>
          <w:tcPr>
            <w:tcW w:w="1420" w:type="dxa"/>
            <w:vAlign w:val="center"/>
          </w:tcPr>
          <w:p w14:paraId="0B52DFB7">
            <w:pPr>
              <w:pStyle w:val="43"/>
              <w:bidi w:val="0"/>
              <w:jc w:val="center"/>
              <w:rPr>
                <w:b/>
                <w:bCs/>
              </w:rPr>
            </w:pPr>
            <w:r>
              <w:rPr>
                <w:b/>
                <w:bCs/>
              </w:rPr>
              <w:t>特征因子</w:t>
            </w:r>
          </w:p>
        </w:tc>
        <w:tc>
          <w:tcPr>
            <w:tcW w:w="1425" w:type="dxa"/>
            <w:vAlign w:val="center"/>
          </w:tcPr>
          <w:p w14:paraId="0866DE8C">
            <w:pPr>
              <w:pStyle w:val="43"/>
              <w:bidi w:val="0"/>
              <w:jc w:val="center"/>
              <w:rPr>
                <w:b/>
                <w:bCs/>
              </w:rPr>
            </w:pPr>
            <w:r>
              <w:rPr>
                <w:b/>
                <w:bCs/>
              </w:rPr>
              <w:t>备注</w:t>
            </w:r>
          </w:p>
        </w:tc>
      </w:tr>
      <w:tr w14:paraId="457B0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424" w:type="dxa"/>
            <w:vAlign w:val="center"/>
          </w:tcPr>
          <w:p w14:paraId="369518A6">
            <w:pPr>
              <w:pStyle w:val="43"/>
              <w:bidi w:val="0"/>
              <w:jc w:val="center"/>
            </w:pPr>
            <w:r>
              <w:t>露天矿山</w:t>
            </w:r>
          </w:p>
        </w:tc>
        <w:tc>
          <w:tcPr>
            <w:tcW w:w="1419" w:type="dxa"/>
            <w:vAlign w:val="center"/>
          </w:tcPr>
          <w:p w14:paraId="76A32225">
            <w:pPr>
              <w:pStyle w:val="43"/>
              <w:bidi w:val="0"/>
              <w:jc w:val="center"/>
            </w:pPr>
            <w:r>
              <w:t>开采</w:t>
            </w:r>
          </w:p>
        </w:tc>
        <w:tc>
          <w:tcPr>
            <w:tcW w:w="1419" w:type="dxa"/>
            <w:vAlign w:val="center"/>
          </w:tcPr>
          <w:p w14:paraId="544A4E6B">
            <w:pPr>
              <w:pStyle w:val="43"/>
              <w:bidi w:val="0"/>
              <w:jc w:val="center"/>
            </w:pPr>
            <w:r>
              <w:t>大气沉降</w:t>
            </w:r>
          </w:p>
        </w:tc>
        <w:tc>
          <w:tcPr>
            <w:tcW w:w="1419" w:type="dxa"/>
            <w:vAlign w:val="center"/>
          </w:tcPr>
          <w:p w14:paraId="56CDB22B">
            <w:pPr>
              <w:pStyle w:val="43"/>
              <w:bidi w:val="0"/>
              <w:jc w:val="center"/>
            </w:pPr>
            <w:r>
              <w:t>颗粒物</w:t>
            </w:r>
          </w:p>
        </w:tc>
        <w:tc>
          <w:tcPr>
            <w:tcW w:w="1420" w:type="dxa"/>
            <w:vAlign w:val="center"/>
          </w:tcPr>
          <w:p w14:paraId="3F5F8A27">
            <w:pPr>
              <w:pStyle w:val="43"/>
              <w:bidi w:val="0"/>
              <w:jc w:val="center"/>
            </w:pPr>
            <w:r>
              <w:t>颗粒物</w:t>
            </w:r>
          </w:p>
        </w:tc>
        <w:tc>
          <w:tcPr>
            <w:tcW w:w="1425" w:type="dxa"/>
            <w:vAlign w:val="center"/>
          </w:tcPr>
          <w:p w14:paraId="47ECD878">
            <w:pPr>
              <w:pStyle w:val="43"/>
              <w:bidi w:val="0"/>
              <w:jc w:val="center"/>
            </w:pPr>
            <w:r>
              <w:t>间断排放，正常工况下</w:t>
            </w:r>
          </w:p>
        </w:tc>
      </w:tr>
    </w:tbl>
    <w:p w14:paraId="276B97BF">
      <w:pPr>
        <w:pStyle w:val="41"/>
        <w:bidi w:val="0"/>
        <w:rPr>
          <w:rFonts w:hint="default"/>
          <w:b/>
          <w:bCs/>
          <w:lang w:val="en-US" w:eastAsia="zh-CN"/>
        </w:rPr>
      </w:pPr>
      <w:r>
        <w:rPr>
          <w:rFonts w:hint="default"/>
          <w:b/>
          <w:bCs/>
          <w:lang w:val="en-US" w:eastAsia="zh-CN"/>
        </w:rPr>
        <w:t>（4）影响分析</w:t>
      </w:r>
    </w:p>
    <w:p w14:paraId="5489020E">
      <w:pPr>
        <w:pStyle w:val="41"/>
        <w:bidi w:val="0"/>
        <w:rPr>
          <w:rFonts w:hint="default" w:eastAsia="宋体"/>
          <w:lang w:val="en-US" w:eastAsia="zh-CN"/>
        </w:rPr>
      </w:pPr>
      <w:r>
        <w:t>根据本项目矿石成分分析，本项目矿石主要成分为氧化钙、氧化镁、二氧化硅等。本项目实施后，外排粉尘与区域岩体、土壤成分基本一致，不含有重金属等污染物质，故外排粉尘大气沉降进入土壤不会造成污染影响。</w:t>
      </w:r>
      <w:r>
        <w:rPr>
          <w:rFonts w:hint="eastAsia"/>
          <w:lang w:val="en-US" w:eastAsia="zh-CN"/>
        </w:rPr>
        <w:t>项目已经运行多年，本次为扩建项目，原项目未对周边土壤造成污染影响，本次扩建后通过完善粉尘收集治理措施，粉尘排放量未增加，不会加重对土壤的污染影响。</w:t>
      </w:r>
    </w:p>
    <w:p w14:paraId="5124FBE7">
      <w:pPr>
        <w:pStyle w:val="41"/>
        <w:bidi w:val="0"/>
        <w:rPr>
          <w:rFonts w:hint="default"/>
          <w:b/>
          <w:bCs/>
          <w:lang w:val="en-US" w:eastAsia="zh-CN"/>
        </w:rPr>
      </w:pPr>
      <w:r>
        <w:rPr>
          <w:rFonts w:hint="default"/>
          <w:b/>
          <w:bCs/>
          <w:lang w:val="en-US" w:eastAsia="zh-CN"/>
        </w:rPr>
        <w:t>（5）土壤环境保护措施及对策</w:t>
      </w:r>
    </w:p>
    <w:p w14:paraId="191D748A">
      <w:pPr>
        <w:pStyle w:val="41"/>
        <w:bidi w:val="0"/>
      </w:pPr>
      <w:bookmarkStart w:id="470" w:name="_Toc6627"/>
      <w:r>
        <w:t>本项目土壤污染防治措施按照“源头控制、过程控制、跟踪监测、应急响应”相结合的原则，从污染物的产生、运移、扩散、应急影响全阶段进行控制。本项</w:t>
      </w:r>
    </w:p>
    <w:p w14:paraId="75232D08">
      <w:pPr>
        <w:pStyle w:val="41"/>
        <w:bidi w:val="0"/>
      </w:pPr>
      <w:r>
        <w:t>目主要土壤污染防护措施包括源头控制措施及过程控制措施，本项目土壤污染防护措施见下表。</w:t>
      </w:r>
    </w:p>
    <w:p w14:paraId="6B865E0D">
      <w:pPr>
        <w:pStyle w:val="45"/>
        <w:bidi w:val="0"/>
      </w:pPr>
      <w:r>
        <w:t xml:space="preserve">表 </w:t>
      </w:r>
      <w:r>
        <w:rPr>
          <w:rFonts w:hint="eastAsia"/>
          <w:lang w:val="en-US" w:eastAsia="zh-CN"/>
        </w:rPr>
        <w:t>6.6-7</w:t>
      </w:r>
      <w:r>
        <w:t xml:space="preserve">   土壤污染防护措施一览表</w:t>
      </w:r>
    </w:p>
    <w:p w14:paraId="5623409F">
      <w:pPr>
        <w:spacing w:line="91" w:lineRule="exact"/>
      </w:pPr>
    </w:p>
    <w:tbl>
      <w:tblPr>
        <w:tblStyle w:val="54"/>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3"/>
        <w:gridCol w:w="1020"/>
        <w:gridCol w:w="1080"/>
        <w:gridCol w:w="5313"/>
      </w:tblGrid>
      <w:tr w14:paraId="5E175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13" w:type="dxa"/>
            <w:vAlign w:val="center"/>
          </w:tcPr>
          <w:p w14:paraId="613E269B">
            <w:pPr>
              <w:pStyle w:val="43"/>
              <w:bidi w:val="0"/>
              <w:jc w:val="center"/>
              <w:rPr>
                <w:b/>
                <w:bCs/>
              </w:rPr>
            </w:pPr>
            <w:r>
              <w:rPr>
                <w:b/>
                <w:bCs/>
              </w:rPr>
              <w:t>污染类别</w:t>
            </w:r>
          </w:p>
        </w:tc>
        <w:tc>
          <w:tcPr>
            <w:tcW w:w="1020" w:type="dxa"/>
            <w:vAlign w:val="center"/>
          </w:tcPr>
          <w:p w14:paraId="519DAAED">
            <w:pPr>
              <w:pStyle w:val="43"/>
              <w:bidi w:val="0"/>
              <w:jc w:val="center"/>
              <w:rPr>
                <w:b/>
                <w:bCs/>
              </w:rPr>
            </w:pPr>
            <w:r>
              <w:rPr>
                <w:b/>
                <w:bCs/>
              </w:rPr>
              <w:t>污染源</w:t>
            </w:r>
          </w:p>
        </w:tc>
        <w:tc>
          <w:tcPr>
            <w:tcW w:w="6393" w:type="dxa"/>
            <w:gridSpan w:val="2"/>
            <w:vAlign w:val="center"/>
          </w:tcPr>
          <w:p w14:paraId="13C7A5AB">
            <w:pPr>
              <w:pStyle w:val="43"/>
              <w:bidi w:val="0"/>
              <w:jc w:val="center"/>
              <w:rPr>
                <w:b/>
                <w:bCs/>
              </w:rPr>
            </w:pPr>
            <w:r>
              <w:rPr>
                <w:b/>
                <w:bCs/>
              </w:rPr>
              <w:t>污染防护措施</w:t>
            </w:r>
          </w:p>
        </w:tc>
      </w:tr>
      <w:tr w14:paraId="265AF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1113" w:type="dxa"/>
            <w:vMerge w:val="restart"/>
            <w:tcBorders>
              <w:bottom w:val="nil"/>
            </w:tcBorders>
            <w:vAlign w:val="center"/>
          </w:tcPr>
          <w:p w14:paraId="5B92EE59">
            <w:pPr>
              <w:pStyle w:val="43"/>
              <w:bidi w:val="0"/>
              <w:jc w:val="center"/>
            </w:pPr>
            <w:r>
              <w:t>大气沉降</w:t>
            </w:r>
          </w:p>
        </w:tc>
        <w:tc>
          <w:tcPr>
            <w:tcW w:w="1020" w:type="dxa"/>
            <w:vMerge w:val="restart"/>
            <w:tcBorders>
              <w:bottom w:val="nil"/>
            </w:tcBorders>
            <w:vAlign w:val="center"/>
          </w:tcPr>
          <w:p w14:paraId="7A215034">
            <w:pPr>
              <w:pStyle w:val="43"/>
              <w:bidi w:val="0"/>
              <w:jc w:val="center"/>
            </w:pPr>
            <w:r>
              <w:t>生产粉尘</w:t>
            </w:r>
          </w:p>
        </w:tc>
        <w:tc>
          <w:tcPr>
            <w:tcW w:w="1080" w:type="dxa"/>
            <w:vAlign w:val="center"/>
          </w:tcPr>
          <w:p w14:paraId="46699919">
            <w:pPr>
              <w:pStyle w:val="43"/>
              <w:bidi w:val="0"/>
            </w:pPr>
            <w:r>
              <w:t>源头控制措施</w:t>
            </w:r>
          </w:p>
        </w:tc>
        <w:tc>
          <w:tcPr>
            <w:tcW w:w="5313" w:type="dxa"/>
            <w:vAlign w:val="center"/>
          </w:tcPr>
          <w:p w14:paraId="2460A1BB">
            <w:pPr>
              <w:pStyle w:val="43"/>
              <w:bidi w:val="0"/>
              <w:rPr>
                <w:rFonts w:hint="default"/>
                <w:lang w:val="en-US" w:eastAsia="zh-CN"/>
              </w:rPr>
            </w:pPr>
            <w:r>
              <w:t>潜孔钻机自带除尘装置进行除尘，爆破过程、铲装过程采用雾炮喷水抑尘，运输道路洒水抑尘，</w:t>
            </w:r>
            <w:r>
              <w:rPr>
                <w:rFonts w:hint="eastAsia"/>
                <w:lang w:val="en-US" w:eastAsia="zh-CN"/>
              </w:rPr>
              <w:t>加工区</w:t>
            </w:r>
            <w:r>
              <w:rPr>
                <w:rFonts w:hint="default"/>
                <w:lang w:val="en-US" w:eastAsia="zh-CN"/>
              </w:rPr>
              <w:t>和产品堆场区域设置彩钢结构厂房，地面硬化处理，顶部建设洒水喷雾系统，内部物料传输皮带加装防尘罩；在砂石加工工序（破碎工序、筛分和打砂工序）设置集气罩收集粉尘并经布袋除尘器处理达标后经15m高DA001排气筒排放；</w:t>
            </w:r>
          </w:p>
          <w:p w14:paraId="5D231B1A">
            <w:pPr>
              <w:pStyle w:val="43"/>
              <w:bidi w:val="0"/>
              <w:rPr>
                <w:rFonts w:hint="eastAsia"/>
                <w:lang w:val="en-US" w:eastAsia="zh-CN"/>
              </w:rPr>
            </w:pPr>
            <w:r>
              <w:rPr>
                <w:rFonts w:hint="default"/>
                <w:lang w:val="en-US" w:eastAsia="zh-CN"/>
              </w:rPr>
              <w:t>配备洒水车、雾炮机，晴天对露天采场、表土堆场、堆料场、运输道路区进行洒水降尘和保洁；</w:t>
            </w:r>
          </w:p>
        </w:tc>
      </w:tr>
      <w:tr w14:paraId="254F8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113" w:type="dxa"/>
            <w:vMerge w:val="continue"/>
            <w:tcBorders>
              <w:top w:val="nil"/>
            </w:tcBorders>
            <w:vAlign w:val="center"/>
          </w:tcPr>
          <w:p w14:paraId="3A4AFBE9">
            <w:pPr>
              <w:pStyle w:val="43"/>
              <w:bidi w:val="0"/>
              <w:jc w:val="center"/>
            </w:pPr>
          </w:p>
        </w:tc>
        <w:tc>
          <w:tcPr>
            <w:tcW w:w="1020" w:type="dxa"/>
            <w:vMerge w:val="continue"/>
            <w:tcBorders>
              <w:top w:val="nil"/>
            </w:tcBorders>
            <w:vAlign w:val="center"/>
          </w:tcPr>
          <w:p w14:paraId="2BA3D7C2">
            <w:pPr>
              <w:pStyle w:val="43"/>
              <w:bidi w:val="0"/>
              <w:jc w:val="center"/>
            </w:pPr>
          </w:p>
        </w:tc>
        <w:tc>
          <w:tcPr>
            <w:tcW w:w="1080" w:type="dxa"/>
            <w:vAlign w:val="center"/>
          </w:tcPr>
          <w:p w14:paraId="4C24F0B5">
            <w:pPr>
              <w:pStyle w:val="43"/>
              <w:bidi w:val="0"/>
              <w:jc w:val="center"/>
            </w:pPr>
            <w:r>
              <w:t>过程防控措施</w:t>
            </w:r>
          </w:p>
        </w:tc>
        <w:tc>
          <w:tcPr>
            <w:tcW w:w="5313" w:type="dxa"/>
            <w:vAlign w:val="center"/>
          </w:tcPr>
          <w:p w14:paraId="2F46B2B6">
            <w:pPr>
              <w:pStyle w:val="43"/>
              <w:bidi w:val="0"/>
              <w:jc w:val="center"/>
            </w:pPr>
            <w:r>
              <w:t>开展矿上生态治理工程，及时恢复植被，种植强</w:t>
            </w:r>
          </w:p>
          <w:p w14:paraId="305EEC6D">
            <w:pPr>
              <w:pStyle w:val="43"/>
              <w:bidi w:val="0"/>
              <w:jc w:val="center"/>
              <w:rPr>
                <w:rFonts w:hint="eastAsia" w:eastAsia="宋体"/>
                <w:lang w:eastAsia="zh-CN"/>
              </w:rPr>
            </w:pPr>
            <w:r>
              <w:t>吸附能力的植物</w:t>
            </w:r>
            <w:r>
              <w:rPr>
                <w:rFonts w:hint="eastAsia"/>
                <w:lang w:eastAsia="zh-CN"/>
              </w:rPr>
              <w:t>。</w:t>
            </w:r>
          </w:p>
        </w:tc>
      </w:tr>
    </w:tbl>
    <w:p w14:paraId="35D72198">
      <w:pPr>
        <w:pStyle w:val="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小结</w:t>
      </w:r>
      <w:bookmarkEnd w:id="470"/>
    </w:p>
    <w:p w14:paraId="19DD0AC5">
      <w:pPr>
        <w:pStyle w:val="41"/>
        <w:bidi w:val="0"/>
        <w:rPr>
          <w:rFonts w:hint="default"/>
          <w:lang w:val="en-US" w:eastAsia="zh-CN"/>
        </w:rPr>
      </w:pPr>
      <w:r>
        <w:rPr>
          <w:rFonts w:hint="default"/>
          <w:lang w:val="en-US" w:eastAsia="zh-CN"/>
        </w:rPr>
        <w:t>本项目土壤环境各监测点中，项目区范围内</w:t>
      </w:r>
      <w:r>
        <w:rPr>
          <w:rFonts w:hint="default"/>
        </w:rPr>
        <w:t>土壤中污染物含量监测值</w:t>
      </w:r>
      <w:r>
        <w:rPr>
          <w:rFonts w:hint="default"/>
          <w:lang w:val="en-US" w:eastAsia="zh-CN"/>
        </w:rPr>
        <w:t>满足</w:t>
      </w:r>
      <w:r>
        <w:rPr>
          <w:rFonts w:hint="eastAsia"/>
          <w:lang w:eastAsia="zh-CN"/>
        </w:rPr>
        <w:t>《</w:t>
      </w:r>
      <w:r>
        <w:rPr>
          <w:rFonts w:hint="default"/>
        </w:rPr>
        <w:t>土壤环境质量 建设用地土壤污染风险管控标准（试行）》（GB36600-2018）第二类用地土壤污染风险筛选值。</w:t>
      </w:r>
      <w:r>
        <w:rPr>
          <w:rFonts w:hint="eastAsia"/>
          <w:lang w:val="en-US" w:eastAsia="zh-CN"/>
        </w:rPr>
        <w:t>项目区外农用地各监测点监测值满足</w:t>
      </w:r>
      <w:r>
        <w:rPr>
          <w:rFonts w:hint="eastAsia"/>
          <w:lang w:eastAsia="zh-CN"/>
        </w:rPr>
        <w:t>《</w:t>
      </w:r>
      <w:r>
        <w:rPr>
          <w:rFonts w:hint="default"/>
        </w:rPr>
        <w:t>土壤环境质量 农用地土壤污染风险管控标准（试行）》（GB 15618-2018）</w:t>
      </w:r>
      <w:r>
        <w:rPr>
          <w:rFonts w:hint="default"/>
          <w:lang w:val="en-US" w:eastAsia="zh-CN"/>
        </w:rPr>
        <w:t>，项目区域土壤环境质量良好。建议企业定期对环保设施进行维护及检修，从多方面降低项目建设对土壤环境的影响。综上，评价认为本项目土壤环境影响可接受。</w:t>
      </w:r>
    </w:p>
    <w:p w14:paraId="21DD2FD6">
      <w:pPr>
        <w:pStyle w:val="3"/>
        <w:bidi w:val="0"/>
        <w:rPr>
          <w:rFonts w:hint="default" w:ascii="Times New Roman" w:hAnsi="Times New Roman" w:cs="Times New Roman"/>
          <w:color w:val="000000" w:themeColor="text1"/>
          <w:highlight w:val="none"/>
          <w14:textFill>
            <w14:solidFill>
              <w14:schemeClr w14:val="tx1"/>
            </w14:solidFill>
          </w14:textFill>
        </w:rPr>
      </w:pPr>
      <w:bookmarkStart w:id="471" w:name="_Toc16094"/>
      <w:r>
        <w:rPr>
          <w:rFonts w:hint="default" w:ascii="Times New Roman" w:hAnsi="Times New Roman" w:cs="Times New Roman"/>
          <w:color w:val="000000" w:themeColor="text1"/>
          <w:highlight w:val="none"/>
          <w14:textFill>
            <w14:solidFill>
              <w14:schemeClr w14:val="tx1"/>
            </w14:solidFill>
          </w14:textFill>
        </w:rPr>
        <w:t>地下水环境影响</w:t>
      </w:r>
      <w:r>
        <w:rPr>
          <w:rFonts w:hint="eastAsia" w:cs="Times New Roman"/>
          <w:color w:val="000000" w:themeColor="text1"/>
          <w:highlight w:val="none"/>
          <w:lang w:val="en-US" w:eastAsia="zh-CN"/>
          <w14:textFill>
            <w14:solidFill>
              <w14:schemeClr w14:val="tx1"/>
            </w14:solidFill>
          </w14:textFill>
        </w:rPr>
        <w:t>分析与</w:t>
      </w:r>
      <w:r>
        <w:rPr>
          <w:rFonts w:hint="default" w:ascii="Times New Roman" w:hAnsi="Times New Roman" w:cs="Times New Roman"/>
          <w:color w:val="000000" w:themeColor="text1"/>
          <w:highlight w:val="none"/>
          <w14:textFill>
            <w14:solidFill>
              <w14:schemeClr w14:val="tx1"/>
            </w14:solidFill>
          </w14:textFill>
        </w:rPr>
        <w:t>评价</w:t>
      </w:r>
      <w:bookmarkEnd w:id="471"/>
    </w:p>
    <w:p w14:paraId="0CCA0AA8">
      <w:pPr>
        <w:pStyle w:val="41"/>
        <w:bidi w:val="0"/>
        <w:rPr>
          <w:rFonts w:hint="default"/>
        </w:rPr>
      </w:pPr>
      <w:r>
        <w:rPr>
          <w:rFonts w:hint="default"/>
        </w:rPr>
        <w:t>本项目</w:t>
      </w:r>
      <w:r>
        <w:rPr>
          <w:rFonts w:hint="default"/>
          <w:lang w:val="en-US" w:eastAsia="zh-CN"/>
        </w:rPr>
        <w:t>为灰岩矿开采，行业类别属于J非金属矿采选及制品制造--54、土砂石开采</w:t>
      </w:r>
      <w:r>
        <w:rPr>
          <w:rFonts w:hint="default"/>
        </w:rPr>
        <w:t>，对照</w:t>
      </w:r>
      <w:r>
        <w:rPr>
          <w:rFonts w:hint="eastAsia"/>
          <w:lang w:eastAsia="zh-CN"/>
        </w:rPr>
        <w:t>《</w:t>
      </w:r>
      <w:r>
        <w:rPr>
          <w:rFonts w:hint="default"/>
        </w:rPr>
        <w:t>环境影响评价技术导则 地下水环境》（HJ610-2016）附录A判定，项目类别为Ⅳ类，不开展地下水环境影响评价</w:t>
      </w:r>
      <w:r>
        <w:rPr>
          <w:rFonts w:hint="eastAsia"/>
          <w:lang w:eastAsia="zh-CN"/>
        </w:rPr>
        <w:t>，</w:t>
      </w:r>
      <w:r>
        <w:rPr>
          <w:rFonts w:hint="eastAsia"/>
          <w:lang w:val="en-US" w:eastAsia="zh-CN"/>
        </w:rPr>
        <w:t>本次仅进行简单分析</w:t>
      </w:r>
      <w:r>
        <w:rPr>
          <w:rFonts w:hint="default"/>
        </w:rPr>
        <w:t>。</w:t>
      </w:r>
    </w:p>
    <w:p w14:paraId="17EDCCA4">
      <w:pPr>
        <w:pStyle w:val="41"/>
        <w:bidi w:val="0"/>
        <w:rPr>
          <w:rFonts w:hint="default"/>
          <w:b/>
          <w:bCs/>
          <w:lang w:val="en-US" w:eastAsia="zh-CN"/>
        </w:rPr>
      </w:pPr>
      <w:bookmarkStart w:id="472" w:name="7.3.1对地下水水位影响评价"/>
      <w:bookmarkEnd w:id="472"/>
      <w:bookmarkStart w:id="473" w:name="_bookmark121"/>
      <w:bookmarkEnd w:id="473"/>
      <w:r>
        <w:rPr>
          <w:rFonts w:hint="eastAsia"/>
          <w:b/>
          <w:bCs/>
          <w:lang w:val="en-US" w:eastAsia="zh-CN"/>
        </w:rPr>
        <w:t>（1）开采对区域地下水水位的影响分析</w:t>
      </w:r>
    </w:p>
    <w:p w14:paraId="434B4911">
      <w:pPr>
        <w:pStyle w:val="41"/>
        <w:bidi w:val="0"/>
        <w:rPr>
          <w:rFonts w:hint="eastAsia"/>
          <w:lang w:val="en-US" w:eastAsia="zh-CN"/>
        </w:rPr>
      </w:pPr>
      <w:r>
        <w:rPr>
          <w:rFonts w:hint="eastAsia"/>
          <w:lang w:val="en-US" w:eastAsia="zh-CN"/>
        </w:rPr>
        <w:t>根据现场调查结合区域水文地质条件，项目开采区及上游区域无地下水出露，项目矿区开采底板位于区域潜水含水层之上，</w:t>
      </w:r>
      <w:r>
        <w:rPr>
          <w:rFonts w:hint="default"/>
          <w:lang w:val="en-US" w:eastAsia="zh-CN"/>
        </w:rPr>
        <w:t>未来采坑充水因素主要为大气降水和地表径流</w:t>
      </w:r>
      <w:r>
        <w:rPr>
          <w:rFonts w:hint="eastAsia"/>
          <w:lang w:val="en-US" w:eastAsia="zh-CN"/>
        </w:rPr>
        <w:t>。不会明显疏干上游赋存于土壤及植被根系中的水分，且项目采取降水形成径流经过收集矿坑涌水后在区域内用作降尘用水，再次喷灌、浇洒于区域地表，未排放，因此，对区域地下水水位影响较小。</w:t>
      </w:r>
    </w:p>
    <w:p w14:paraId="5EB2A505">
      <w:pPr>
        <w:pStyle w:val="41"/>
        <w:bidi w:val="0"/>
        <w:rPr>
          <w:rFonts w:hint="default"/>
          <w:b/>
          <w:bCs/>
          <w:lang w:val="en-US" w:eastAsia="zh-CN"/>
        </w:rPr>
      </w:pPr>
      <w:r>
        <w:rPr>
          <w:rFonts w:hint="eastAsia"/>
          <w:b/>
          <w:bCs/>
          <w:lang w:val="en-US" w:eastAsia="zh-CN"/>
        </w:rPr>
        <w:t>（2）地下水水质影响分析</w:t>
      </w:r>
    </w:p>
    <w:p w14:paraId="6A50AFDA">
      <w:pPr>
        <w:pStyle w:val="41"/>
        <w:bidi w:val="0"/>
        <w:rPr>
          <w:rFonts w:hint="default"/>
          <w:b/>
          <w:bCs/>
        </w:rPr>
      </w:pPr>
      <w:r>
        <w:rPr>
          <w:rFonts w:hint="default"/>
          <w:b/>
          <w:bCs/>
        </w:rPr>
        <w:t>1）污染源分析</w:t>
      </w:r>
    </w:p>
    <w:p w14:paraId="705A9A61">
      <w:pPr>
        <w:pStyle w:val="41"/>
        <w:bidi w:val="0"/>
        <w:rPr>
          <w:rFonts w:hint="default"/>
        </w:rPr>
      </w:pPr>
      <w:r>
        <w:rPr>
          <w:rFonts w:hint="default"/>
        </w:rPr>
        <w:t>本项目正常工况下，不会产生地下水污染</w:t>
      </w:r>
      <w:r>
        <w:rPr>
          <w:rFonts w:hint="default"/>
          <w:lang w:eastAsia="zh-CN"/>
        </w:rPr>
        <w:t>。</w:t>
      </w:r>
      <w:r>
        <w:rPr>
          <w:rFonts w:hint="default"/>
        </w:rPr>
        <w:t>只有在事故状态下，项目</w:t>
      </w:r>
      <w:r>
        <w:rPr>
          <w:rFonts w:hint="eastAsia"/>
          <w:lang w:val="en-US" w:eastAsia="zh-CN"/>
        </w:rPr>
        <w:t>设备油类发生跑、冒、滴、漏</w:t>
      </w:r>
      <w:r>
        <w:rPr>
          <w:rFonts w:hint="default"/>
        </w:rPr>
        <w:t>，</w:t>
      </w:r>
      <w:r>
        <w:rPr>
          <w:rFonts w:hint="default"/>
          <w:lang w:val="en-US" w:eastAsia="zh-CN"/>
        </w:rPr>
        <w:t>会</w:t>
      </w:r>
      <w:r>
        <w:rPr>
          <w:rFonts w:hint="default"/>
        </w:rPr>
        <w:t>对</w:t>
      </w:r>
      <w:r>
        <w:rPr>
          <w:rFonts w:hint="eastAsia"/>
          <w:lang w:val="en-US" w:eastAsia="zh-CN"/>
        </w:rPr>
        <w:t>项目区及周边</w:t>
      </w:r>
      <w:r>
        <w:rPr>
          <w:rFonts w:hint="default"/>
        </w:rPr>
        <w:t>土壤造成污染，</w:t>
      </w:r>
      <w:r>
        <w:rPr>
          <w:rFonts w:hint="default"/>
          <w:lang w:val="en-US" w:eastAsia="zh-CN"/>
        </w:rPr>
        <w:t>泄漏下渗</w:t>
      </w:r>
      <w:r>
        <w:rPr>
          <w:rFonts w:hint="default"/>
        </w:rPr>
        <w:t>可能造成地下水污染。</w:t>
      </w:r>
    </w:p>
    <w:p w14:paraId="357B46CA">
      <w:pPr>
        <w:pStyle w:val="41"/>
        <w:bidi w:val="0"/>
        <w:rPr>
          <w:rFonts w:hint="default"/>
          <w:b/>
          <w:bCs/>
        </w:rPr>
      </w:pPr>
      <w:r>
        <w:rPr>
          <w:rFonts w:hint="default"/>
          <w:b/>
          <w:bCs/>
          <w:lang w:val="en-US" w:eastAsia="zh-CN"/>
        </w:rPr>
        <w:t>2</w:t>
      </w:r>
      <w:r>
        <w:rPr>
          <w:rFonts w:hint="default"/>
          <w:b/>
          <w:bCs/>
        </w:rPr>
        <w:t>）防控措施</w:t>
      </w:r>
    </w:p>
    <w:p w14:paraId="483F7AC7">
      <w:pPr>
        <w:pStyle w:val="41"/>
        <w:bidi w:val="0"/>
        <w:rPr>
          <w:rFonts w:hint="eastAsia"/>
          <w:lang w:val="en-US" w:eastAsia="zh-CN"/>
        </w:rPr>
      </w:pPr>
      <w:r>
        <w:rPr>
          <w:rFonts w:hint="eastAsia"/>
          <w:lang w:val="en-US" w:eastAsia="zh-CN"/>
        </w:rPr>
        <w:t>根据《环境影响评价技术导则 地下水环境》（HJ 610-2016）关于地下水环境保护措施与对策基本要求，地下水环境保护措施与对策依据《中华人民共和国水污染防治法》和《中华人民共和国环境影响评价法》的相关规定，按照“源头控制、分区防控、污染监控、应急响应”的原则确定。</w:t>
      </w:r>
    </w:p>
    <w:p w14:paraId="3FCC35FC">
      <w:pPr>
        <w:pStyle w:val="41"/>
        <w:bidi w:val="0"/>
        <w:rPr>
          <w:rFonts w:hint="eastAsia"/>
          <w:lang w:val="en-US" w:eastAsia="zh-CN"/>
        </w:rPr>
      </w:pPr>
      <w:r>
        <w:rPr>
          <w:rFonts w:hint="eastAsia"/>
          <w:lang w:val="en-US" w:eastAsia="zh-CN"/>
        </w:rPr>
        <w:t>根据建设项目特点、调查评价区和场地环境水文地质条件，在建设项目可行性研究提出的污染防控对策的基础上，本项目将从污染物的产生、入渗、扩散、应急响应采取全方位的控制措施。</w:t>
      </w:r>
    </w:p>
    <w:p w14:paraId="0408DE56">
      <w:pPr>
        <w:pStyle w:val="41"/>
        <w:bidi w:val="0"/>
        <w:rPr>
          <w:rFonts w:hint="eastAsia"/>
          <w:lang w:val="en-US" w:eastAsia="zh-CN"/>
        </w:rPr>
      </w:pPr>
      <w:r>
        <w:rPr>
          <w:rFonts w:hint="eastAsia"/>
          <w:lang w:val="en-US" w:eastAsia="zh-CN"/>
        </w:rPr>
        <w:t>①源头控制措施</w:t>
      </w:r>
    </w:p>
    <w:p w14:paraId="6044E894">
      <w:pPr>
        <w:pStyle w:val="41"/>
        <w:bidi w:val="0"/>
        <w:rPr>
          <w:rFonts w:hint="eastAsia"/>
          <w:lang w:val="en-US" w:eastAsia="zh-CN"/>
        </w:rPr>
      </w:pPr>
      <w:r>
        <w:rPr>
          <w:rFonts w:hint="eastAsia"/>
          <w:lang w:val="en-US" w:eastAsia="zh-CN"/>
        </w:rPr>
        <w:t>主要包括对项目区各类废水排水沟、管道和各沉淀池采取相应措施，将污染物的跑、冒、滴、漏，将废水泄漏的环境风险事故降低到最低程度。管道铺设尽量采用“可视化”原则，管道尽可能在地上铺设，做到污染物“早发现、早处理”，以减少由于埋地管道泄漏而可能造成的地下水污染。</w:t>
      </w:r>
    </w:p>
    <w:p w14:paraId="02AF49E1">
      <w:pPr>
        <w:pStyle w:val="41"/>
        <w:bidi w:val="0"/>
        <w:rPr>
          <w:rFonts w:hint="eastAsia"/>
          <w:lang w:val="en-US" w:eastAsia="zh-CN"/>
        </w:rPr>
      </w:pPr>
      <w:r>
        <w:rPr>
          <w:rFonts w:hint="eastAsia"/>
          <w:lang w:val="en-US" w:eastAsia="zh-CN"/>
        </w:rPr>
        <w:t>在项目运行期要有专职人员每天巡视、检查可能发生泄漏的管道、水池，发现跑、冒、滴、漏情况，及时采取修复等措施阻止污染物的进一步扩散泄漏，并立即清除被污染的土壤，阻止污染物进一步下渗。</w:t>
      </w:r>
    </w:p>
    <w:p w14:paraId="48FF84DF">
      <w:pPr>
        <w:pStyle w:val="41"/>
        <w:bidi w:val="0"/>
        <w:rPr>
          <w:rFonts w:hint="eastAsia"/>
          <w:lang w:val="en-US" w:eastAsia="zh-CN"/>
        </w:rPr>
      </w:pPr>
      <w:r>
        <w:rPr>
          <w:rFonts w:hint="eastAsia"/>
          <w:lang w:val="en-US" w:eastAsia="zh-CN"/>
        </w:rPr>
        <w:t>②分区防渗措施</w:t>
      </w:r>
    </w:p>
    <w:p w14:paraId="21A93DB6">
      <w:pPr>
        <w:pStyle w:val="41"/>
        <w:bidi w:val="0"/>
        <w:rPr>
          <w:rFonts w:hint="eastAsia"/>
          <w:lang w:val="en-US" w:eastAsia="zh-CN"/>
        </w:rPr>
      </w:pPr>
      <w:r>
        <w:rPr>
          <w:rFonts w:hint="eastAsia"/>
          <w:lang w:val="en-US" w:eastAsia="zh-CN"/>
        </w:rPr>
        <w:t>依据《环境影响评价技术导则 地下水环境》（HJ 610-2016）分区防控措施的具体要求，已颁布污染控制标准或防渗技术规范的行业，水平防渗技术要求按照相应标准或规范执行，如 GB 16889、GB 18597、GB 18598、GB 18599、GB/T 50934。</w:t>
      </w:r>
    </w:p>
    <w:p w14:paraId="17C46F42">
      <w:pPr>
        <w:pStyle w:val="41"/>
        <w:bidi w:val="0"/>
        <w:rPr>
          <w:rFonts w:hint="eastAsia"/>
          <w:lang w:val="en-US" w:eastAsia="zh-CN"/>
        </w:rPr>
      </w:pPr>
      <w:r>
        <w:rPr>
          <w:rFonts w:hint="eastAsia"/>
          <w:lang w:val="en-US" w:eastAsia="zh-CN"/>
        </w:rPr>
        <w:t>根据可能造成地下水污染的影响程度的不同，将本项目进行分区防治，分别是：简单防渗区、一般防渗区及重点防渗区。重点防渗区是指对地下水环境有污染的物料或污染物泄漏后，不能及时发现和处理的区域或部位；一般防渗区是指对地下水环境有污染的物料或污染物泄漏后，可及时发现和处理的区域或部位；简单防渗区是指除一般和重点污染防治区以外的区域或部位。</w:t>
      </w:r>
    </w:p>
    <w:p w14:paraId="638F288E">
      <w:pPr>
        <w:pStyle w:val="41"/>
        <w:bidi w:val="0"/>
        <w:rPr>
          <w:rFonts w:hint="eastAsia"/>
          <w:lang w:val="en-US" w:eastAsia="zh-CN"/>
        </w:rPr>
      </w:pPr>
      <w:r>
        <w:rPr>
          <w:rFonts w:hint="eastAsia"/>
          <w:lang w:val="en-US" w:eastAsia="zh-CN"/>
        </w:rPr>
        <w:t>本项目分区防渗的具体要求见表6.7-1。</w:t>
      </w:r>
    </w:p>
    <w:p w14:paraId="071A3A39">
      <w:pPr>
        <w:pStyle w:val="45"/>
        <w:bidi w:val="0"/>
        <w:rPr>
          <w:rFonts w:hint="eastAsia"/>
          <w:lang w:val="en-US" w:eastAsia="zh-CN"/>
        </w:rPr>
      </w:pPr>
      <w:r>
        <w:rPr>
          <w:rFonts w:hint="eastAsia"/>
          <w:lang w:val="en-US" w:eastAsia="zh-CN"/>
        </w:rPr>
        <w:t>表6.7-1  地下水污染分区防渗要求</w:t>
      </w:r>
    </w:p>
    <w:tbl>
      <w:tblPr>
        <w:tblStyle w:val="34"/>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3"/>
        <w:gridCol w:w="2423"/>
        <w:gridCol w:w="4437"/>
      </w:tblGrid>
      <w:tr w14:paraId="32B4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471" w:type="dxa"/>
            <w:vAlign w:val="center"/>
          </w:tcPr>
          <w:p w14:paraId="7DA2D4FA">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防渗分区</w:t>
            </w:r>
          </w:p>
        </w:tc>
        <w:tc>
          <w:tcPr>
            <w:tcW w:w="2420" w:type="dxa"/>
            <w:vAlign w:val="center"/>
          </w:tcPr>
          <w:p w14:paraId="2492EC4C">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污染防治区域及部位</w:t>
            </w:r>
          </w:p>
        </w:tc>
        <w:tc>
          <w:tcPr>
            <w:tcW w:w="4432" w:type="dxa"/>
            <w:vAlign w:val="center"/>
          </w:tcPr>
          <w:p w14:paraId="16AFC7E4">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防渗措施</w:t>
            </w:r>
          </w:p>
        </w:tc>
      </w:tr>
      <w:tr w14:paraId="19D9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71" w:type="dxa"/>
            <w:vAlign w:val="center"/>
          </w:tcPr>
          <w:p w14:paraId="12C3BDEA">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重点防渗区</w:t>
            </w:r>
          </w:p>
        </w:tc>
        <w:tc>
          <w:tcPr>
            <w:tcW w:w="2420" w:type="dxa"/>
            <w:shd w:val="clear" w:color="auto" w:fill="auto"/>
            <w:vAlign w:val="center"/>
          </w:tcPr>
          <w:p w14:paraId="6CBC487A">
            <w:pPr>
              <w:pStyle w:val="43"/>
              <w:bidi w:val="0"/>
              <w:ind w:firstLine="0" w:firstLineChars="0"/>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依托的</w:t>
            </w:r>
            <w:r>
              <w:rPr>
                <w:rFonts w:hint="default" w:ascii="Times New Roman" w:hAnsi="Times New Roman" w:eastAsia="宋体" w:cs="Times New Roman"/>
                <w:color w:val="000000" w:themeColor="text1"/>
                <w:highlight w:val="none"/>
                <w:lang w:val="en-US" w:eastAsia="zh-CN"/>
                <w14:textFill>
                  <w14:solidFill>
                    <w14:schemeClr w14:val="tx1"/>
                  </w14:solidFill>
                </w14:textFill>
              </w:rPr>
              <w:t>危废间</w:t>
            </w:r>
          </w:p>
        </w:tc>
        <w:tc>
          <w:tcPr>
            <w:tcW w:w="4432" w:type="dxa"/>
            <w:vAlign w:val="center"/>
          </w:tcPr>
          <w:p w14:paraId="65FFBF68">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需参照《危险废物贮存污染控制标准》（GB18597-2023）要求防渗，防渗层为至少2mm厚高密度聚乙烯，或至少2mm厚的其他人工材料，渗透系数≤10—</w:t>
            </w:r>
            <w:r>
              <w:rPr>
                <w:rFonts w:hint="eastAsia"/>
                <w:color w:val="000000" w:themeColor="text1"/>
                <w:highlight w:val="none"/>
                <w:vertAlign w:val="superscript"/>
                <w:lang w:val="en-US" w:eastAsia="zh-CN"/>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cm/s；满足要求</w:t>
            </w:r>
          </w:p>
        </w:tc>
      </w:tr>
      <w:tr w14:paraId="7FB9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71" w:type="dxa"/>
            <w:vAlign w:val="center"/>
          </w:tcPr>
          <w:p w14:paraId="6E8FEDBB">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一般防渗区</w:t>
            </w:r>
          </w:p>
        </w:tc>
        <w:tc>
          <w:tcPr>
            <w:tcW w:w="2420" w:type="dxa"/>
            <w:shd w:val="clear" w:color="auto" w:fill="auto"/>
            <w:vAlign w:val="center"/>
          </w:tcPr>
          <w:p w14:paraId="6E2C8FC9">
            <w:pPr>
              <w:pStyle w:val="43"/>
              <w:bidi w:val="0"/>
              <w:ind w:firstLine="0" w:firstLineChars="0"/>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粪污收集池、各类废水收集池</w:t>
            </w:r>
          </w:p>
        </w:tc>
        <w:tc>
          <w:tcPr>
            <w:tcW w:w="4432" w:type="dxa"/>
            <w:vAlign w:val="center"/>
          </w:tcPr>
          <w:p w14:paraId="01BCDBEB">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等效粘土防渗层Mb≥1.5m，K≤1×10</w:t>
            </w:r>
            <w:r>
              <w:rPr>
                <w:rFonts w:hint="eastAsia"/>
                <w:color w:val="000000" w:themeColor="text1"/>
                <w:highlight w:val="none"/>
                <w:vertAlign w:val="superscript"/>
                <w:lang w:val="en-US" w:eastAsia="zh-CN"/>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cm/s；满足要求</w:t>
            </w:r>
          </w:p>
        </w:tc>
      </w:tr>
      <w:tr w14:paraId="7206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471" w:type="dxa"/>
            <w:vAlign w:val="center"/>
          </w:tcPr>
          <w:p w14:paraId="768429B2">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简单防渗区</w:t>
            </w:r>
          </w:p>
        </w:tc>
        <w:tc>
          <w:tcPr>
            <w:tcW w:w="2420" w:type="dxa"/>
            <w:shd w:val="clear" w:color="auto" w:fill="auto"/>
            <w:vAlign w:val="center"/>
          </w:tcPr>
          <w:p w14:paraId="748F531B">
            <w:pPr>
              <w:pStyle w:val="43"/>
              <w:bidi w:val="0"/>
              <w:ind w:firstLine="0" w:firstLineChars="0"/>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其他</w:t>
            </w:r>
            <w:r>
              <w:rPr>
                <w:rFonts w:hint="eastAsia" w:cs="Times New Roman"/>
                <w:color w:val="000000" w:themeColor="text1"/>
                <w:highlight w:val="none"/>
                <w:lang w:val="en-US" w:eastAsia="zh-CN"/>
                <w14:textFill>
                  <w14:solidFill>
                    <w14:schemeClr w14:val="tx1"/>
                  </w14:solidFill>
                </w14:textFill>
              </w:rPr>
              <w:t>区域</w:t>
            </w:r>
          </w:p>
        </w:tc>
        <w:tc>
          <w:tcPr>
            <w:tcW w:w="4432" w:type="dxa"/>
            <w:vAlign w:val="center"/>
          </w:tcPr>
          <w:p w14:paraId="1B840A7E">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一般地面硬化</w:t>
            </w:r>
          </w:p>
        </w:tc>
      </w:tr>
    </w:tbl>
    <w:p w14:paraId="2354BF63">
      <w:pPr>
        <w:pStyle w:val="41"/>
        <w:bidi w:val="0"/>
        <w:rPr>
          <w:rFonts w:hint="default"/>
        </w:rPr>
      </w:pPr>
      <w:r>
        <w:rPr>
          <w:rFonts w:hint="eastAsia"/>
          <w:lang w:val="en-US" w:eastAsia="zh-CN"/>
        </w:rPr>
        <w:t>③</w:t>
      </w:r>
      <w:r>
        <w:rPr>
          <w:rFonts w:hint="default"/>
        </w:rPr>
        <w:t>跟踪监测</w:t>
      </w:r>
    </w:p>
    <w:p w14:paraId="19344BBC">
      <w:pPr>
        <w:pStyle w:val="41"/>
        <w:bidi w:val="0"/>
        <w:rPr>
          <w:rFonts w:hint="default"/>
        </w:rPr>
      </w:pPr>
      <w:r>
        <w:rPr>
          <w:rFonts w:hint="default"/>
        </w:rPr>
        <w:t>根据</w:t>
      </w:r>
      <w:r>
        <w:rPr>
          <w:rFonts w:hint="eastAsia"/>
          <w:lang w:eastAsia="zh-CN"/>
        </w:rPr>
        <w:t>《</w:t>
      </w:r>
      <w:r>
        <w:rPr>
          <w:rFonts w:hint="default"/>
        </w:rPr>
        <w:t>排污单位自行监测技术指南 总则》</w:t>
      </w:r>
      <w:r>
        <w:rPr>
          <w:rFonts w:hint="default"/>
          <w:lang w:eastAsia="zh-CN"/>
        </w:rPr>
        <w:t>（</w:t>
      </w:r>
      <w:r>
        <w:rPr>
          <w:rFonts w:hint="default"/>
        </w:rPr>
        <w:t>HJ819-2017），本项目不属于涉气重点排污单位、涉水重点排污单位，以及涉重金属、难降解有机物的重点排污单位，项目可能对土壤、地下水造成污染主要是在事故状态下。在采取环评提出的分区防控措施的前提下，项目对地下水、土壤影响较小，</w:t>
      </w:r>
      <w:r>
        <w:rPr>
          <w:rFonts w:hint="eastAsia"/>
          <w:lang w:val="en-US" w:eastAsia="zh-CN"/>
        </w:rPr>
        <w:t>根据</w:t>
      </w:r>
      <w:r>
        <w:rPr>
          <w:rFonts w:hint="default"/>
        </w:rPr>
        <w:t>HJ610-2016</w:t>
      </w:r>
      <w:r>
        <w:rPr>
          <w:rFonts w:hint="eastAsia"/>
          <w:lang w:eastAsia="zh-CN"/>
        </w:rPr>
        <w:t>，</w:t>
      </w:r>
      <w:r>
        <w:rPr>
          <w:rFonts w:hint="default"/>
        </w:rPr>
        <w:t>本项目不设地下水跟踪监测计划。</w:t>
      </w:r>
    </w:p>
    <w:p w14:paraId="6DDADDCC">
      <w:pPr>
        <w:pStyle w:val="41"/>
        <w:bidi w:val="0"/>
        <w:rPr>
          <w:rFonts w:hint="default"/>
        </w:rPr>
      </w:pPr>
      <w:r>
        <w:rPr>
          <w:rFonts w:hint="eastAsia"/>
          <w:lang w:val="en-US" w:eastAsia="zh-CN"/>
        </w:rPr>
        <w:t>④</w:t>
      </w:r>
      <w:r>
        <w:rPr>
          <w:rFonts w:hint="default"/>
        </w:rPr>
        <w:t>应急处置措施</w:t>
      </w:r>
    </w:p>
    <w:p w14:paraId="579B13FF">
      <w:pPr>
        <w:pStyle w:val="41"/>
        <w:bidi w:val="0"/>
        <w:rPr>
          <w:rFonts w:hint="default"/>
          <w:lang w:eastAsia="zh-CN"/>
        </w:rPr>
      </w:pPr>
      <w:r>
        <w:rPr>
          <w:rFonts w:hint="eastAsia"/>
          <w:lang w:val="en-US" w:eastAsia="zh-CN"/>
        </w:rPr>
        <w:t>A.</w:t>
      </w:r>
      <w:r>
        <w:rPr>
          <w:rFonts w:hint="default"/>
        </w:rPr>
        <w:t>如发现地下水</w:t>
      </w:r>
      <w:r>
        <w:rPr>
          <w:rFonts w:hint="default"/>
          <w:lang w:eastAsia="zh-CN"/>
        </w:rPr>
        <w:t>、</w:t>
      </w:r>
      <w:r>
        <w:rPr>
          <w:rFonts w:hint="default"/>
          <w:lang w:val="en-US" w:eastAsia="zh-CN"/>
        </w:rPr>
        <w:t>土壤</w:t>
      </w:r>
      <w:r>
        <w:rPr>
          <w:rFonts w:hint="default"/>
        </w:rPr>
        <w:t>污染事故，应立即向公司环保部门及行政管理部门报告，调查并确认污染源位置</w:t>
      </w:r>
      <w:r>
        <w:rPr>
          <w:rFonts w:hint="default"/>
          <w:lang w:eastAsia="zh-CN"/>
        </w:rPr>
        <w:t>；</w:t>
      </w:r>
    </w:p>
    <w:p w14:paraId="5C7A4A40">
      <w:pPr>
        <w:pStyle w:val="41"/>
        <w:bidi w:val="0"/>
        <w:rPr>
          <w:rFonts w:hint="default"/>
          <w:lang w:eastAsia="zh-CN"/>
        </w:rPr>
      </w:pPr>
      <w:r>
        <w:rPr>
          <w:rFonts w:hint="eastAsia"/>
          <w:lang w:val="en-US" w:eastAsia="zh-CN"/>
        </w:rPr>
        <w:t>B.</w:t>
      </w:r>
      <w:r>
        <w:rPr>
          <w:rFonts w:hint="default"/>
        </w:rPr>
        <w:t>采取有效措施及时阻断确认的污染源，防止污染物继续渗漏到地下，导致土壤和地下水污染范围扩大</w:t>
      </w:r>
      <w:r>
        <w:rPr>
          <w:rFonts w:hint="default"/>
          <w:lang w:eastAsia="zh-CN"/>
        </w:rPr>
        <w:t>；</w:t>
      </w:r>
    </w:p>
    <w:p w14:paraId="09CE50F8">
      <w:pPr>
        <w:pStyle w:val="41"/>
        <w:bidi w:val="0"/>
        <w:rPr>
          <w:rFonts w:hint="default"/>
          <w:lang w:eastAsia="zh-CN"/>
        </w:rPr>
      </w:pPr>
      <w:r>
        <w:rPr>
          <w:rFonts w:hint="eastAsia"/>
          <w:lang w:val="en-US" w:eastAsia="zh-CN"/>
        </w:rPr>
        <w:t>C.</w:t>
      </w:r>
      <w:r>
        <w:rPr>
          <w:rFonts w:hint="default"/>
        </w:rPr>
        <w:t>立即对重污染区域采取有效的修复措施，包括开挖并移走重污染土壤作危险废物处置，防止污染物在地下继续扩散</w:t>
      </w:r>
      <w:r>
        <w:rPr>
          <w:rFonts w:hint="default"/>
          <w:lang w:eastAsia="zh-CN"/>
        </w:rPr>
        <w:t>；</w:t>
      </w:r>
    </w:p>
    <w:p w14:paraId="18E43853">
      <w:pPr>
        <w:pStyle w:val="41"/>
        <w:bidi w:val="0"/>
        <w:rPr>
          <w:rFonts w:hint="default"/>
        </w:rPr>
      </w:pPr>
      <w:r>
        <w:rPr>
          <w:rFonts w:hint="eastAsia"/>
          <w:lang w:val="en-US" w:eastAsia="zh-CN"/>
        </w:rPr>
        <w:t>D.</w:t>
      </w:r>
      <w:r>
        <w:rPr>
          <w:rFonts w:hint="default"/>
          <w:lang w:val="en-US" w:eastAsia="zh-CN"/>
        </w:rPr>
        <w:t>若有必要，</w:t>
      </w:r>
      <w:r>
        <w:rPr>
          <w:rFonts w:hint="default"/>
        </w:rPr>
        <w:t>对项目区地下水进行监测，确定水质是否受到影响。</w:t>
      </w:r>
    </w:p>
    <w:p w14:paraId="4201C6B8">
      <w:pPr>
        <w:pStyle w:val="41"/>
        <w:bidi w:val="0"/>
        <w:rPr>
          <w:rFonts w:hint="default"/>
          <w:b/>
          <w:bCs/>
          <w:lang w:val="en-US" w:eastAsia="zh-CN"/>
        </w:rPr>
      </w:pPr>
      <w:r>
        <w:rPr>
          <w:rFonts w:hint="eastAsia"/>
          <w:b/>
          <w:bCs/>
          <w:lang w:val="en-US" w:eastAsia="zh-CN"/>
        </w:rPr>
        <w:t>4）地下水水质影响分析</w:t>
      </w:r>
    </w:p>
    <w:p w14:paraId="2DFD225C">
      <w:pPr>
        <w:pStyle w:val="41"/>
        <w:bidi w:val="0"/>
        <w:rPr>
          <w:rFonts w:hint="default"/>
          <w:lang w:val="en-US" w:eastAsia="zh-CN"/>
        </w:rPr>
      </w:pPr>
      <w:r>
        <w:rPr>
          <w:rFonts w:hint="eastAsia"/>
          <w:lang w:val="en-US" w:eastAsia="zh-CN"/>
        </w:rPr>
        <w:t>通过分析，</w:t>
      </w:r>
      <w:r>
        <w:rPr>
          <w:rFonts w:hint="default"/>
        </w:rPr>
        <w:t>本项目正常工况下，不会产生地下水污染</w:t>
      </w:r>
      <w:r>
        <w:rPr>
          <w:rFonts w:hint="default"/>
          <w:lang w:eastAsia="zh-CN"/>
        </w:rPr>
        <w:t>。</w:t>
      </w:r>
      <w:r>
        <w:rPr>
          <w:rFonts w:hint="default"/>
        </w:rPr>
        <w:t>只有在事故状态下，只有在事故状态下，项目</w:t>
      </w:r>
      <w:r>
        <w:rPr>
          <w:rFonts w:hint="eastAsia"/>
          <w:lang w:val="en-US" w:eastAsia="zh-CN"/>
        </w:rPr>
        <w:t>设备油类发生跑、冒、滴、漏</w:t>
      </w:r>
      <w:r>
        <w:rPr>
          <w:rFonts w:hint="default"/>
        </w:rPr>
        <w:t>，</w:t>
      </w:r>
      <w:r>
        <w:rPr>
          <w:rFonts w:hint="default"/>
          <w:lang w:val="en-US" w:eastAsia="zh-CN"/>
        </w:rPr>
        <w:t>会</w:t>
      </w:r>
      <w:r>
        <w:rPr>
          <w:rFonts w:hint="default"/>
        </w:rPr>
        <w:t>对</w:t>
      </w:r>
      <w:r>
        <w:rPr>
          <w:rFonts w:hint="eastAsia"/>
          <w:lang w:val="en-US" w:eastAsia="zh-CN"/>
        </w:rPr>
        <w:t>项目区及周边</w:t>
      </w:r>
      <w:r>
        <w:rPr>
          <w:rFonts w:hint="default"/>
        </w:rPr>
        <w:t>土壤造成污染，</w:t>
      </w:r>
      <w:r>
        <w:rPr>
          <w:rFonts w:hint="default"/>
          <w:lang w:val="en-US" w:eastAsia="zh-CN"/>
        </w:rPr>
        <w:t>泄漏下渗</w:t>
      </w:r>
      <w:r>
        <w:rPr>
          <w:rFonts w:hint="default"/>
        </w:rPr>
        <w:t>可能造成地下水污染。</w:t>
      </w:r>
      <w:r>
        <w:rPr>
          <w:rFonts w:hint="eastAsia"/>
          <w:lang w:val="en-US" w:eastAsia="zh-CN"/>
        </w:rPr>
        <w:t>经过采取上述防控措施后，对地下水水质影响可接受。</w:t>
      </w:r>
    </w:p>
    <w:p w14:paraId="1299DC1D">
      <w:pPr>
        <w:pStyle w:val="41"/>
        <w:bidi w:val="0"/>
        <w:rPr>
          <w:rFonts w:hint="default"/>
          <w:b/>
          <w:bCs/>
        </w:rPr>
      </w:pPr>
      <w:r>
        <w:rPr>
          <w:rFonts w:hint="eastAsia"/>
          <w:b/>
          <w:bCs/>
          <w:lang w:val="en-US" w:eastAsia="zh-CN"/>
        </w:rPr>
        <w:t>（3）</w:t>
      </w:r>
      <w:r>
        <w:rPr>
          <w:rFonts w:hint="default"/>
          <w:b/>
          <w:bCs/>
        </w:rPr>
        <w:t>地下水环境影响评价结论</w:t>
      </w:r>
    </w:p>
    <w:p w14:paraId="16247B72">
      <w:pPr>
        <w:pStyle w:val="41"/>
        <w:bidi w:val="0"/>
        <w:rPr>
          <w:rFonts w:hint="default"/>
        </w:rPr>
      </w:pPr>
      <w:r>
        <w:rPr>
          <w:rFonts w:hint="eastAsia"/>
          <w:lang w:val="en-US" w:eastAsia="zh-CN"/>
        </w:rPr>
        <w:t>经分析，项目建设从地下水水位、水质均不产生明显影响，地下水环境影响可接受</w:t>
      </w:r>
      <w:r>
        <w:rPr>
          <w:rFonts w:hint="default"/>
        </w:rPr>
        <w:t>。</w:t>
      </w:r>
    </w:p>
    <w:p w14:paraId="6101518F">
      <w:pPr>
        <w:pStyle w:val="3"/>
        <w:bidi w:val="0"/>
        <w:rPr>
          <w:rFonts w:hint="default"/>
          <w:lang w:val="en-US" w:eastAsia="zh-CN"/>
        </w:rPr>
      </w:pPr>
      <w:r>
        <w:rPr>
          <w:rFonts w:hint="eastAsia"/>
          <w:lang w:val="en-US" w:eastAsia="zh-CN"/>
        </w:rPr>
        <w:t>对红舍克水库饮用水源保护区影响分析与评价</w:t>
      </w:r>
    </w:p>
    <w:p w14:paraId="735A79B5">
      <w:pPr>
        <w:pStyle w:val="4"/>
        <w:bidi w:val="0"/>
        <w:rPr>
          <w:rFonts w:hint="default"/>
          <w:lang w:val="en-US"/>
        </w:rPr>
      </w:pPr>
      <w:r>
        <w:rPr>
          <w:rFonts w:hint="eastAsia"/>
          <w:lang w:val="en-US" w:eastAsia="zh-CN"/>
        </w:rPr>
        <w:t>红舍克水库饮用水源保护区概况</w:t>
      </w:r>
    </w:p>
    <w:p w14:paraId="1B9113C7">
      <w:pPr>
        <w:pStyle w:val="41"/>
        <w:bidi w:val="0"/>
        <w:rPr>
          <w:rFonts w:hint="eastAsia"/>
          <w:lang w:eastAsia="zh-CN"/>
        </w:rPr>
      </w:pPr>
      <w:r>
        <w:t>红舍克水库位于云南省文山州砚山县江那镇，清水江流域，</w:t>
      </w:r>
      <w:r>
        <w:rPr>
          <w:rFonts w:hint="eastAsia"/>
          <w:lang w:val="en-US" w:eastAsia="zh-CN"/>
        </w:rPr>
        <w:t>中心</w:t>
      </w:r>
      <w:r>
        <w:t>地理坐标东经104.32°、北纬23.71°，根据《砚山县人民政府办公室关于印发砚山县水源地保护攻坚实施方案的通知》《文山州砚山县干河彝族乡红舍克水库饮用水水源保护区划定方案》，红舍克</w:t>
      </w:r>
      <w:r>
        <w:rPr>
          <w:rFonts w:hint="eastAsia"/>
          <w:lang w:eastAsia="zh-CN"/>
        </w:rPr>
        <w:t>水库</w:t>
      </w:r>
      <w:r>
        <w:t>以灌溉为主，兼有下游村镇及农田防洪功能。红舍克水库饮用水源保护区区域划分具体内容</w:t>
      </w:r>
      <w:r>
        <w:rPr>
          <w:rFonts w:hint="eastAsia"/>
          <w:lang w:eastAsia="zh-CN"/>
        </w:rPr>
        <w:t>见下</w:t>
      </w:r>
      <w:r>
        <w:t>表</w:t>
      </w:r>
      <w:r>
        <w:rPr>
          <w:rFonts w:hint="eastAsia"/>
          <w:lang w:eastAsia="zh-CN"/>
        </w:rPr>
        <w:t>：</w:t>
      </w:r>
    </w:p>
    <w:p w14:paraId="1F4BCC09">
      <w:pPr>
        <w:pStyle w:val="45"/>
        <w:bidi w:val="0"/>
        <w:rPr>
          <w:rFonts w:hint="eastAsia"/>
          <w:lang w:eastAsia="zh-CN"/>
        </w:rPr>
      </w:pPr>
      <w:r>
        <w:rPr>
          <w:rFonts w:hint="eastAsia"/>
          <w:lang w:val="en-US" w:eastAsia="zh-CN"/>
        </w:rPr>
        <w:t>表6.8-1</w:t>
      </w:r>
      <w:r>
        <w:t>表红舍克水库饮用水水源保护区区划</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67"/>
        <w:gridCol w:w="570"/>
        <w:gridCol w:w="5416"/>
        <w:gridCol w:w="1180"/>
      </w:tblGrid>
      <w:tr w14:paraId="3E27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1042" w:type="pct"/>
            <w:gridSpan w:val="2"/>
            <w:shd w:val="clear" w:color="auto" w:fill="auto"/>
            <w:vAlign w:val="center"/>
          </w:tcPr>
          <w:p w14:paraId="4E003201">
            <w:pPr>
              <w:pStyle w:val="43"/>
              <w:bidi w:val="0"/>
              <w:jc w:val="center"/>
              <w:rPr>
                <w:b/>
                <w:bCs/>
              </w:rPr>
            </w:pPr>
            <w:r>
              <w:rPr>
                <w:b/>
                <w:bCs/>
              </w:rPr>
              <w:t>区划</w:t>
            </w:r>
          </w:p>
        </w:tc>
        <w:tc>
          <w:tcPr>
            <w:tcW w:w="3249" w:type="pct"/>
            <w:shd w:val="clear" w:color="auto" w:fill="auto"/>
            <w:vAlign w:val="center"/>
          </w:tcPr>
          <w:p w14:paraId="48A879BF">
            <w:pPr>
              <w:pStyle w:val="43"/>
              <w:bidi w:val="0"/>
              <w:jc w:val="center"/>
              <w:rPr>
                <w:b/>
                <w:bCs/>
              </w:rPr>
            </w:pPr>
            <w:r>
              <w:rPr>
                <w:b/>
                <w:bCs/>
              </w:rPr>
              <w:t>控制范围</w:t>
            </w:r>
          </w:p>
        </w:tc>
        <w:tc>
          <w:tcPr>
            <w:tcW w:w="708" w:type="pct"/>
            <w:shd w:val="clear" w:color="auto" w:fill="auto"/>
            <w:vAlign w:val="center"/>
          </w:tcPr>
          <w:p w14:paraId="2B50DFF0">
            <w:pPr>
              <w:pStyle w:val="43"/>
              <w:bidi w:val="0"/>
              <w:jc w:val="center"/>
              <w:rPr>
                <w:b/>
                <w:bCs/>
              </w:rPr>
            </w:pPr>
            <w:r>
              <w:rPr>
                <w:rFonts w:hint="eastAsia"/>
                <w:b/>
                <w:bCs/>
                <w:lang w:eastAsia="zh-CN"/>
              </w:rPr>
              <w:t>面积</w:t>
            </w:r>
          </w:p>
          <w:p w14:paraId="0843AD61">
            <w:pPr>
              <w:pStyle w:val="43"/>
              <w:bidi w:val="0"/>
              <w:jc w:val="center"/>
              <w:rPr>
                <w:b/>
                <w:bCs/>
              </w:rPr>
            </w:pPr>
            <w:r>
              <w:rPr>
                <w:b/>
                <w:bCs/>
                <w:lang w:val="en-US" w:eastAsia="en-US"/>
              </w:rPr>
              <w:t>(km</w:t>
            </w:r>
            <w:r>
              <w:rPr>
                <w:b/>
                <w:bCs/>
                <w:vertAlign w:val="superscript"/>
                <w:lang w:val="en-US" w:eastAsia="en-US"/>
              </w:rPr>
              <w:t>2</w:t>
            </w:r>
            <w:r>
              <w:rPr>
                <w:b/>
                <w:bCs/>
              </w:rPr>
              <w:t>)</w:t>
            </w:r>
          </w:p>
        </w:tc>
      </w:tr>
      <w:tr w14:paraId="2873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restart"/>
            <w:shd w:val="clear" w:color="auto" w:fill="auto"/>
            <w:vAlign w:val="center"/>
          </w:tcPr>
          <w:p w14:paraId="7A6B3105">
            <w:pPr>
              <w:pStyle w:val="43"/>
              <w:bidi w:val="0"/>
              <w:jc w:val="center"/>
            </w:pPr>
            <w:r>
              <w:rPr>
                <w:rFonts w:hint="eastAsia"/>
                <w:lang w:val="en-US" w:eastAsia="zh-CN"/>
              </w:rPr>
              <w:t>一</w:t>
            </w:r>
            <w:r>
              <w:t>级保护区</w:t>
            </w:r>
          </w:p>
        </w:tc>
        <w:tc>
          <w:tcPr>
            <w:tcW w:w="342" w:type="pct"/>
            <w:shd w:val="clear" w:color="auto" w:fill="auto"/>
            <w:vAlign w:val="center"/>
          </w:tcPr>
          <w:p w14:paraId="1FBFC27A">
            <w:pPr>
              <w:pStyle w:val="43"/>
              <w:bidi w:val="0"/>
              <w:jc w:val="center"/>
            </w:pPr>
            <w:r>
              <w:t>水域</w:t>
            </w:r>
          </w:p>
        </w:tc>
        <w:tc>
          <w:tcPr>
            <w:tcW w:w="3249" w:type="pct"/>
            <w:shd w:val="clear" w:color="auto" w:fill="auto"/>
            <w:vAlign w:val="center"/>
          </w:tcPr>
          <w:p w14:paraId="6EC115B2">
            <w:pPr>
              <w:pStyle w:val="43"/>
              <w:bidi w:val="0"/>
              <w:jc w:val="center"/>
            </w:pPr>
            <w:r>
              <w:t>红舍克水库正常蓄水位</w:t>
            </w:r>
            <w:r>
              <w:rPr>
                <w:lang w:val="en-US" w:eastAsia="en-US"/>
              </w:rPr>
              <w:t>1539.3m</w:t>
            </w:r>
            <w:r>
              <w:t>以下全部水域。</w:t>
            </w:r>
          </w:p>
        </w:tc>
        <w:tc>
          <w:tcPr>
            <w:tcW w:w="708" w:type="pct"/>
            <w:shd w:val="clear" w:color="auto" w:fill="auto"/>
            <w:vAlign w:val="center"/>
          </w:tcPr>
          <w:p w14:paraId="6C4567CA">
            <w:pPr>
              <w:pStyle w:val="43"/>
              <w:bidi w:val="0"/>
              <w:jc w:val="center"/>
            </w:pPr>
            <w:r>
              <w:rPr>
                <w:lang w:val="en-US" w:eastAsia="en-US"/>
              </w:rPr>
              <w:t>1.088</w:t>
            </w:r>
          </w:p>
        </w:tc>
      </w:tr>
      <w:tr w14:paraId="7E70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018CBE25">
            <w:pPr>
              <w:pStyle w:val="43"/>
              <w:bidi w:val="0"/>
              <w:jc w:val="center"/>
            </w:pPr>
          </w:p>
        </w:tc>
        <w:tc>
          <w:tcPr>
            <w:tcW w:w="342" w:type="pct"/>
            <w:shd w:val="clear" w:color="auto" w:fill="auto"/>
            <w:vAlign w:val="center"/>
          </w:tcPr>
          <w:p w14:paraId="7165E76B">
            <w:pPr>
              <w:pStyle w:val="43"/>
              <w:bidi w:val="0"/>
              <w:jc w:val="center"/>
            </w:pPr>
            <w:r>
              <w:t>陆域</w:t>
            </w:r>
          </w:p>
        </w:tc>
        <w:tc>
          <w:tcPr>
            <w:tcW w:w="3249" w:type="pct"/>
            <w:shd w:val="clear" w:color="auto" w:fill="auto"/>
            <w:vAlign w:val="center"/>
          </w:tcPr>
          <w:p w14:paraId="3C2A59F1">
            <w:pPr>
              <w:pStyle w:val="43"/>
              <w:bidi w:val="0"/>
              <w:jc w:val="center"/>
            </w:pPr>
            <w:r>
              <w:t>红舍克水库正常蓄水位</w:t>
            </w:r>
            <w:r>
              <w:rPr>
                <w:lang w:val="en-US" w:eastAsia="en-US"/>
              </w:rPr>
              <w:t>1539.3m</w:t>
            </w:r>
            <w:r>
              <w:t>外</w:t>
            </w:r>
            <w:r>
              <w:rPr>
                <w:lang w:val="en-US" w:eastAsia="en-US"/>
              </w:rPr>
              <w:t>200</w:t>
            </w:r>
            <w:r>
              <w:t>米范围内，不超过第一重山脊线、红舍克水库大坝迎水侧坝顶的陆域。</w:t>
            </w:r>
          </w:p>
        </w:tc>
        <w:tc>
          <w:tcPr>
            <w:tcW w:w="708" w:type="pct"/>
            <w:shd w:val="clear" w:color="auto" w:fill="auto"/>
            <w:vAlign w:val="center"/>
          </w:tcPr>
          <w:p w14:paraId="3CD9A817">
            <w:pPr>
              <w:pStyle w:val="43"/>
              <w:bidi w:val="0"/>
              <w:jc w:val="center"/>
            </w:pPr>
            <w:r>
              <w:rPr>
                <w:lang w:val="en-US" w:eastAsia="en-US"/>
              </w:rPr>
              <w:t>0.154</w:t>
            </w:r>
          </w:p>
        </w:tc>
      </w:tr>
      <w:tr w14:paraId="2FD7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355DAE67">
            <w:pPr>
              <w:pStyle w:val="43"/>
              <w:bidi w:val="0"/>
              <w:jc w:val="center"/>
            </w:pPr>
          </w:p>
        </w:tc>
        <w:tc>
          <w:tcPr>
            <w:tcW w:w="3591" w:type="pct"/>
            <w:gridSpan w:val="2"/>
            <w:shd w:val="clear" w:color="auto" w:fill="auto"/>
            <w:vAlign w:val="center"/>
          </w:tcPr>
          <w:p w14:paraId="5FFC7418">
            <w:pPr>
              <w:pStyle w:val="43"/>
              <w:bidi w:val="0"/>
              <w:jc w:val="center"/>
            </w:pPr>
            <w:r>
              <w:t>小计</w:t>
            </w:r>
          </w:p>
        </w:tc>
        <w:tc>
          <w:tcPr>
            <w:tcW w:w="708" w:type="pct"/>
            <w:shd w:val="clear" w:color="auto" w:fill="auto"/>
            <w:vAlign w:val="center"/>
          </w:tcPr>
          <w:p w14:paraId="220F5A1B">
            <w:pPr>
              <w:pStyle w:val="43"/>
              <w:bidi w:val="0"/>
              <w:jc w:val="center"/>
            </w:pPr>
            <w:r>
              <w:rPr>
                <w:lang w:val="en-US" w:eastAsia="en-US"/>
              </w:rPr>
              <w:t>2.242</w:t>
            </w:r>
          </w:p>
        </w:tc>
      </w:tr>
      <w:tr w14:paraId="2342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restart"/>
            <w:shd w:val="clear" w:color="auto" w:fill="auto"/>
            <w:vAlign w:val="center"/>
          </w:tcPr>
          <w:p w14:paraId="2EBED9C5">
            <w:pPr>
              <w:pStyle w:val="43"/>
              <w:bidi w:val="0"/>
              <w:jc w:val="center"/>
            </w:pPr>
            <w:r>
              <w:rPr>
                <w:rFonts w:hint="eastAsia"/>
                <w:lang w:val="en-US" w:eastAsia="zh-CN"/>
              </w:rPr>
              <w:t>二</w:t>
            </w:r>
            <w:r>
              <w:t>级保护区</w:t>
            </w:r>
          </w:p>
        </w:tc>
        <w:tc>
          <w:tcPr>
            <w:tcW w:w="342" w:type="pct"/>
            <w:shd w:val="clear" w:color="auto" w:fill="auto"/>
            <w:vAlign w:val="center"/>
          </w:tcPr>
          <w:p w14:paraId="547E8706">
            <w:pPr>
              <w:pStyle w:val="43"/>
              <w:bidi w:val="0"/>
              <w:jc w:val="center"/>
            </w:pPr>
            <w:r>
              <w:t>水域</w:t>
            </w:r>
          </w:p>
        </w:tc>
        <w:tc>
          <w:tcPr>
            <w:tcW w:w="3249" w:type="pct"/>
            <w:shd w:val="clear" w:color="auto" w:fill="auto"/>
            <w:vAlign w:val="center"/>
          </w:tcPr>
          <w:p w14:paraId="1C1F549F">
            <w:pPr>
              <w:pStyle w:val="43"/>
              <w:bidi w:val="0"/>
              <w:jc w:val="center"/>
            </w:pPr>
            <w:r>
              <w:t>红舍克下坝水库正常蓄水位</w:t>
            </w:r>
            <w:r>
              <w:rPr>
                <w:lang w:val="en-US" w:eastAsia="en-US"/>
              </w:rPr>
              <w:t>155</w:t>
            </w:r>
            <w:r>
              <w:rPr>
                <w:rFonts w:hint="eastAsia"/>
                <w:lang w:val="en-US" w:eastAsia="zh-CN"/>
              </w:rPr>
              <w:t>6.</w:t>
            </w:r>
            <w:r>
              <w:rPr>
                <w:lang w:val="en-US" w:eastAsia="en-US"/>
              </w:rPr>
              <w:t>47m</w:t>
            </w:r>
            <w:r>
              <w:t>以下全部水域和红舍克上坝水库正常蓄水位</w:t>
            </w:r>
            <w:r>
              <w:rPr>
                <w:lang w:val="en-US" w:eastAsia="en-US"/>
              </w:rPr>
              <w:t>1562.30m</w:t>
            </w:r>
            <w:r>
              <w:t>以下全部水域。</w:t>
            </w:r>
          </w:p>
        </w:tc>
        <w:tc>
          <w:tcPr>
            <w:tcW w:w="708" w:type="pct"/>
            <w:shd w:val="clear" w:color="auto" w:fill="auto"/>
            <w:vAlign w:val="center"/>
          </w:tcPr>
          <w:p w14:paraId="05EC53BF">
            <w:pPr>
              <w:pStyle w:val="43"/>
              <w:bidi w:val="0"/>
              <w:jc w:val="center"/>
            </w:pPr>
            <w:r>
              <w:rPr>
                <w:lang w:val="en-US" w:eastAsia="en-US"/>
              </w:rPr>
              <w:t>0.203</w:t>
            </w:r>
          </w:p>
        </w:tc>
      </w:tr>
      <w:tr w14:paraId="0413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6E284A5B">
            <w:pPr>
              <w:pStyle w:val="43"/>
              <w:bidi w:val="0"/>
              <w:jc w:val="center"/>
            </w:pPr>
          </w:p>
        </w:tc>
        <w:tc>
          <w:tcPr>
            <w:tcW w:w="342" w:type="pct"/>
            <w:shd w:val="clear" w:color="auto" w:fill="auto"/>
            <w:vAlign w:val="center"/>
          </w:tcPr>
          <w:p w14:paraId="59575508">
            <w:pPr>
              <w:pStyle w:val="43"/>
              <w:bidi w:val="0"/>
              <w:jc w:val="center"/>
            </w:pPr>
            <w:r>
              <w:t>陆域</w:t>
            </w:r>
          </w:p>
        </w:tc>
        <w:tc>
          <w:tcPr>
            <w:tcW w:w="3249" w:type="pct"/>
            <w:shd w:val="clear" w:color="auto" w:fill="auto"/>
            <w:vAlign w:val="center"/>
          </w:tcPr>
          <w:p w14:paraId="0EB7E881">
            <w:pPr>
              <w:pStyle w:val="43"/>
              <w:bidi w:val="0"/>
              <w:jc w:val="center"/>
            </w:pPr>
            <w:r>
              <w:t>红舍克水库周边第一重山脊线以内（一级保护区以外）以及入库沟渠上溯</w:t>
            </w:r>
            <w:r>
              <w:rPr>
                <w:lang w:val="en-US" w:eastAsia="en-US"/>
              </w:rPr>
              <w:t>3000</w:t>
            </w:r>
            <w:r>
              <w:t>米的汇水区域。</w:t>
            </w:r>
          </w:p>
        </w:tc>
        <w:tc>
          <w:tcPr>
            <w:tcW w:w="708" w:type="pct"/>
            <w:shd w:val="clear" w:color="auto" w:fill="auto"/>
            <w:vAlign w:val="center"/>
          </w:tcPr>
          <w:p w14:paraId="4BF2D416">
            <w:pPr>
              <w:pStyle w:val="43"/>
              <w:bidi w:val="0"/>
              <w:jc w:val="center"/>
            </w:pPr>
            <w:r>
              <w:rPr>
                <w:lang w:val="en-US" w:eastAsia="en-US"/>
              </w:rPr>
              <w:t>9.791</w:t>
            </w:r>
          </w:p>
        </w:tc>
      </w:tr>
      <w:tr w14:paraId="4FE8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2266EA86">
            <w:pPr>
              <w:pStyle w:val="43"/>
              <w:bidi w:val="0"/>
              <w:jc w:val="center"/>
            </w:pPr>
          </w:p>
        </w:tc>
        <w:tc>
          <w:tcPr>
            <w:tcW w:w="3591" w:type="pct"/>
            <w:gridSpan w:val="2"/>
            <w:shd w:val="clear" w:color="auto" w:fill="auto"/>
            <w:vAlign w:val="center"/>
          </w:tcPr>
          <w:p w14:paraId="17E3A0B7">
            <w:pPr>
              <w:pStyle w:val="43"/>
              <w:bidi w:val="0"/>
              <w:jc w:val="center"/>
            </w:pPr>
            <w:r>
              <w:t>小计</w:t>
            </w:r>
          </w:p>
        </w:tc>
        <w:tc>
          <w:tcPr>
            <w:tcW w:w="708" w:type="pct"/>
            <w:shd w:val="clear" w:color="auto" w:fill="auto"/>
            <w:vAlign w:val="center"/>
          </w:tcPr>
          <w:p w14:paraId="2EF3A812">
            <w:pPr>
              <w:pStyle w:val="43"/>
              <w:bidi w:val="0"/>
              <w:jc w:val="center"/>
            </w:pPr>
            <w:r>
              <w:rPr>
                <w:lang w:val="en-US" w:eastAsia="en-US"/>
              </w:rPr>
              <w:t>9.994</w:t>
            </w:r>
          </w:p>
        </w:tc>
      </w:tr>
      <w:tr w14:paraId="2158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restart"/>
            <w:shd w:val="clear" w:color="auto" w:fill="auto"/>
            <w:vAlign w:val="center"/>
          </w:tcPr>
          <w:p w14:paraId="671C78F9">
            <w:pPr>
              <w:pStyle w:val="43"/>
              <w:bidi w:val="0"/>
              <w:jc w:val="center"/>
            </w:pPr>
            <w:r>
              <w:t>准保护区</w:t>
            </w:r>
          </w:p>
        </w:tc>
        <w:tc>
          <w:tcPr>
            <w:tcW w:w="342" w:type="pct"/>
            <w:shd w:val="clear" w:color="auto" w:fill="auto"/>
            <w:vAlign w:val="center"/>
          </w:tcPr>
          <w:p w14:paraId="2EBAA4E1">
            <w:pPr>
              <w:pStyle w:val="43"/>
              <w:bidi w:val="0"/>
              <w:jc w:val="center"/>
            </w:pPr>
            <w:r>
              <w:t>水域</w:t>
            </w:r>
          </w:p>
        </w:tc>
        <w:tc>
          <w:tcPr>
            <w:tcW w:w="3249" w:type="pct"/>
            <w:shd w:val="clear" w:color="auto" w:fill="auto"/>
            <w:vAlign w:val="center"/>
          </w:tcPr>
          <w:p w14:paraId="12EF7F0F">
            <w:pPr>
              <w:pStyle w:val="43"/>
              <w:bidi w:val="0"/>
              <w:jc w:val="center"/>
            </w:pPr>
            <w:r>
              <w:t>石门水库正常蓄水位</w:t>
            </w:r>
            <w:r>
              <w:rPr>
                <w:lang w:val="en-US" w:eastAsia="en-US"/>
              </w:rPr>
              <w:t>1554.80m</w:t>
            </w:r>
            <w:r>
              <w:t>以下全部水域和小舍克水库正常蓄水位</w:t>
            </w:r>
            <w:r>
              <w:rPr>
                <w:lang w:val="en-US" w:eastAsia="en-US"/>
              </w:rPr>
              <w:t>1579.</w:t>
            </w:r>
            <w:r>
              <w:rPr>
                <w:rFonts w:hint="eastAsia"/>
                <w:lang w:val="en-US" w:eastAsia="zh-CN"/>
              </w:rPr>
              <w:t>8</w:t>
            </w:r>
            <w:r>
              <w:rPr>
                <w:lang w:val="en-US" w:eastAsia="en-US"/>
              </w:rPr>
              <w:t>m</w:t>
            </w:r>
            <w:r>
              <w:t>以下全部水域。</w:t>
            </w:r>
          </w:p>
        </w:tc>
        <w:tc>
          <w:tcPr>
            <w:tcW w:w="708" w:type="pct"/>
            <w:shd w:val="clear" w:color="auto" w:fill="auto"/>
            <w:vAlign w:val="center"/>
          </w:tcPr>
          <w:p w14:paraId="2DA0E774">
            <w:pPr>
              <w:pStyle w:val="43"/>
              <w:bidi w:val="0"/>
              <w:jc w:val="center"/>
            </w:pPr>
            <w:r>
              <w:rPr>
                <w:lang w:val="en-US" w:eastAsia="en-US"/>
              </w:rPr>
              <w:t>0.341</w:t>
            </w:r>
          </w:p>
        </w:tc>
      </w:tr>
      <w:tr w14:paraId="7404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20410B80">
            <w:pPr>
              <w:pStyle w:val="43"/>
              <w:bidi w:val="0"/>
              <w:jc w:val="center"/>
            </w:pPr>
          </w:p>
        </w:tc>
        <w:tc>
          <w:tcPr>
            <w:tcW w:w="342" w:type="pct"/>
            <w:shd w:val="clear" w:color="auto" w:fill="auto"/>
            <w:vAlign w:val="center"/>
          </w:tcPr>
          <w:p w14:paraId="11BB5F07">
            <w:pPr>
              <w:pStyle w:val="43"/>
              <w:bidi w:val="0"/>
              <w:jc w:val="center"/>
            </w:pPr>
            <w:r>
              <w:t>陆域</w:t>
            </w:r>
          </w:p>
        </w:tc>
        <w:tc>
          <w:tcPr>
            <w:tcW w:w="3249" w:type="pct"/>
            <w:shd w:val="clear" w:color="auto" w:fill="auto"/>
            <w:vAlign w:val="center"/>
          </w:tcPr>
          <w:p w14:paraId="5D489653">
            <w:pPr>
              <w:pStyle w:val="43"/>
              <w:bidi w:val="0"/>
              <w:jc w:val="center"/>
            </w:pPr>
            <w:r>
              <w:t>二级保护区外，红舍克水库的汇水区域，南面以广昆高速公路迎水侧路肩为界。</w:t>
            </w:r>
          </w:p>
        </w:tc>
        <w:tc>
          <w:tcPr>
            <w:tcW w:w="708" w:type="pct"/>
            <w:shd w:val="clear" w:color="auto" w:fill="auto"/>
            <w:vAlign w:val="center"/>
          </w:tcPr>
          <w:p w14:paraId="38D426FC">
            <w:pPr>
              <w:pStyle w:val="43"/>
              <w:bidi w:val="0"/>
              <w:jc w:val="center"/>
            </w:pPr>
            <w:r>
              <w:rPr>
                <w:lang w:val="en-US" w:eastAsia="en-US"/>
              </w:rPr>
              <w:t>14.203</w:t>
            </w:r>
          </w:p>
        </w:tc>
      </w:tr>
      <w:tr w14:paraId="017D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700" w:type="pct"/>
            <w:vMerge w:val="continue"/>
            <w:shd w:val="clear" w:color="auto" w:fill="auto"/>
            <w:vAlign w:val="center"/>
          </w:tcPr>
          <w:p w14:paraId="308C432A">
            <w:pPr>
              <w:pStyle w:val="43"/>
              <w:bidi w:val="0"/>
              <w:jc w:val="center"/>
            </w:pPr>
          </w:p>
        </w:tc>
        <w:tc>
          <w:tcPr>
            <w:tcW w:w="3591" w:type="pct"/>
            <w:gridSpan w:val="2"/>
            <w:shd w:val="clear" w:color="auto" w:fill="auto"/>
            <w:vAlign w:val="center"/>
          </w:tcPr>
          <w:p w14:paraId="2EA556BC">
            <w:pPr>
              <w:pStyle w:val="43"/>
              <w:bidi w:val="0"/>
              <w:jc w:val="center"/>
            </w:pPr>
            <w:r>
              <w:t>小计</w:t>
            </w:r>
          </w:p>
        </w:tc>
        <w:tc>
          <w:tcPr>
            <w:tcW w:w="708" w:type="pct"/>
            <w:shd w:val="clear" w:color="auto" w:fill="auto"/>
            <w:vAlign w:val="center"/>
          </w:tcPr>
          <w:p w14:paraId="2A582822">
            <w:pPr>
              <w:pStyle w:val="43"/>
              <w:bidi w:val="0"/>
              <w:jc w:val="center"/>
            </w:pPr>
            <w:r>
              <w:rPr>
                <w:lang w:val="en-US" w:eastAsia="en-US"/>
              </w:rPr>
              <w:t>14.544</w:t>
            </w:r>
          </w:p>
        </w:tc>
      </w:tr>
      <w:tr w14:paraId="7E5D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4291" w:type="pct"/>
            <w:gridSpan w:val="3"/>
            <w:shd w:val="clear" w:color="auto" w:fill="auto"/>
            <w:vAlign w:val="center"/>
          </w:tcPr>
          <w:p w14:paraId="7C201FC0">
            <w:pPr>
              <w:pStyle w:val="43"/>
              <w:bidi w:val="0"/>
              <w:jc w:val="center"/>
              <w:rPr>
                <w:b/>
                <w:bCs/>
              </w:rPr>
            </w:pPr>
            <w:r>
              <w:rPr>
                <w:b/>
                <w:bCs/>
              </w:rPr>
              <w:t>总计</w:t>
            </w:r>
          </w:p>
        </w:tc>
        <w:tc>
          <w:tcPr>
            <w:tcW w:w="708" w:type="pct"/>
            <w:shd w:val="clear" w:color="auto" w:fill="auto"/>
            <w:vAlign w:val="center"/>
          </w:tcPr>
          <w:p w14:paraId="5E0CCFB9">
            <w:pPr>
              <w:pStyle w:val="43"/>
              <w:bidi w:val="0"/>
              <w:jc w:val="center"/>
              <w:rPr>
                <w:b/>
                <w:bCs/>
              </w:rPr>
            </w:pPr>
            <w:r>
              <w:rPr>
                <w:b/>
                <w:bCs/>
                <w:lang w:val="en-US" w:eastAsia="en-US"/>
              </w:rPr>
              <w:t>26.780</w:t>
            </w:r>
          </w:p>
        </w:tc>
      </w:tr>
    </w:tbl>
    <w:p w14:paraId="209E31F6">
      <w:pPr>
        <w:pStyle w:val="4"/>
        <w:bidi w:val="0"/>
        <w:rPr>
          <w:rFonts w:hint="default"/>
          <w:lang w:val="en-US" w:eastAsia="zh-CN"/>
        </w:rPr>
      </w:pPr>
      <w:r>
        <w:rPr>
          <w:rFonts w:hint="eastAsia"/>
          <w:lang w:val="en-US" w:eastAsia="zh-CN"/>
        </w:rPr>
        <w:t>影响分析</w:t>
      </w:r>
    </w:p>
    <w:p w14:paraId="06AB7135">
      <w:pPr>
        <w:pStyle w:val="41"/>
        <w:bidi w:val="0"/>
        <w:rPr>
          <w:rFonts w:hint="eastAsia"/>
          <w:lang w:val="en-US" w:eastAsia="zh-CN"/>
        </w:rPr>
      </w:pPr>
      <w:r>
        <w:rPr>
          <w:rFonts w:hint="eastAsia"/>
          <w:lang w:val="en-US" w:eastAsia="zh-CN"/>
        </w:rPr>
        <w:t>项目位于红舍克水库饮用水源保护区准保护区范围内，与二</w:t>
      </w:r>
      <w:r>
        <w:t>级保护</w:t>
      </w:r>
      <w:r>
        <w:rPr>
          <w:rFonts w:hint="eastAsia"/>
          <w:lang w:val="en-US" w:eastAsia="zh-CN"/>
        </w:rPr>
        <w:t>的距离约375m，该水源保护区于2019年划定而项目于2010年就开采至今。根据现状调查结果，红舍克水库水质能达到</w:t>
      </w:r>
      <w:r>
        <w:rPr>
          <w:rFonts w:hint="default"/>
        </w:rPr>
        <w:t>《地表水环境质量标准》（GB3838-2002）中Ⅲ类标准</w:t>
      </w:r>
      <w:r>
        <w:rPr>
          <w:rFonts w:hint="eastAsia"/>
          <w:lang w:eastAsia="zh-CN"/>
        </w:rPr>
        <w:t>，</w:t>
      </w:r>
      <w:r>
        <w:rPr>
          <w:rFonts w:hint="eastAsia"/>
          <w:lang w:val="en-US" w:eastAsia="zh-CN"/>
        </w:rPr>
        <w:t>前期项目开采对饮用水源保护区水质影响不大。</w:t>
      </w:r>
    </w:p>
    <w:p w14:paraId="3F5BB5BD">
      <w:pPr>
        <w:pStyle w:val="41"/>
        <w:bidi w:val="0"/>
      </w:pPr>
      <w:r>
        <w:rPr>
          <w:rFonts w:hint="eastAsia"/>
          <w:lang w:val="en-US" w:eastAsia="zh-CN"/>
        </w:rPr>
        <w:t>扩建后，项目产能由20万吨/年扩大到50万吨/年，随着产能扩大，污染物产排量发生一定变化，</w:t>
      </w:r>
      <w:r>
        <w:t>项目属于矿山开采类项目，虽不在一、二级保护区内，但开采扰动、产污特点仍会对水源保护区存在潜在间接、轻微不利影响，具体影响如下：</w:t>
      </w:r>
    </w:p>
    <w:p w14:paraId="280B3932">
      <w:pPr>
        <w:pStyle w:val="41"/>
        <w:bidi w:val="0"/>
        <w:rPr>
          <w:b/>
          <w:bCs/>
        </w:rPr>
      </w:pPr>
      <w:r>
        <w:rPr>
          <w:rFonts w:hint="eastAsia"/>
          <w:b/>
          <w:bCs/>
          <w:lang w:val="en-US" w:eastAsia="zh-CN"/>
        </w:rPr>
        <w:t>（1）</w:t>
      </w:r>
      <w:r>
        <w:rPr>
          <w:b/>
          <w:bCs/>
        </w:rPr>
        <w:t>雨水径流</w:t>
      </w:r>
    </w:p>
    <w:p w14:paraId="10013197">
      <w:pPr>
        <w:pStyle w:val="41"/>
        <w:bidi w:val="0"/>
      </w:pPr>
      <w:r>
        <w:rPr>
          <w:lang w:val="en-US" w:eastAsia="zh-CN"/>
        </w:rPr>
        <w:t>采石场开采面、</w:t>
      </w:r>
      <w:r>
        <w:rPr>
          <w:rFonts w:hint="eastAsia"/>
          <w:lang w:val="en-US" w:eastAsia="zh-CN"/>
        </w:rPr>
        <w:t>表土</w:t>
      </w:r>
      <w:r>
        <w:rPr>
          <w:lang w:val="en-US" w:eastAsia="zh-CN"/>
        </w:rPr>
        <w:t>堆场、运输道路裸露岩土量大，降雨冲刷会产生高浓度含泥沙雨水。</w:t>
      </w:r>
      <w:r>
        <w:t>场区初期雨水、地表径流若收集不当，可通过地表漫流、冲沟汇流进入水源保护区汇水范围，最终汇入红舍克水库；径流携带悬浮物、少量岩土淋溶物质，会造成入库水体浑浊度升高、泥沙淤积，影响水库水质及库容；雨季暴雨工况下，短时径流污染风险显著提升，是主要水源隐患。</w:t>
      </w:r>
    </w:p>
    <w:p w14:paraId="5ED3B3F7">
      <w:pPr>
        <w:pStyle w:val="41"/>
        <w:bidi w:val="0"/>
        <w:rPr>
          <w:b/>
          <w:bCs/>
        </w:rPr>
      </w:pPr>
      <w:r>
        <w:rPr>
          <w:rFonts w:hint="eastAsia"/>
          <w:b/>
          <w:bCs/>
          <w:lang w:eastAsia="zh-CN"/>
        </w:rPr>
        <w:t>（</w:t>
      </w:r>
      <w:r>
        <w:rPr>
          <w:rFonts w:hint="eastAsia"/>
          <w:b/>
          <w:bCs/>
          <w:lang w:val="en-US" w:eastAsia="zh-CN"/>
        </w:rPr>
        <w:t>2）</w:t>
      </w:r>
      <w:r>
        <w:rPr>
          <w:b/>
          <w:bCs/>
        </w:rPr>
        <w:t>生产废水、机修油污渗漏影响</w:t>
      </w:r>
    </w:p>
    <w:p w14:paraId="17371458">
      <w:pPr>
        <w:pStyle w:val="41"/>
        <w:bidi w:val="0"/>
      </w:pPr>
      <w:r>
        <w:t>场区机修区、设备保养区域产生含石油类、悬浮物废水；若防渗、收集设施不完善，废水可通过土壤下渗、浅层地下水径流缓慢迁移，间接影响水源保护区地下水补给带；准保护区承担水库汇水、地下水补给功能，长期微量渗漏会累积水环境风险。</w:t>
      </w:r>
    </w:p>
    <w:p w14:paraId="5B9FBD84">
      <w:pPr>
        <w:pStyle w:val="41"/>
        <w:numPr>
          <w:ilvl w:val="0"/>
          <w:numId w:val="6"/>
        </w:numPr>
        <w:bidi w:val="0"/>
        <w:rPr>
          <w:b/>
          <w:bCs/>
        </w:rPr>
      </w:pPr>
      <w:r>
        <w:rPr>
          <w:b/>
          <w:bCs/>
        </w:rPr>
        <w:t>水土流失生态影响</w:t>
      </w:r>
    </w:p>
    <w:p w14:paraId="25648304">
      <w:pPr>
        <w:pStyle w:val="41"/>
        <w:numPr>
          <w:ilvl w:val="0"/>
          <w:numId w:val="0"/>
        </w:numPr>
        <w:bidi w:val="0"/>
        <w:ind w:firstLine="480" w:firstLineChars="200"/>
      </w:pPr>
      <w:r>
        <w:t>采石场开挖、剥离、占地扰动地表植被，破坏原有水土保持结构，区域水土流失量显著增加；流失泥沙随地表径流进入水源汇水区，造成水库泥沙淤积、水体透明度下降；扰动山体土层，改变局部汇水路径，加剧水源保护区上游面源污染输入。</w:t>
      </w:r>
    </w:p>
    <w:p w14:paraId="486FFB26">
      <w:pPr>
        <w:pStyle w:val="41"/>
        <w:bidi w:val="0"/>
        <w:rPr>
          <w:b/>
          <w:bCs/>
        </w:rPr>
      </w:pPr>
      <w:r>
        <w:rPr>
          <w:rFonts w:hint="eastAsia"/>
          <w:b/>
          <w:bCs/>
          <w:lang w:eastAsia="zh-CN"/>
        </w:rPr>
        <w:t>（</w:t>
      </w:r>
      <w:r>
        <w:rPr>
          <w:rFonts w:hint="eastAsia"/>
          <w:b/>
          <w:bCs/>
          <w:lang w:val="en-US" w:eastAsia="zh-CN"/>
        </w:rPr>
        <w:t>4）</w:t>
      </w:r>
      <w:r>
        <w:rPr>
          <w:b/>
          <w:bCs/>
        </w:rPr>
        <w:t>固体废物次生污染影响</w:t>
      </w:r>
    </w:p>
    <w:p w14:paraId="407254EC">
      <w:pPr>
        <w:pStyle w:val="41"/>
        <w:bidi w:val="0"/>
      </w:pPr>
      <w:r>
        <w:rPr>
          <w:lang w:val="en-US" w:eastAsia="zh-CN"/>
        </w:rPr>
        <w:t>场内表土、弃渣、生活垃圾等固废</w:t>
      </w:r>
      <w:r>
        <w:t>乱堆乱放、无拦挡截排措施时，雨天淋溶、冲刷会产生泥沙及微量污染物淋溶水；固废长期堆存易造成局部土壤污染，污染物随地下水、地表径流迁移至水源保护区；属于水源准保护区重点管控风险源。</w:t>
      </w:r>
    </w:p>
    <w:p w14:paraId="615C8D7A">
      <w:pPr>
        <w:pStyle w:val="41"/>
        <w:bidi w:val="0"/>
        <w:rPr>
          <w:b/>
          <w:bCs/>
        </w:rPr>
      </w:pPr>
      <w:r>
        <w:rPr>
          <w:rFonts w:hint="eastAsia"/>
          <w:b/>
          <w:bCs/>
          <w:lang w:eastAsia="zh-CN"/>
        </w:rPr>
        <w:t>（</w:t>
      </w:r>
      <w:r>
        <w:rPr>
          <w:rFonts w:hint="eastAsia"/>
          <w:b/>
          <w:bCs/>
          <w:lang w:val="en-US" w:eastAsia="zh-CN"/>
        </w:rPr>
        <w:t>5）</w:t>
      </w:r>
      <w:r>
        <w:rPr>
          <w:b/>
          <w:bCs/>
        </w:rPr>
        <w:t>大气沉降间接水质影响</w:t>
      </w:r>
    </w:p>
    <w:p w14:paraId="4FC3E4A0">
      <w:pPr>
        <w:pStyle w:val="41"/>
        <w:bidi w:val="0"/>
      </w:pPr>
      <w:r>
        <w:rPr>
          <w:lang w:val="en-US" w:eastAsia="zh-CN"/>
        </w:rPr>
        <w:t>开采、破碎、运输产生的粉尘含硅酸盐、碳酸盐类岩土颗粒物</w:t>
      </w:r>
      <w:r>
        <w:rPr>
          <w:rFonts w:hint="eastAsia"/>
          <w:lang w:val="en-US" w:eastAsia="zh-CN"/>
        </w:rPr>
        <w:t>，</w:t>
      </w:r>
      <w:r>
        <w:t>粉尘沉降于地表、汇水沟渠，降雨后随径流进入水库；长期累积会轻微提升水体SS、矿化度，对水库水质造成间接影响。</w:t>
      </w:r>
    </w:p>
    <w:p w14:paraId="49570BED">
      <w:pPr>
        <w:pStyle w:val="41"/>
        <w:bidi w:val="0"/>
        <w:rPr>
          <w:b/>
          <w:bCs/>
        </w:rPr>
      </w:pPr>
      <w:r>
        <w:rPr>
          <w:rFonts w:hint="eastAsia"/>
          <w:b/>
          <w:bCs/>
          <w:lang w:eastAsia="zh-CN"/>
        </w:rPr>
        <w:t>（</w:t>
      </w:r>
      <w:r>
        <w:rPr>
          <w:rFonts w:hint="eastAsia"/>
          <w:b/>
          <w:bCs/>
          <w:lang w:val="en-US" w:eastAsia="zh-CN"/>
        </w:rPr>
        <w:t>6）</w:t>
      </w:r>
      <w:r>
        <w:rPr>
          <w:b/>
          <w:bCs/>
        </w:rPr>
        <w:t>环境风险（事故工况）</w:t>
      </w:r>
    </w:p>
    <w:p w14:paraId="67DFD271">
      <w:pPr>
        <w:pStyle w:val="41"/>
        <w:bidi w:val="0"/>
      </w:pPr>
      <w:r>
        <w:t>极端暴雨：截排水、沉淀池超负荷失效，大量高浊度废水直排汇水区域；油料泄漏：机械柴油、润滑油泄漏，污染土壤及浅层地下水，存在向水源保护区迁移的风险；边坡垮塌、渣土滑移：大量土石方进入汇水通道，造成短时严重泥沙污染。</w:t>
      </w:r>
    </w:p>
    <w:p w14:paraId="08999AB8">
      <w:pPr>
        <w:pStyle w:val="41"/>
        <w:bidi w:val="0"/>
        <w:rPr>
          <w:b/>
          <w:bCs/>
        </w:rPr>
      </w:pPr>
      <w:r>
        <w:rPr>
          <w:rFonts w:hint="eastAsia"/>
          <w:b/>
          <w:bCs/>
          <w:lang w:eastAsia="zh-CN"/>
        </w:rPr>
        <w:t>（</w:t>
      </w:r>
      <w:r>
        <w:rPr>
          <w:rFonts w:hint="eastAsia"/>
          <w:b/>
          <w:bCs/>
          <w:lang w:val="en-US" w:eastAsia="zh-CN"/>
        </w:rPr>
        <w:t>7）</w:t>
      </w:r>
      <w:r>
        <w:rPr>
          <w:b/>
          <w:bCs/>
        </w:rPr>
        <w:t>合规性总结</w:t>
      </w:r>
    </w:p>
    <w:p w14:paraId="125A53A4">
      <w:pPr>
        <w:pStyle w:val="41"/>
        <w:bidi w:val="0"/>
      </w:pPr>
      <w:r>
        <w:rPr>
          <w:lang w:val="en-US" w:eastAsia="zh-CN"/>
        </w:rPr>
        <w:t>项目不占用水源一级、二级保护区，仅位于外围准保护区，无直接排污入库行为；正常工况下通过雨污分流、初期雨水收集、沉淀池处理、固废规范堆存、水土保持治理等措施，可有效阻断污染迁移路径，对红舍克水库水源保护区影响轻微、可控、可恢复，不会改变水库水体功能及水质达标状况。</w:t>
      </w:r>
    </w:p>
    <w:p w14:paraId="12BDF257">
      <w:pPr>
        <w:pStyle w:val="4"/>
        <w:bidi w:val="0"/>
        <w:rPr>
          <w:rFonts w:hint="default"/>
          <w:lang w:val="en-US" w:eastAsia="zh-CN"/>
        </w:rPr>
      </w:pPr>
      <w:r>
        <w:rPr>
          <w:rFonts w:hint="eastAsia"/>
          <w:lang w:val="en-US" w:eastAsia="zh-CN"/>
        </w:rPr>
        <w:t>措施有效性</w:t>
      </w:r>
    </w:p>
    <w:p w14:paraId="254E7E58">
      <w:pPr>
        <w:pStyle w:val="41"/>
        <w:bidi w:val="0"/>
        <w:rPr>
          <w:b/>
          <w:bCs/>
        </w:rPr>
      </w:pPr>
      <w:r>
        <w:rPr>
          <w:rFonts w:hint="eastAsia"/>
          <w:b/>
          <w:bCs/>
          <w:lang w:eastAsia="zh-CN"/>
        </w:rPr>
        <w:t>（</w:t>
      </w:r>
      <w:r>
        <w:rPr>
          <w:rFonts w:hint="eastAsia"/>
          <w:b/>
          <w:bCs/>
          <w:lang w:val="en-US" w:eastAsia="zh-CN"/>
        </w:rPr>
        <w:t>1）</w:t>
      </w:r>
      <w:r>
        <w:rPr>
          <w:b/>
          <w:bCs/>
        </w:rPr>
        <w:t>地表径流及泥沙污染防控措施</w:t>
      </w:r>
    </w:p>
    <w:p w14:paraId="2990DCDF">
      <w:pPr>
        <w:pStyle w:val="41"/>
        <w:bidi w:val="0"/>
      </w:pPr>
      <w:r>
        <w:rPr>
          <w:rFonts w:hint="eastAsia"/>
          <w:lang w:val="en-US" w:eastAsia="zh-CN"/>
        </w:rPr>
        <w:t>1）</w:t>
      </w:r>
      <w:r>
        <w:rPr>
          <w:lang w:val="en-US" w:eastAsia="zh-CN"/>
        </w:rPr>
        <w:t>场区实行全面雨污分流、分区截排水制度，开采作业区、废石堆场、表土堆场、运输道路分别设置环形截水沟、排水沟，雨水全部有序收集，严禁场区雨水无序漫流外排汇入水源汇水区域。</w:t>
      </w:r>
    </w:p>
    <w:p w14:paraId="18773F8D">
      <w:pPr>
        <w:pStyle w:val="41"/>
        <w:bidi w:val="0"/>
      </w:pPr>
      <w:r>
        <w:rPr>
          <w:rFonts w:hint="eastAsia"/>
          <w:lang w:val="en-US" w:eastAsia="zh-CN"/>
        </w:rPr>
        <w:t>2）</w:t>
      </w:r>
      <w:r>
        <w:rPr>
          <w:lang w:val="en-US" w:eastAsia="zh-CN"/>
        </w:rPr>
        <w:t>场区设置沉淀池，所有初期雨水、降雨冲刷浊水统一收集进入沉淀池处理，沉淀去除泥沙、悬浮物后，优先回用于场区洒水降尘、场地抑尘，实现雨水不外排，杜绝含泥沙径流进入红舍克水库汇水流域。</w:t>
      </w:r>
    </w:p>
    <w:p w14:paraId="3E6D99C9">
      <w:pPr>
        <w:pStyle w:val="41"/>
        <w:bidi w:val="0"/>
      </w:pPr>
      <w:r>
        <w:rPr>
          <w:rFonts w:hint="eastAsia"/>
          <w:lang w:val="en-US" w:eastAsia="zh-CN"/>
        </w:rPr>
        <w:t>3）</w:t>
      </w:r>
      <w:r>
        <w:rPr>
          <w:lang w:val="en-US" w:eastAsia="zh-CN"/>
        </w:rPr>
        <w:t>裸露开采面、临时堆土堆渣场全覆盖防尘网，暴雨天气提前做好渣体压实、覆盖、挡护措施，防止雨水冲刷造成水土流失及泥沙外溢。</w:t>
      </w:r>
    </w:p>
    <w:p w14:paraId="1BF61042">
      <w:pPr>
        <w:pStyle w:val="41"/>
        <w:bidi w:val="0"/>
      </w:pPr>
      <w:r>
        <w:rPr>
          <w:rFonts w:hint="eastAsia"/>
          <w:lang w:eastAsia="zh-CN"/>
        </w:rPr>
        <w:t>（</w:t>
      </w:r>
      <w:r>
        <w:rPr>
          <w:rFonts w:hint="eastAsia"/>
          <w:lang w:val="en-US" w:eastAsia="zh-CN"/>
        </w:rPr>
        <w:t>2）</w:t>
      </w:r>
      <w:r>
        <w:t>生产废水、油污渗漏防控措施</w:t>
      </w:r>
    </w:p>
    <w:p w14:paraId="5D49D5ED">
      <w:pPr>
        <w:pStyle w:val="41"/>
        <w:bidi w:val="0"/>
      </w:pPr>
      <w:r>
        <w:rPr>
          <w:rFonts w:hint="eastAsia"/>
          <w:lang w:val="en-US" w:eastAsia="zh-CN"/>
        </w:rPr>
        <w:t>1）</w:t>
      </w:r>
      <w:r>
        <w:rPr>
          <w:lang w:val="en-US" w:eastAsia="zh-CN"/>
        </w:rPr>
        <w:t>项目机修区、设备保养区设置防渗硬化地面+防渗围堰+集油沟+隔油沉淀池，区域防渗层采用防渗混凝土+防渗涂层，防渗系数满足水源保护区管控要求，杜绝废水、油污下渗污染地下水。</w:t>
      </w:r>
    </w:p>
    <w:p w14:paraId="5299F56B">
      <w:pPr>
        <w:pStyle w:val="41"/>
        <w:bidi w:val="0"/>
      </w:pPr>
      <w:r>
        <w:rPr>
          <w:rFonts w:hint="eastAsia"/>
          <w:lang w:val="en-US" w:eastAsia="zh-CN"/>
        </w:rPr>
        <w:t>2）</w:t>
      </w:r>
      <w:r>
        <w:rPr>
          <w:lang w:val="en-US" w:eastAsia="zh-CN"/>
        </w:rPr>
        <w:t>生产废水、含油废水全部收集处理后回用，无生产废水外排；废机油、废润滑油等危险废物全部密闭收集、专用容器储存，委托资质单位定期处置，严禁就地倾倒、渗漏。</w:t>
      </w:r>
    </w:p>
    <w:p w14:paraId="3DA92FAA">
      <w:pPr>
        <w:pStyle w:val="41"/>
        <w:bidi w:val="0"/>
      </w:pPr>
      <w:r>
        <w:rPr>
          <w:rFonts w:hint="eastAsia"/>
          <w:lang w:val="en-US" w:eastAsia="zh-CN"/>
        </w:rPr>
        <w:t>3）</w:t>
      </w:r>
      <w:r>
        <w:rPr>
          <w:lang w:val="en-US" w:eastAsia="zh-CN"/>
        </w:rPr>
        <w:t>定期对防渗设施、收集沟渠、沉淀池进行排查维护，杜绝破损渗漏，阻断地下水污染迁移路径，保护水源保护区地下水补给环境。</w:t>
      </w:r>
    </w:p>
    <w:p w14:paraId="60FEC2FA">
      <w:pPr>
        <w:pStyle w:val="41"/>
        <w:bidi w:val="0"/>
        <w:rPr>
          <w:b/>
          <w:bCs/>
        </w:rPr>
      </w:pPr>
      <w:r>
        <w:rPr>
          <w:rFonts w:hint="eastAsia"/>
          <w:b/>
          <w:bCs/>
          <w:lang w:eastAsia="zh-CN"/>
        </w:rPr>
        <w:t>（</w:t>
      </w:r>
      <w:r>
        <w:rPr>
          <w:rFonts w:hint="eastAsia"/>
          <w:b/>
          <w:bCs/>
          <w:lang w:val="en-US" w:eastAsia="zh-CN"/>
        </w:rPr>
        <w:t>3）</w:t>
      </w:r>
      <w:r>
        <w:rPr>
          <w:b/>
          <w:bCs/>
        </w:rPr>
        <w:t>水土流失专项防控措施</w:t>
      </w:r>
    </w:p>
    <w:p w14:paraId="51CAFE85">
      <w:pPr>
        <w:pStyle w:val="41"/>
        <w:bidi w:val="0"/>
      </w:pPr>
      <w:r>
        <w:rPr>
          <w:rFonts w:hint="eastAsia"/>
          <w:lang w:val="en-US" w:eastAsia="zh-CN"/>
        </w:rPr>
        <w:t>1）</w:t>
      </w:r>
      <w:r>
        <w:rPr>
          <w:lang w:val="en-US" w:eastAsia="zh-CN"/>
        </w:rPr>
        <w:t>严格按照水保方案要求落实工程措施、植物措施和临时防护措施，开采边坡及时修整、分级放坡、喷播绿化，场区空闲区域植树种草，恢复地表植被，减少地表裸露面积。</w:t>
      </w:r>
    </w:p>
    <w:p w14:paraId="16A136ED">
      <w:pPr>
        <w:pStyle w:val="41"/>
        <w:bidi w:val="0"/>
      </w:pPr>
      <w:r>
        <w:rPr>
          <w:rFonts w:hint="eastAsia"/>
          <w:lang w:val="en-US" w:eastAsia="zh-CN"/>
        </w:rPr>
        <w:t>2）</w:t>
      </w:r>
      <w:r>
        <w:rPr>
          <w:lang w:val="en-US" w:eastAsia="zh-CN"/>
        </w:rPr>
        <w:t>土石方开挖、堆存采取“随挖随运、随堆随护”模式，临时弃渣、表土及时覆盖压实，设置挡渣墙、截排水设施，从源头减少水土流失量。</w:t>
      </w:r>
    </w:p>
    <w:p w14:paraId="0523A4B3">
      <w:pPr>
        <w:pStyle w:val="41"/>
        <w:bidi w:val="0"/>
      </w:pPr>
      <w:r>
        <w:rPr>
          <w:rFonts w:hint="eastAsia"/>
          <w:lang w:val="en-US" w:eastAsia="zh-CN"/>
        </w:rPr>
        <w:t>3）</w:t>
      </w:r>
      <w:r>
        <w:rPr>
          <w:lang w:val="en-US" w:eastAsia="zh-CN"/>
        </w:rPr>
        <w:t>项目开采结束后及时开展土地复垦、生态修复，恢复原有地形地貌及植被覆盖，逐步恢复区域水土保持功能，消除长期水土流失隐患。</w:t>
      </w:r>
    </w:p>
    <w:p w14:paraId="0AE61A5B">
      <w:pPr>
        <w:pStyle w:val="41"/>
        <w:bidi w:val="0"/>
        <w:rPr>
          <w:b/>
          <w:bCs/>
        </w:rPr>
      </w:pPr>
      <w:r>
        <w:rPr>
          <w:rFonts w:hint="eastAsia"/>
          <w:b/>
          <w:bCs/>
          <w:lang w:eastAsia="zh-CN"/>
        </w:rPr>
        <w:t>（</w:t>
      </w:r>
      <w:r>
        <w:rPr>
          <w:rFonts w:hint="eastAsia"/>
          <w:b/>
          <w:bCs/>
          <w:lang w:val="en-US" w:eastAsia="zh-CN"/>
        </w:rPr>
        <w:t>4）</w:t>
      </w:r>
      <w:r>
        <w:rPr>
          <w:b/>
          <w:bCs/>
        </w:rPr>
        <w:t>固体废物污染防控措施</w:t>
      </w:r>
    </w:p>
    <w:p w14:paraId="5A791946">
      <w:pPr>
        <w:pStyle w:val="41"/>
        <w:bidi w:val="0"/>
      </w:pPr>
      <w:r>
        <w:rPr>
          <w:rFonts w:hint="eastAsia"/>
          <w:lang w:val="en-US" w:eastAsia="zh-CN"/>
        </w:rPr>
        <w:t>1）</w:t>
      </w:r>
      <w:r>
        <w:rPr>
          <w:lang w:val="en-US" w:eastAsia="zh-CN"/>
        </w:rPr>
        <w:t>废</w:t>
      </w:r>
      <w:r>
        <w:rPr>
          <w:rFonts w:hint="eastAsia"/>
          <w:lang w:val="en-US" w:eastAsia="zh-CN"/>
        </w:rPr>
        <w:t>土石</w:t>
      </w:r>
      <w:r>
        <w:rPr>
          <w:lang w:val="en-US" w:eastAsia="zh-CN"/>
        </w:rPr>
        <w:t>统一堆存于合规专用堆场，堆场设置挡护、截排水、防渗、覆盖措施，规范堆存、分层压实，严禁随意倾倒、沿沟堆放，避免雨天淋溶、冲刷产生面源污染。</w:t>
      </w:r>
    </w:p>
    <w:p w14:paraId="49A907E1">
      <w:pPr>
        <w:pStyle w:val="41"/>
        <w:bidi w:val="0"/>
      </w:pPr>
      <w:r>
        <w:rPr>
          <w:rFonts w:hint="eastAsia"/>
          <w:lang w:val="en-US" w:eastAsia="zh-CN"/>
        </w:rPr>
        <w:t>2）</w:t>
      </w:r>
      <w:r>
        <w:rPr>
          <w:lang w:val="en-US" w:eastAsia="zh-CN"/>
        </w:rPr>
        <w:t>生活垃圾、一般固废、危险固废分类分区密闭存放，做到日产日清、合规处置，杜绝固废长期堆存产生淋溶水污染土壤及地下水。</w:t>
      </w:r>
    </w:p>
    <w:p w14:paraId="785AB553">
      <w:pPr>
        <w:pStyle w:val="41"/>
        <w:bidi w:val="0"/>
      </w:pPr>
      <w:r>
        <w:rPr>
          <w:rFonts w:hint="eastAsia"/>
          <w:lang w:val="en-US" w:eastAsia="zh-CN"/>
        </w:rPr>
        <w:t>3）</w:t>
      </w:r>
      <w:r>
        <w:rPr>
          <w:lang w:val="en-US" w:eastAsia="zh-CN"/>
        </w:rPr>
        <w:t>定期清理堆场、沟渠、沉淀池淤积泥沙，防止泥沙淤积外溢进入水源汇水通道。</w:t>
      </w:r>
    </w:p>
    <w:p w14:paraId="08612B95">
      <w:pPr>
        <w:pStyle w:val="41"/>
        <w:bidi w:val="0"/>
      </w:pPr>
      <w:r>
        <w:rPr>
          <w:rFonts w:hint="eastAsia"/>
          <w:lang w:eastAsia="zh-CN"/>
        </w:rPr>
        <w:t>（</w:t>
      </w:r>
      <w:r>
        <w:rPr>
          <w:rFonts w:hint="eastAsia"/>
          <w:lang w:val="en-US" w:eastAsia="zh-CN"/>
        </w:rPr>
        <w:t>5）</w:t>
      </w:r>
      <w:r>
        <w:t>大气粉尘沉降防控措施</w:t>
      </w:r>
    </w:p>
    <w:p w14:paraId="37D88544">
      <w:pPr>
        <w:pStyle w:val="41"/>
        <w:bidi w:val="0"/>
      </w:pPr>
      <w:r>
        <w:rPr>
          <w:rFonts w:hint="eastAsia"/>
          <w:lang w:val="en-US" w:eastAsia="zh-CN"/>
        </w:rPr>
        <w:t>1）</w:t>
      </w:r>
      <w:r>
        <w:rPr>
          <w:lang w:val="en-US" w:eastAsia="zh-CN"/>
        </w:rPr>
        <w:t>开采、破碎、筛分、装卸、运输工序全程落实抑尘措施，配套喷淋降尘设备、雾炮机，作业区域密闭管控，厂区道路定期洒水清扫，最大限度减少粉尘无组织排放。</w:t>
      </w:r>
    </w:p>
    <w:p w14:paraId="2A551532">
      <w:pPr>
        <w:pStyle w:val="41"/>
        <w:bidi w:val="0"/>
      </w:pPr>
      <w:r>
        <w:rPr>
          <w:rFonts w:hint="eastAsia"/>
          <w:lang w:val="en-US" w:eastAsia="zh-CN"/>
        </w:rPr>
        <w:t>2）</w:t>
      </w:r>
      <w:r>
        <w:rPr>
          <w:lang w:val="en-US" w:eastAsia="zh-CN"/>
        </w:rPr>
        <w:t>运输车辆全覆盖密闭运输，杜绝带泥上路、沿途抛洒，减少区域大气粉尘沉降污染。</w:t>
      </w:r>
    </w:p>
    <w:p w14:paraId="673EA283">
      <w:pPr>
        <w:pStyle w:val="41"/>
        <w:bidi w:val="0"/>
      </w:pPr>
      <w:r>
        <w:rPr>
          <w:rFonts w:hint="eastAsia"/>
          <w:lang w:val="en-US" w:eastAsia="zh-CN"/>
        </w:rPr>
        <w:t>3）</w:t>
      </w:r>
      <w:r>
        <w:rPr>
          <w:lang w:val="en-US" w:eastAsia="zh-CN"/>
        </w:rPr>
        <w:t>场区周边设置绿化隔离带，起到滞尘、净化空气、阻隔污染物扩散的作用，降低粉尘沉降对水源汇水区的累积影响。</w:t>
      </w:r>
    </w:p>
    <w:p w14:paraId="159197DF">
      <w:pPr>
        <w:pStyle w:val="41"/>
        <w:bidi w:val="0"/>
        <w:rPr>
          <w:b/>
          <w:bCs/>
        </w:rPr>
      </w:pPr>
      <w:r>
        <w:rPr>
          <w:rFonts w:hint="eastAsia"/>
          <w:b/>
          <w:bCs/>
          <w:lang w:eastAsia="zh-CN"/>
        </w:rPr>
        <w:t>（</w:t>
      </w:r>
      <w:r>
        <w:rPr>
          <w:rFonts w:hint="eastAsia"/>
          <w:b/>
          <w:bCs/>
          <w:lang w:val="en-US" w:eastAsia="zh-CN"/>
        </w:rPr>
        <w:t>6）</w:t>
      </w:r>
      <w:r>
        <w:rPr>
          <w:b/>
          <w:bCs/>
        </w:rPr>
        <w:t>环境风险应急防控措施</w:t>
      </w:r>
    </w:p>
    <w:p w14:paraId="175A903D">
      <w:pPr>
        <w:pStyle w:val="41"/>
        <w:bidi w:val="0"/>
      </w:pPr>
      <w:r>
        <w:rPr>
          <w:rFonts w:hint="eastAsia"/>
          <w:lang w:val="en-US" w:eastAsia="zh-CN"/>
        </w:rPr>
        <w:t>1）</w:t>
      </w:r>
      <w:r>
        <w:rPr>
          <w:lang w:val="en-US" w:eastAsia="zh-CN"/>
        </w:rPr>
        <w:t>编制突发环境事件应急预案，重点针对暴雨径流、油料泄漏、边坡垮塌、渣体滑移等水源风险场景制定专项应急处置流程，定期开展应急演练。</w:t>
      </w:r>
    </w:p>
    <w:p w14:paraId="5ECE700E">
      <w:pPr>
        <w:pStyle w:val="41"/>
        <w:bidi w:val="0"/>
      </w:pPr>
      <w:r>
        <w:rPr>
          <w:rFonts w:hint="eastAsia"/>
          <w:lang w:val="en-US" w:eastAsia="zh-CN"/>
        </w:rPr>
        <w:t>2）</w:t>
      </w:r>
      <w:r>
        <w:rPr>
          <w:lang w:val="en-US" w:eastAsia="zh-CN"/>
        </w:rPr>
        <w:t>场区储备防雨布、沙袋、吸油毡、应急物资等，极端天气提前加固堆场、封堵外排通道，严防高浊度废水、油污流入水源保护区汇水范围。</w:t>
      </w:r>
    </w:p>
    <w:p w14:paraId="3578C7DB">
      <w:pPr>
        <w:pStyle w:val="41"/>
        <w:bidi w:val="0"/>
      </w:pPr>
      <w:r>
        <w:rPr>
          <w:rFonts w:hint="eastAsia"/>
          <w:lang w:val="en-US" w:eastAsia="zh-CN"/>
        </w:rPr>
        <w:t>3）</w:t>
      </w:r>
      <w:r>
        <w:rPr>
          <w:lang w:val="en-US" w:eastAsia="zh-CN"/>
        </w:rPr>
        <w:t>严禁任何生产设施、排污口、渣场设置在水源二级保护区范围内，项目所有生产活动严格限定在准保护区合规作业区域，不触碰二级保护区管控红线。</w:t>
      </w:r>
    </w:p>
    <w:p w14:paraId="4442F32B">
      <w:pPr>
        <w:pStyle w:val="41"/>
        <w:bidi w:val="0"/>
        <w:rPr>
          <w:b/>
          <w:bCs/>
        </w:rPr>
      </w:pPr>
      <w:r>
        <w:rPr>
          <w:rFonts w:hint="eastAsia"/>
          <w:b/>
          <w:bCs/>
          <w:lang w:eastAsia="zh-CN"/>
        </w:rPr>
        <w:t>（</w:t>
      </w:r>
      <w:r>
        <w:rPr>
          <w:rFonts w:hint="eastAsia"/>
          <w:b/>
          <w:bCs/>
          <w:lang w:val="en-US" w:eastAsia="zh-CN"/>
        </w:rPr>
        <w:t>7）</w:t>
      </w:r>
      <w:r>
        <w:rPr>
          <w:b/>
          <w:bCs/>
        </w:rPr>
        <w:t>长效管控与监测措施</w:t>
      </w:r>
    </w:p>
    <w:p w14:paraId="5123BE6C">
      <w:pPr>
        <w:pStyle w:val="41"/>
        <w:bidi w:val="0"/>
      </w:pPr>
      <w:r>
        <w:rPr>
          <w:rFonts w:hint="eastAsia"/>
          <w:lang w:val="en-US" w:eastAsia="zh-CN"/>
        </w:rPr>
        <w:t>1）</w:t>
      </w:r>
      <w:r>
        <w:rPr>
          <w:lang w:val="en-US" w:eastAsia="zh-CN"/>
        </w:rPr>
        <w:t>建立水源保护专项管理制度，安排专人负责场区截排水、沉淀池、固废堆场、防渗设施的日常巡查、维护、管理。</w:t>
      </w:r>
    </w:p>
    <w:p w14:paraId="08369B0B">
      <w:pPr>
        <w:pStyle w:val="41"/>
        <w:bidi w:val="0"/>
      </w:pPr>
      <w:r>
        <w:rPr>
          <w:rFonts w:hint="eastAsia"/>
          <w:lang w:val="en-US" w:eastAsia="zh-CN"/>
        </w:rPr>
        <w:t>2）</w:t>
      </w:r>
      <w:r>
        <w:rPr>
          <w:lang w:val="en-US" w:eastAsia="zh-CN"/>
        </w:rPr>
        <w:t>定期开展场区地下水、地表径流水质跟踪监测，重点监控SS、石油类、COD等指标，实时掌握区域水环境质量变化情况。</w:t>
      </w:r>
    </w:p>
    <w:p w14:paraId="126C0EFF">
      <w:pPr>
        <w:pStyle w:val="41"/>
        <w:bidi w:val="0"/>
      </w:pPr>
      <w:r>
        <w:rPr>
          <w:rFonts w:hint="eastAsia"/>
          <w:lang w:val="en-US" w:eastAsia="zh-CN"/>
        </w:rPr>
        <w:t>3）</w:t>
      </w:r>
      <w:r>
        <w:rPr>
          <w:lang w:val="en-US" w:eastAsia="zh-CN"/>
        </w:rPr>
        <w:t>严格落实生态环境保护主体责任，常态化开展水土保持、水源保护隐患排查，及时整改问题，确保项目运营期对红舍克水库水源保护区影响持续可控。</w:t>
      </w:r>
    </w:p>
    <w:p w14:paraId="264A92D8">
      <w:pPr>
        <w:pStyle w:val="41"/>
        <w:bidi w:val="0"/>
        <w:rPr>
          <w:b/>
          <w:bCs/>
        </w:rPr>
      </w:pPr>
      <w:r>
        <w:rPr>
          <w:rFonts w:hint="eastAsia"/>
          <w:b/>
          <w:bCs/>
          <w:lang w:eastAsia="zh-CN"/>
        </w:rPr>
        <w:t>（</w:t>
      </w:r>
      <w:r>
        <w:rPr>
          <w:rFonts w:hint="eastAsia"/>
          <w:b/>
          <w:bCs/>
          <w:lang w:val="en-US" w:eastAsia="zh-CN"/>
        </w:rPr>
        <w:t>8）</w:t>
      </w:r>
      <w:r>
        <w:rPr>
          <w:b/>
          <w:bCs/>
        </w:rPr>
        <w:t>措施有效性结论</w:t>
      </w:r>
    </w:p>
    <w:p w14:paraId="7BAE941F">
      <w:pPr>
        <w:pStyle w:val="41"/>
        <w:bidi w:val="0"/>
      </w:pPr>
      <w:r>
        <w:rPr>
          <w:lang w:val="en-US" w:eastAsia="zh-CN"/>
        </w:rPr>
        <w:t>项目通过落实上述雨污分流、泥沙拦截、防渗防控、水土保持、固废管控、风险应急、长效监测等专项水源保护措施，可有效阻断污染物向红舍克水库水源保护区迁移扩散的路径，大幅降低水土流失、径流污染、渗漏污染及环境风险。正常工况下，项目对红舍克水库饮用水水源保护区水质、水环境功能及地下水补给环境影响轻微，环境风险可控，满足饮用水水源准保护区管控要求。</w:t>
      </w:r>
    </w:p>
    <w:p w14:paraId="180B318C">
      <w:pPr>
        <w:pStyle w:val="4"/>
        <w:bidi w:val="0"/>
        <w:rPr>
          <w:rFonts w:hint="default"/>
          <w:lang w:val="en-US" w:eastAsia="zh-CN"/>
        </w:rPr>
      </w:pPr>
      <w:r>
        <w:rPr>
          <w:rFonts w:hint="eastAsia"/>
          <w:lang w:val="en-US" w:eastAsia="zh-CN"/>
        </w:rPr>
        <w:t>影响结论</w:t>
      </w:r>
    </w:p>
    <w:p w14:paraId="64A3F21F">
      <w:pPr>
        <w:pStyle w:val="41"/>
        <w:bidi w:val="0"/>
      </w:pPr>
      <w:r>
        <w:rPr>
          <w:rFonts w:hint="eastAsia"/>
          <w:lang w:val="en-US" w:eastAsia="zh-CN"/>
        </w:rPr>
        <w:t>项目位于红舍克水库饮用水源保护区准保护区范围内，与二</w:t>
      </w:r>
      <w:r>
        <w:t>级保护</w:t>
      </w:r>
      <w:r>
        <w:rPr>
          <w:rFonts w:hint="eastAsia"/>
          <w:lang w:val="en-US" w:eastAsia="zh-CN"/>
        </w:rPr>
        <w:t>的距离约375m，该水源保护区于2019年划定而项目于2010年就开采至今。</w:t>
      </w:r>
      <w:r>
        <w:rPr>
          <w:lang w:val="en-US" w:eastAsia="zh-CN"/>
        </w:rPr>
        <w:t>项目不占用水源一级、二级保护区，仅位于外围准保护区，无直接排污入库行为；正常工况下通过雨污分流、初期雨水收集、沉淀池处理、固废规范堆存、水土保持治理等措施，可有效阻断污染迁移路径，对红舍克水库水源保护区影响轻微、可控、可恢复，不会改变水库水体功能及水质达标状况。项目通过落实雨污分流、泥沙拦截、防渗防控、水土保持、固废管控、风险应急、长效监测等专项水源保护措施，可有效阻断污染物向红舍克水库水源保护区迁移扩散的路径，大幅降低水土流失、径流污染、渗漏污染及环境风险。正常工况下，项目对红舍克水库饮用水水源保护区水质、水环境功能及地下水补给环境影响轻微，环境风险可控，满足饮用水水源准保护区管控要求。</w:t>
      </w:r>
    </w:p>
    <w:p w14:paraId="255AD7FA">
      <w:pPr>
        <w:pStyle w:val="41"/>
        <w:bidi w:val="0"/>
        <w:rPr>
          <w:rFonts w:hint="default"/>
          <w:lang w:val="en-US" w:eastAsia="zh-CN"/>
        </w:rPr>
      </w:pPr>
    </w:p>
    <w:p w14:paraId="5C86207D">
      <w:pPr>
        <w:rPr>
          <w:rFonts w:hint="eastAsia"/>
          <w:lang w:val="en-US" w:eastAsia="zh-CN"/>
        </w:rPr>
      </w:pPr>
    </w:p>
    <w:p w14:paraId="170E1AC2">
      <w:pPr>
        <w:pStyle w:val="2"/>
        <w:bidi w:val="0"/>
        <w:rPr>
          <w:rFonts w:hint="default" w:ascii="Times New Roman" w:hAnsi="Times New Roman" w:cs="Times New Roman"/>
          <w:color w:val="000000" w:themeColor="text1"/>
          <w:highlight w:val="none"/>
          <w14:textFill>
            <w14:solidFill>
              <w14:schemeClr w14:val="tx1"/>
            </w14:solidFill>
          </w14:textFill>
        </w:rPr>
      </w:pPr>
      <w:bookmarkStart w:id="474" w:name="_Toc25813"/>
      <w:r>
        <w:rPr>
          <w:rFonts w:hint="default" w:ascii="Times New Roman" w:hAnsi="Times New Roman" w:cs="Times New Roman"/>
          <w:color w:val="000000" w:themeColor="text1"/>
          <w:highlight w:val="none"/>
          <w14:textFill>
            <w14:solidFill>
              <w14:schemeClr w14:val="tx1"/>
            </w14:solidFill>
          </w14:textFill>
        </w:rPr>
        <w:t>环境风险影响分析</w:t>
      </w:r>
      <w:bookmarkEnd w:id="474"/>
    </w:p>
    <w:p w14:paraId="0C3021FF">
      <w:pPr>
        <w:pStyle w:val="3"/>
        <w:bidi w:val="0"/>
        <w:rPr>
          <w:rFonts w:hint="default" w:ascii="Times New Roman" w:hAnsi="Times New Roman" w:cs="Times New Roman"/>
          <w:color w:val="000000" w:themeColor="text1"/>
          <w:highlight w:val="none"/>
          <w14:textFill>
            <w14:solidFill>
              <w14:schemeClr w14:val="tx1"/>
            </w14:solidFill>
          </w14:textFill>
        </w:rPr>
      </w:pPr>
      <w:bookmarkStart w:id="475" w:name="_Toc23955"/>
      <w:r>
        <w:rPr>
          <w:rFonts w:hint="default" w:ascii="Times New Roman" w:hAnsi="Times New Roman" w:cs="Times New Roman"/>
          <w:color w:val="000000" w:themeColor="text1"/>
          <w:highlight w:val="none"/>
          <w14:textFill>
            <w14:solidFill>
              <w14:schemeClr w14:val="tx1"/>
            </w14:solidFill>
          </w14:textFill>
        </w:rPr>
        <w:t>评价原则</w:t>
      </w:r>
      <w:bookmarkEnd w:id="475"/>
    </w:p>
    <w:p w14:paraId="14262F8B">
      <w:pPr>
        <w:pStyle w:val="41"/>
        <w:bidi w:val="0"/>
        <w:rPr>
          <w:rFonts w:hint="default"/>
        </w:rPr>
      </w:pPr>
      <w:r>
        <w:rPr>
          <w:rFonts w:hint="default"/>
        </w:rPr>
        <w:t>按照</w:t>
      </w:r>
      <w:r>
        <w:rPr>
          <w:rFonts w:hint="eastAsia"/>
          <w:lang w:eastAsia="zh-CN"/>
        </w:rPr>
        <w:t>《</w:t>
      </w:r>
      <w:r>
        <w:rPr>
          <w:rFonts w:hint="default"/>
        </w:rPr>
        <w:t>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789A4D4D">
      <w:pPr>
        <w:pStyle w:val="3"/>
        <w:bidi w:val="0"/>
        <w:rPr>
          <w:rFonts w:hint="default" w:ascii="Times New Roman" w:hAnsi="Times New Roman" w:cs="Times New Roman"/>
          <w:color w:val="000000" w:themeColor="text1"/>
          <w:highlight w:val="none"/>
          <w14:textFill>
            <w14:solidFill>
              <w14:schemeClr w14:val="tx1"/>
            </w14:solidFill>
          </w14:textFill>
        </w:rPr>
      </w:pPr>
      <w:bookmarkStart w:id="476" w:name="_Toc1965"/>
      <w:r>
        <w:rPr>
          <w:rFonts w:hint="default" w:ascii="Times New Roman" w:hAnsi="Times New Roman" w:cs="Times New Roman"/>
          <w:color w:val="000000" w:themeColor="text1"/>
          <w:highlight w:val="none"/>
          <w14:textFill>
            <w14:solidFill>
              <w14:schemeClr w14:val="tx1"/>
            </w14:solidFill>
          </w14:textFill>
        </w:rPr>
        <w:t>评价依据</w:t>
      </w:r>
      <w:bookmarkEnd w:id="476"/>
    </w:p>
    <w:p w14:paraId="63EA5CF8">
      <w:pPr>
        <w:pStyle w:val="4"/>
        <w:bidi w:val="0"/>
        <w:rPr>
          <w:rFonts w:hint="default"/>
        </w:rPr>
      </w:pPr>
      <w:bookmarkStart w:id="477" w:name="_Toc24659"/>
      <w:r>
        <w:rPr>
          <w:rFonts w:hint="default"/>
        </w:rPr>
        <w:t>风险调查</w:t>
      </w:r>
      <w:bookmarkEnd w:id="477"/>
    </w:p>
    <w:p w14:paraId="50720065">
      <w:pPr>
        <w:pStyle w:val="41"/>
        <w:bidi w:val="0"/>
        <w:rPr>
          <w:rFonts w:hint="default"/>
        </w:rPr>
      </w:pPr>
      <w:r>
        <w:rPr>
          <w:rFonts w:hint="default"/>
        </w:rPr>
        <w:t>根据建设</w:t>
      </w:r>
      <w:r>
        <w:rPr>
          <w:rFonts w:hint="eastAsia"/>
          <w:lang w:val="en-US" w:eastAsia="zh-CN"/>
        </w:rPr>
        <w:t>单位</w:t>
      </w:r>
      <w:r>
        <w:rPr>
          <w:rFonts w:hint="default"/>
        </w:rPr>
        <w:t>提供的资料，项目内不设置</w:t>
      </w:r>
      <w:r>
        <w:rPr>
          <w:rFonts w:hint="eastAsia"/>
          <w:lang w:val="en-US" w:eastAsia="zh-CN"/>
        </w:rPr>
        <w:t>柴油储罐</w:t>
      </w:r>
      <w:r>
        <w:rPr>
          <w:rFonts w:hint="default"/>
        </w:rPr>
        <w:t>、炸药库，因此，项目涉及的危险物质主要为</w:t>
      </w:r>
      <w:r>
        <w:rPr>
          <w:rFonts w:hint="eastAsia"/>
          <w:lang w:val="en-US" w:eastAsia="zh-CN"/>
        </w:rPr>
        <w:t>危废间的机械维修产生的</w:t>
      </w:r>
      <w:r>
        <w:rPr>
          <w:rFonts w:hint="default"/>
          <w:lang w:val="en-US" w:eastAsia="zh-CN"/>
        </w:rPr>
        <w:t>废</w:t>
      </w:r>
      <w:r>
        <w:rPr>
          <w:rFonts w:hint="default"/>
        </w:rPr>
        <w:t>机油，与</w:t>
      </w:r>
      <w:r>
        <w:rPr>
          <w:rFonts w:hint="eastAsia"/>
          <w:lang w:eastAsia="zh-CN"/>
        </w:rPr>
        <w:t>《</w:t>
      </w:r>
      <w:r>
        <w:rPr>
          <w:rFonts w:hint="default"/>
        </w:rPr>
        <w:t>建设项目环境风险评价技术导则》（HJ169-2018）附录B进行对比，油类物质属于附录B突发环境事件风险物质。</w:t>
      </w:r>
    </w:p>
    <w:p w14:paraId="04AF8072">
      <w:pPr>
        <w:pStyle w:val="41"/>
        <w:bidi w:val="0"/>
        <w:rPr>
          <w:rFonts w:hint="default"/>
        </w:rPr>
      </w:pPr>
      <w:r>
        <w:rPr>
          <w:rFonts w:hint="default"/>
        </w:rPr>
        <w:t>本项目涉及风险物质</w:t>
      </w:r>
      <w:r>
        <w:rPr>
          <w:rFonts w:hint="default"/>
          <w:lang w:val="en-US" w:eastAsia="zh-CN"/>
        </w:rPr>
        <w:t>废机油最大暂存量</w:t>
      </w:r>
      <w:r>
        <w:rPr>
          <w:rFonts w:hint="default"/>
        </w:rPr>
        <w:t>（0.</w:t>
      </w:r>
      <w:r>
        <w:rPr>
          <w:rFonts w:hint="eastAsia"/>
          <w:lang w:val="en-US" w:eastAsia="zh-CN"/>
        </w:rPr>
        <w:t>05</w:t>
      </w:r>
      <w:r>
        <w:rPr>
          <w:rFonts w:hint="default"/>
        </w:rPr>
        <w:t>t），查风险评价导则附录B，其使用量与临界量如下表所示。</w:t>
      </w:r>
    </w:p>
    <w:p w14:paraId="75A2F56D">
      <w:pPr>
        <w:pStyle w:val="45"/>
        <w:bidi w:val="0"/>
        <w:rPr>
          <w:rFonts w:hint="default"/>
        </w:rPr>
      </w:pPr>
      <w:r>
        <w:rPr>
          <w:rFonts w:hint="default"/>
        </w:rPr>
        <w:t>表</w:t>
      </w:r>
      <w:r>
        <w:rPr>
          <w:rFonts w:hint="eastAsia"/>
          <w:lang w:val="en-US" w:eastAsia="zh-CN"/>
        </w:rPr>
        <w:t>7</w:t>
      </w:r>
      <w:r>
        <w:rPr>
          <w:rFonts w:hint="default"/>
          <w:lang w:val="en-US" w:eastAsia="zh-CN"/>
        </w:rPr>
        <w:t>.</w:t>
      </w:r>
      <w:r>
        <w:rPr>
          <w:rFonts w:hint="default"/>
        </w:rPr>
        <w:t>2-1</w:t>
      </w:r>
      <w:bookmarkStart w:id="478" w:name="表4.6-1  项目生产过程中涉及的环境风险物质表"/>
      <w:bookmarkEnd w:id="478"/>
      <w:r>
        <w:rPr>
          <w:rFonts w:hint="default"/>
        </w:rPr>
        <w:t xml:space="preserve">  项目生产过程中涉及的环境风险物质表</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921"/>
        <w:gridCol w:w="1124"/>
        <w:gridCol w:w="1738"/>
        <w:gridCol w:w="1421"/>
        <w:gridCol w:w="1280"/>
        <w:gridCol w:w="1220"/>
      </w:tblGrid>
      <w:tr w14:paraId="69761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7" w:type="dxa"/>
            <w:noWrap w:val="0"/>
            <w:vAlign w:val="center"/>
          </w:tcPr>
          <w:p w14:paraId="27AC00B2">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序号</w:t>
            </w:r>
          </w:p>
        </w:tc>
        <w:tc>
          <w:tcPr>
            <w:tcW w:w="919" w:type="dxa"/>
            <w:noWrap w:val="0"/>
            <w:vAlign w:val="center"/>
          </w:tcPr>
          <w:p w14:paraId="06010A1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名称</w:t>
            </w:r>
          </w:p>
        </w:tc>
        <w:tc>
          <w:tcPr>
            <w:tcW w:w="1122" w:type="dxa"/>
            <w:noWrap w:val="0"/>
            <w:vAlign w:val="center"/>
          </w:tcPr>
          <w:p w14:paraId="6F64555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使用环节</w:t>
            </w:r>
          </w:p>
        </w:tc>
        <w:tc>
          <w:tcPr>
            <w:tcW w:w="1735" w:type="dxa"/>
            <w:noWrap w:val="0"/>
            <w:vAlign w:val="center"/>
          </w:tcPr>
          <w:p w14:paraId="3513263B">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存储地点及方式</w:t>
            </w:r>
          </w:p>
        </w:tc>
        <w:tc>
          <w:tcPr>
            <w:tcW w:w="1418" w:type="dxa"/>
            <w:noWrap w:val="0"/>
            <w:vAlign w:val="center"/>
          </w:tcPr>
          <w:p w14:paraId="3D19045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最大存储量</w:t>
            </w:r>
          </w:p>
        </w:tc>
        <w:tc>
          <w:tcPr>
            <w:tcW w:w="1277" w:type="dxa"/>
            <w:noWrap w:val="0"/>
            <w:vAlign w:val="center"/>
          </w:tcPr>
          <w:p w14:paraId="7110ABF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临界量</w:t>
            </w:r>
          </w:p>
        </w:tc>
        <w:tc>
          <w:tcPr>
            <w:tcW w:w="1218" w:type="dxa"/>
            <w:noWrap w:val="0"/>
            <w:vAlign w:val="center"/>
          </w:tcPr>
          <w:p w14:paraId="7B6AE21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是否构成重大危险源</w:t>
            </w:r>
          </w:p>
        </w:tc>
      </w:tr>
      <w:tr w14:paraId="18497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7" w:type="dxa"/>
            <w:noWrap w:val="0"/>
            <w:vAlign w:val="center"/>
          </w:tcPr>
          <w:p w14:paraId="429E9A5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919" w:type="dxa"/>
            <w:noWrap w:val="0"/>
            <w:vAlign w:val="center"/>
          </w:tcPr>
          <w:p w14:paraId="785BEF0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废机油</w:t>
            </w:r>
          </w:p>
        </w:tc>
        <w:tc>
          <w:tcPr>
            <w:tcW w:w="1122" w:type="dxa"/>
            <w:noWrap w:val="0"/>
            <w:vAlign w:val="center"/>
          </w:tcPr>
          <w:p w14:paraId="5159B2E9">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机械维修</w:t>
            </w:r>
          </w:p>
        </w:tc>
        <w:tc>
          <w:tcPr>
            <w:tcW w:w="1735" w:type="dxa"/>
            <w:noWrap w:val="0"/>
            <w:vAlign w:val="center"/>
          </w:tcPr>
          <w:p w14:paraId="225D897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机修间</w:t>
            </w:r>
            <w:r>
              <w:rPr>
                <w:rFonts w:hint="default" w:ascii="Times New Roman" w:hAnsi="Times New Roman" w:cs="Times New Roman"/>
                <w:color w:val="000000" w:themeColor="text1"/>
                <w:highlight w:val="none"/>
                <w14:textFill>
                  <w14:solidFill>
                    <w14:schemeClr w14:val="tx1"/>
                  </w14:solidFill>
                </w14:textFill>
              </w:rPr>
              <w:t>、桶装</w:t>
            </w:r>
          </w:p>
        </w:tc>
        <w:tc>
          <w:tcPr>
            <w:tcW w:w="1418" w:type="dxa"/>
            <w:noWrap w:val="0"/>
            <w:vAlign w:val="center"/>
          </w:tcPr>
          <w:p w14:paraId="3CB66B27">
            <w:pPr>
              <w:pStyle w:val="43"/>
              <w:bidi w:val="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0.0</w:t>
            </w:r>
            <w:r>
              <w:rPr>
                <w:rFonts w:hint="eastAsia" w:cs="Times New Roman"/>
                <w:color w:val="000000" w:themeColor="text1"/>
                <w:highlight w:val="none"/>
                <w:lang w:val="en-US"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t</w:t>
            </w:r>
          </w:p>
        </w:tc>
        <w:tc>
          <w:tcPr>
            <w:tcW w:w="1277" w:type="dxa"/>
            <w:noWrap w:val="0"/>
            <w:vAlign w:val="center"/>
          </w:tcPr>
          <w:p w14:paraId="7F0E4A37">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2500</w:t>
            </w:r>
            <w:r>
              <w:rPr>
                <w:rFonts w:hint="default" w:ascii="Times New Roman" w:hAnsi="Times New Roman" w:cs="Times New Roman"/>
                <w:color w:val="000000" w:themeColor="text1"/>
                <w:highlight w:val="none"/>
                <w:lang w:val="en-US" w:eastAsia="zh-CN"/>
                <w14:textFill>
                  <w14:solidFill>
                    <w14:schemeClr w14:val="tx1"/>
                  </w14:solidFill>
                </w14:textFill>
              </w:rPr>
              <w:t>t</w:t>
            </w:r>
          </w:p>
        </w:tc>
        <w:tc>
          <w:tcPr>
            <w:tcW w:w="1218" w:type="dxa"/>
            <w:noWrap w:val="0"/>
            <w:vAlign w:val="center"/>
          </w:tcPr>
          <w:p w14:paraId="2E1EA38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否</w:t>
            </w:r>
          </w:p>
        </w:tc>
      </w:tr>
    </w:tbl>
    <w:p w14:paraId="07F374AB">
      <w:pPr>
        <w:pStyle w:val="4"/>
        <w:bidi w:val="0"/>
        <w:rPr>
          <w:rFonts w:hint="default"/>
        </w:rPr>
      </w:pPr>
      <w:bookmarkStart w:id="479" w:name="_Toc21942"/>
      <w:r>
        <w:rPr>
          <w:rFonts w:hint="default"/>
        </w:rPr>
        <w:t>风险潜势判断</w:t>
      </w:r>
      <w:bookmarkEnd w:id="479"/>
    </w:p>
    <w:p w14:paraId="7847A3AC">
      <w:pPr>
        <w:pStyle w:val="41"/>
        <w:bidi w:val="0"/>
        <w:rPr>
          <w:rFonts w:hint="default"/>
        </w:rPr>
      </w:pPr>
      <w:r>
        <w:rPr>
          <w:rFonts w:hint="default"/>
        </w:rPr>
        <w:t>计算所涉及的每种危险物质在厂界内的最大存在总量与</w:t>
      </w:r>
      <w:r>
        <w:rPr>
          <w:rFonts w:hint="eastAsia"/>
          <w:lang w:eastAsia="zh-CN"/>
        </w:rPr>
        <w:t>《</w:t>
      </w:r>
      <w:r>
        <w:rPr>
          <w:rFonts w:hint="default"/>
        </w:rPr>
        <w:t>建设项目环境风险评价技术导则》（HJ 169-2018）附录B中对应临界量的比值 Q。在不同厂区的同一种物质，按其在厂界内的最大存在总量计算。当只涉及一种危险物质时，计算该物质的总量与其临界量比值，即为Q；当存在多种危险物质时，则按下式计算物质总量与其临界量比值（Q）。</w:t>
      </w:r>
    </w:p>
    <w:p w14:paraId="67396777">
      <w:pPr>
        <w:pStyle w:val="41"/>
        <w:bidi w:val="0"/>
        <w:rPr>
          <w:rFonts w:hint="default"/>
        </w:rPr>
      </w:pPr>
      <w:r>
        <w:rPr>
          <w:rFonts w:hint="default"/>
        </w:rPr>
        <w:drawing>
          <wp:anchor distT="0" distB="0" distL="114300" distR="114300" simplePos="0" relativeHeight="251660288" behindDoc="0" locked="0" layoutInCell="1" allowOverlap="1">
            <wp:simplePos x="0" y="0"/>
            <wp:positionH relativeFrom="page">
              <wp:posOffset>3242945</wp:posOffset>
            </wp:positionH>
            <wp:positionV relativeFrom="paragraph">
              <wp:posOffset>99060</wp:posOffset>
            </wp:positionV>
            <wp:extent cx="1379220" cy="415925"/>
            <wp:effectExtent l="0" t="0" r="7620" b="10795"/>
            <wp:wrapTopAndBottom/>
            <wp:docPr id="10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6.jpeg"/>
                    <pic:cNvPicPr>
                      <a:picLocks noChangeAspect="1"/>
                    </pic:cNvPicPr>
                  </pic:nvPicPr>
                  <pic:blipFill>
                    <a:blip r:embed="rId40"/>
                    <a:stretch>
                      <a:fillRect/>
                    </a:stretch>
                  </pic:blipFill>
                  <pic:spPr>
                    <a:xfrm>
                      <a:off x="0" y="0"/>
                      <a:ext cx="1379220" cy="415925"/>
                    </a:xfrm>
                    <a:prstGeom prst="rect">
                      <a:avLst/>
                    </a:prstGeom>
                    <a:noFill/>
                    <a:ln>
                      <a:noFill/>
                    </a:ln>
                  </pic:spPr>
                </pic:pic>
              </a:graphicData>
            </a:graphic>
          </wp:anchor>
        </w:drawing>
      </w:r>
      <w:r>
        <w:rPr>
          <w:rFonts w:hint="default"/>
        </w:rPr>
        <w:t>式中：q1，q2，...，qn——每种危险物质的最大存在总量，t</w:t>
      </w:r>
    </w:p>
    <w:p w14:paraId="3D50B154">
      <w:pPr>
        <w:pStyle w:val="41"/>
        <w:bidi w:val="0"/>
        <w:rPr>
          <w:rFonts w:hint="default"/>
        </w:rPr>
      </w:pPr>
      <w:r>
        <w:rPr>
          <w:rFonts w:hint="default"/>
        </w:rPr>
        <w:t>Q1，Q2，...，Qn——每种危险物质的临界量，t</w:t>
      </w:r>
    </w:p>
    <w:p w14:paraId="51BA8E66">
      <w:pPr>
        <w:pStyle w:val="41"/>
        <w:bidi w:val="0"/>
        <w:rPr>
          <w:rFonts w:hint="default"/>
        </w:rPr>
      </w:pPr>
      <w:r>
        <w:rPr>
          <w:rFonts w:hint="default"/>
        </w:rPr>
        <w:t>当Q＜1时，该项目环境风险潜势为Ⅰ</w:t>
      </w:r>
    </w:p>
    <w:p w14:paraId="047A43B6">
      <w:pPr>
        <w:pStyle w:val="41"/>
        <w:bidi w:val="0"/>
        <w:rPr>
          <w:rFonts w:hint="default"/>
        </w:rPr>
      </w:pPr>
      <w:r>
        <w:rPr>
          <w:rFonts w:hint="default"/>
        </w:rPr>
        <w:t>当Q≥1时，将Q值划分为：（1）1≤Q＜10；（2）10≤Q＜100；（3）Q≥100</w:t>
      </w:r>
    </w:p>
    <w:p w14:paraId="37AE68D1">
      <w:pPr>
        <w:pStyle w:val="41"/>
        <w:bidi w:val="0"/>
        <w:rPr>
          <w:rFonts w:hint="default"/>
        </w:rPr>
      </w:pPr>
      <w:r>
        <w:rPr>
          <w:rFonts w:hint="default"/>
        </w:rPr>
        <w:t>本项目生产、使用、储存过程中涉及的有毒有害、易燃易爆物质主要是废机油。经计算，Q=</w:t>
      </w:r>
      <w:r>
        <w:rPr>
          <w:rFonts w:hint="default"/>
          <w:lang w:val="en-US" w:eastAsia="zh-CN"/>
        </w:rPr>
        <w:t>0.00002</w:t>
      </w:r>
      <w:r>
        <w:rPr>
          <w:rFonts w:hint="default"/>
        </w:rPr>
        <w:t>＜1，即：项目环境风险潜势为Ⅰ。</w:t>
      </w:r>
    </w:p>
    <w:p w14:paraId="761D0ED9">
      <w:pPr>
        <w:pStyle w:val="4"/>
        <w:bidi w:val="0"/>
        <w:rPr>
          <w:rFonts w:hint="default"/>
        </w:rPr>
      </w:pPr>
      <w:bookmarkStart w:id="480" w:name="_Toc11002"/>
      <w:r>
        <w:rPr>
          <w:rFonts w:hint="default"/>
        </w:rPr>
        <w:t>评价工作等级</w:t>
      </w:r>
      <w:bookmarkEnd w:id="480"/>
    </w:p>
    <w:p w14:paraId="35870536">
      <w:pPr>
        <w:pStyle w:val="41"/>
        <w:bidi w:val="0"/>
        <w:rPr>
          <w:rFonts w:hint="default"/>
        </w:rPr>
      </w:pPr>
      <w:r>
        <w:rPr>
          <w:rFonts w:hint="default"/>
        </w:rPr>
        <w:t>根据</w:t>
      </w:r>
      <w:r>
        <w:rPr>
          <w:rFonts w:hint="eastAsia"/>
          <w:lang w:eastAsia="zh-CN"/>
        </w:rPr>
        <w:t>《</w:t>
      </w:r>
      <w:r>
        <w:rPr>
          <w:rFonts w:hint="default"/>
        </w:rPr>
        <w:t>建设项目环境风险评价技术导则》（HJ 169-2018），建设项目涉及的物质及工艺系统危险性和所在地的环境敏感性确定环境风险潜势，按照表</w:t>
      </w:r>
      <w:r>
        <w:rPr>
          <w:rFonts w:hint="eastAsia"/>
          <w:lang w:val="en-US" w:eastAsia="zh-CN"/>
        </w:rPr>
        <w:t>7</w:t>
      </w:r>
      <w:r>
        <w:rPr>
          <w:rFonts w:hint="default"/>
          <w:lang w:val="en-US" w:eastAsia="zh-CN"/>
        </w:rPr>
        <w:t>.</w:t>
      </w:r>
      <w:r>
        <w:rPr>
          <w:rFonts w:hint="default"/>
        </w:rPr>
        <w:t>2-2 确定评价工作等级。</w:t>
      </w:r>
    </w:p>
    <w:p w14:paraId="47056A30">
      <w:pPr>
        <w:pStyle w:val="45"/>
        <w:bidi w:val="0"/>
        <w:rPr>
          <w:rFonts w:hint="default"/>
        </w:rPr>
      </w:pPr>
      <w:r>
        <w:rPr>
          <w:rFonts w:hint="default"/>
        </w:rPr>
        <w:t>表</w:t>
      </w:r>
      <w:r>
        <w:rPr>
          <w:rFonts w:hint="eastAsia"/>
          <w:lang w:val="en-US" w:eastAsia="zh-CN"/>
        </w:rPr>
        <w:t>7</w:t>
      </w:r>
      <w:r>
        <w:rPr>
          <w:rFonts w:hint="default"/>
          <w:lang w:val="en-US" w:eastAsia="zh-CN"/>
        </w:rPr>
        <w:t>.</w:t>
      </w:r>
      <w:r>
        <w:rPr>
          <w:rFonts w:hint="default"/>
        </w:rPr>
        <w:t>2-2  风险评价工作级别</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9"/>
        <w:gridCol w:w="1394"/>
        <w:gridCol w:w="1943"/>
        <w:gridCol w:w="1631"/>
        <w:gridCol w:w="1635"/>
      </w:tblGrid>
      <w:tr w14:paraId="12808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26" w:type="dxa"/>
            <w:noWrap w:val="0"/>
            <w:vAlign w:val="center"/>
          </w:tcPr>
          <w:p w14:paraId="27FF5B9E">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环境风险潜势</w:t>
            </w:r>
          </w:p>
        </w:tc>
        <w:tc>
          <w:tcPr>
            <w:tcW w:w="1391" w:type="dxa"/>
            <w:noWrap w:val="0"/>
            <w:vAlign w:val="center"/>
          </w:tcPr>
          <w:p w14:paraId="6161CE90">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cs="Times New Roman"/>
                <w:b/>
                <w:bCs/>
                <w:color w:val="000000" w:themeColor="text1"/>
                <w:highlight w:val="none"/>
                <w:lang w:eastAsia="zh-CN"/>
                <w14:textFill>
                  <w14:solidFill>
                    <w14:schemeClr w14:val="tx1"/>
                  </w14:solidFill>
                </w14:textFill>
              </w:rPr>
              <w:t>Ⅳ</w:t>
            </w:r>
            <w:r>
              <w:rPr>
                <w:rFonts w:hint="default" w:ascii="Times New Roman" w:hAnsi="Times New Roman" w:cs="Times New Roman"/>
                <w:b/>
                <w:bCs/>
                <w:color w:val="000000" w:themeColor="text1"/>
                <w:highlight w:val="none"/>
                <w14:textFill>
                  <w14:solidFill>
                    <w14:schemeClr w14:val="tx1"/>
                  </w14:solidFill>
                </w14:textFill>
              </w:rPr>
              <w:t>、IV+</w:t>
            </w:r>
          </w:p>
        </w:tc>
        <w:tc>
          <w:tcPr>
            <w:tcW w:w="1939" w:type="dxa"/>
            <w:noWrap w:val="0"/>
            <w:vAlign w:val="center"/>
          </w:tcPr>
          <w:p w14:paraId="50D7DDD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eastAsia" w:cs="Times New Roman"/>
                <w:b/>
                <w:bCs/>
                <w:color w:val="000000" w:themeColor="text1"/>
                <w:highlight w:val="none"/>
                <w:lang w:eastAsia="zh-CN"/>
                <w14:textFill>
                  <w14:solidFill>
                    <w14:schemeClr w14:val="tx1"/>
                  </w14:solidFill>
                </w14:textFill>
              </w:rPr>
              <w:t>Ⅲ</w:t>
            </w:r>
          </w:p>
        </w:tc>
        <w:tc>
          <w:tcPr>
            <w:tcW w:w="1628" w:type="dxa"/>
            <w:noWrap w:val="0"/>
            <w:vAlign w:val="center"/>
          </w:tcPr>
          <w:p w14:paraId="6FF6A98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II</w:t>
            </w:r>
          </w:p>
        </w:tc>
        <w:tc>
          <w:tcPr>
            <w:tcW w:w="1632" w:type="dxa"/>
            <w:noWrap w:val="0"/>
            <w:vAlign w:val="center"/>
          </w:tcPr>
          <w:p w14:paraId="2738AC91">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I</w:t>
            </w:r>
          </w:p>
        </w:tc>
      </w:tr>
      <w:tr w14:paraId="4452A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726" w:type="dxa"/>
            <w:noWrap w:val="0"/>
            <w:vAlign w:val="center"/>
          </w:tcPr>
          <w:p w14:paraId="2B878F2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评价工作等级</w:t>
            </w:r>
          </w:p>
        </w:tc>
        <w:tc>
          <w:tcPr>
            <w:tcW w:w="1391" w:type="dxa"/>
            <w:noWrap w:val="0"/>
            <w:vAlign w:val="center"/>
          </w:tcPr>
          <w:p w14:paraId="2A4D1DC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w:t>
            </w:r>
          </w:p>
        </w:tc>
        <w:tc>
          <w:tcPr>
            <w:tcW w:w="1939" w:type="dxa"/>
            <w:noWrap w:val="0"/>
            <w:vAlign w:val="center"/>
          </w:tcPr>
          <w:p w14:paraId="16476E2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w:t>
            </w:r>
          </w:p>
        </w:tc>
        <w:tc>
          <w:tcPr>
            <w:tcW w:w="1628" w:type="dxa"/>
            <w:noWrap w:val="0"/>
            <w:vAlign w:val="center"/>
          </w:tcPr>
          <w:p w14:paraId="4DA71E2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w:t>
            </w:r>
          </w:p>
        </w:tc>
        <w:tc>
          <w:tcPr>
            <w:tcW w:w="1632" w:type="dxa"/>
            <w:noWrap w:val="0"/>
            <w:vAlign w:val="center"/>
          </w:tcPr>
          <w:p w14:paraId="73CBDD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简单分析a</w:t>
            </w:r>
          </w:p>
        </w:tc>
      </w:tr>
      <w:tr w14:paraId="22CEA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316" w:type="dxa"/>
            <w:gridSpan w:val="5"/>
            <w:noWrap w:val="0"/>
            <w:vAlign w:val="center"/>
          </w:tcPr>
          <w:p w14:paraId="04185CD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a ：相对于详细评价工作内容而言，在描述危险物质、环境影响途径、环境危害后果、风险防范措施等方面给出定性的说明。</w:t>
            </w:r>
          </w:p>
        </w:tc>
      </w:tr>
    </w:tbl>
    <w:p w14:paraId="6B6674DA">
      <w:pPr>
        <w:pStyle w:val="41"/>
        <w:bidi w:val="0"/>
        <w:rPr>
          <w:rFonts w:hint="default"/>
        </w:rPr>
      </w:pPr>
      <w:r>
        <w:rPr>
          <w:rFonts w:hint="default"/>
        </w:rPr>
        <w:t>本项目环境风险潜势为Ⅰ，环境风险进行简单分析。</w:t>
      </w:r>
    </w:p>
    <w:p w14:paraId="720EAB37">
      <w:pPr>
        <w:pStyle w:val="3"/>
        <w:bidi w:val="0"/>
        <w:rPr>
          <w:rFonts w:hint="default" w:ascii="Times New Roman" w:hAnsi="Times New Roman" w:cs="Times New Roman"/>
          <w:color w:val="000000" w:themeColor="text1"/>
          <w:highlight w:val="none"/>
          <w14:textFill>
            <w14:solidFill>
              <w14:schemeClr w14:val="tx1"/>
            </w14:solidFill>
          </w14:textFill>
        </w:rPr>
      </w:pPr>
      <w:bookmarkStart w:id="481" w:name="_Toc12437"/>
      <w:r>
        <w:rPr>
          <w:rFonts w:hint="default" w:ascii="Times New Roman" w:hAnsi="Times New Roman" w:cs="Times New Roman"/>
          <w:color w:val="000000" w:themeColor="text1"/>
          <w:highlight w:val="none"/>
          <w14:textFill>
            <w14:solidFill>
              <w14:schemeClr w14:val="tx1"/>
            </w14:solidFill>
          </w14:textFill>
        </w:rPr>
        <w:t>环境敏感目标概况</w:t>
      </w:r>
      <w:bookmarkEnd w:id="481"/>
    </w:p>
    <w:p w14:paraId="1F6D85F6">
      <w:pPr>
        <w:pStyle w:val="41"/>
        <w:bidi w:val="0"/>
        <w:rPr>
          <w:rFonts w:hint="default"/>
          <w:highlight w:val="none"/>
        </w:rPr>
      </w:pPr>
      <w:r>
        <w:rPr>
          <w:rFonts w:hint="default"/>
          <w:highlight w:val="none"/>
        </w:rPr>
        <w:t>本项目环境风险评价等级为简单分析，因此不设置大气环境风险评价范围。</w:t>
      </w:r>
      <w:r>
        <w:rPr>
          <w:rFonts w:hint="eastAsia"/>
          <w:highlight w:val="none"/>
          <w:lang w:val="en-US" w:eastAsia="zh-CN"/>
        </w:rPr>
        <w:t>项目环境敏感目标见表1.9-2</w:t>
      </w:r>
      <w:r>
        <w:rPr>
          <w:rFonts w:hint="default"/>
          <w:highlight w:val="none"/>
        </w:rPr>
        <w:t>。</w:t>
      </w:r>
    </w:p>
    <w:p w14:paraId="6BF44958">
      <w:pPr>
        <w:pStyle w:val="3"/>
        <w:bidi w:val="0"/>
        <w:rPr>
          <w:rFonts w:hint="default" w:ascii="Times New Roman" w:hAnsi="Times New Roman" w:cs="Times New Roman"/>
          <w:color w:val="000000" w:themeColor="text1"/>
          <w:highlight w:val="none"/>
          <w14:textFill>
            <w14:solidFill>
              <w14:schemeClr w14:val="tx1"/>
            </w14:solidFill>
          </w14:textFill>
        </w:rPr>
      </w:pPr>
      <w:bookmarkStart w:id="482" w:name="_Toc24190"/>
      <w:r>
        <w:rPr>
          <w:rFonts w:hint="default" w:ascii="Times New Roman" w:hAnsi="Times New Roman" w:cs="Times New Roman"/>
          <w:color w:val="000000" w:themeColor="text1"/>
          <w:highlight w:val="none"/>
          <w14:textFill>
            <w14:solidFill>
              <w14:schemeClr w14:val="tx1"/>
            </w14:solidFill>
          </w14:textFill>
        </w:rPr>
        <w:t>环境风险识别</w:t>
      </w:r>
      <w:bookmarkEnd w:id="482"/>
    </w:p>
    <w:p w14:paraId="5A0680B9">
      <w:pPr>
        <w:pStyle w:val="41"/>
        <w:bidi w:val="0"/>
        <w:rPr>
          <w:rFonts w:hint="default"/>
        </w:rPr>
      </w:pPr>
      <w:r>
        <w:rPr>
          <w:rFonts w:hint="default"/>
        </w:rPr>
        <w:t>根据</w:t>
      </w:r>
      <w:r>
        <w:rPr>
          <w:rFonts w:hint="eastAsia"/>
          <w:lang w:eastAsia="zh-CN"/>
        </w:rPr>
        <w:t>《</w:t>
      </w:r>
      <w:r>
        <w:rPr>
          <w:rFonts w:hint="default"/>
        </w:rPr>
        <w:t>建设项目环境风险评价技术导则》（HJ169-2018），结合项目区实际情况分析，项目环境风险主要为物质风险、生产系统方面的风险。</w:t>
      </w:r>
    </w:p>
    <w:p w14:paraId="65162BAC">
      <w:pPr>
        <w:pStyle w:val="4"/>
        <w:bidi w:val="0"/>
        <w:rPr>
          <w:rFonts w:hint="default"/>
        </w:rPr>
      </w:pPr>
      <w:bookmarkStart w:id="483" w:name="_Toc27587"/>
      <w:r>
        <w:rPr>
          <w:rFonts w:hint="default"/>
        </w:rPr>
        <w:t>风险物质识别</w:t>
      </w:r>
      <w:bookmarkEnd w:id="483"/>
    </w:p>
    <w:p w14:paraId="42100E1D">
      <w:pPr>
        <w:pStyle w:val="41"/>
        <w:bidi w:val="0"/>
        <w:rPr>
          <w:rFonts w:hint="default"/>
        </w:rPr>
      </w:pPr>
      <w:r>
        <w:rPr>
          <w:rFonts w:hint="default"/>
        </w:rPr>
        <w:t>根据</w:t>
      </w:r>
      <w:r>
        <w:rPr>
          <w:rFonts w:hint="eastAsia"/>
          <w:lang w:eastAsia="zh-CN"/>
        </w:rPr>
        <w:t>《</w:t>
      </w:r>
      <w:r>
        <w:rPr>
          <w:rFonts w:hint="default"/>
        </w:rPr>
        <w:t>建设项目环境风险评价技术导则》（HJ169-2018）附录B，本项目存在危险性的主要物质为危废暂存间的废机油，最大储存量为0.</w:t>
      </w:r>
      <w:r>
        <w:rPr>
          <w:rFonts w:hint="eastAsia"/>
          <w:lang w:val="en-US" w:eastAsia="zh-CN"/>
        </w:rPr>
        <w:t>05</w:t>
      </w:r>
      <w:r>
        <w:rPr>
          <w:rFonts w:hint="default"/>
          <w:lang w:val="en-US" w:eastAsia="zh-CN"/>
        </w:rPr>
        <w:t>t，</w:t>
      </w:r>
      <w:r>
        <w:rPr>
          <w:rFonts w:hint="default"/>
        </w:rPr>
        <w:t>主要的理化性质见表</w:t>
      </w:r>
      <w:r>
        <w:rPr>
          <w:rFonts w:hint="eastAsia"/>
          <w:lang w:val="en-US" w:eastAsia="zh-CN"/>
        </w:rPr>
        <w:t>7</w:t>
      </w:r>
      <w:r>
        <w:rPr>
          <w:rFonts w:hint="default"/>
          <w:lang w:val="en-US" w:eastAsia="zh-CN"/>
        </w:rPr>
        <w:t>.</w:t>
      </w:r>
      <w:r>
        <w:rPr>
          <w:rFonts w:hint="default"/>
        </w:rPr>
        <w:t>4-1。</w:t>
      </w:r>
    </w:p>
    <w:p w14:paraId="78EF43B2">
      <w:pPr>
        <w:pStyle w:val="45"/>
        <w:bidi w:val="0"/>
        <w:rPr>
          <w:rFonts w:hint="default"/>
        </w:rPr>
      </w:pPr>
      <w:r>
        <w:rPr>
          <w:rFonts w:hint="default"/>
        </w:rPr>
        <w:t>表</w:t>
      </w:r>
      <w:r>
        <w:rPr>
          <w:rFonts w:hint="eastAsia"/>
          <w:lang w:val="en-US" w:eastAsia="zh-CN"/>
        </w:rPr>
        <w:t>7</w:t>
      </w:r>
      <w:r>
        <w:rPr>
          <w:rFonts w:hint="default"/>
          <w:lang w:val="en-US" w:eastAsia="zh-CN"/>
        </w:rPr>
        <w:t>.</w:t>
      </w:r>
      <w:r>
        <w:rPr>
          <w:rFonts w:hint="default"/>
        </w:rPr>
        <w:t>4-1  废机油理化性质及危险特性一览表</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05"/>
        <w:gridCol w:w="2150"/>
        <w:gridCol w:w="5068"/>
      </w:tblGrid>
      <w:tr w14:paraId="45C43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955" w:type="pct"/>
            <w:gridSpan w:val="2"/>
            <w:vMerge w:val="restart"/>
            <w:tcBorders>
              <w:tl2br w:val="nil"/>
              <w:tr2bl w:val="nil"/>
            </w:tcBorders>
            <w:noWrap w:val="0"/>
            <w:vAlign w:val="center"/>
          </w:tcPr>
          <w:p w14:paraId="0AE9A7FB">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项目</w:t>
            </w:r>
          </w:p>
        </w:tc>
        <w:tc>
          <w:tcPr>
            <w:tcW w:w="3044" w:type="pct"/>
            <w:tcBorders>
              <w:tl2br w:val="nil"/>
              <w:tr2bl w:val="nil"/>
            </w:tcBorders>
            <w:noWrap w:val="0"/>
            <w:vAlign w:val="center"/>
          </w:tcPr>
          <w:p w14:paraId="0BE37504">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风险</w:t>
            </w:r>
            <w:r>
              <w:rPr>
                <w:rFonts w:hint="default" w:ascii="Times New Roman" w:hAnsi="Times New Roman" w:cs="Times New Roman"/>
                <w:color w:val="000000" w:themeColor="text1"/>
                <w:highlight w:val="none"/>
                <w:lang w:val="zh-CN" w:eastAsia="zh-CN"/>
                <w14:textFill>
                  <w14:solidFill>
                    <w14:schemeClr w14:val="tx1"/>
                  </w14:solidFill>
                </w14:textFill>
              </w:rPr>
              <w:t>物质名称</w:t>
            </w:r>
          </w:p>
        </w:tc>
      </w:tr>
      <w:tr w14:paraId="108F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955" w:type="pct"/>
            <w:gridSpan w:val="2"/>
            <w:vMerge w:val="continue"/>
            <w:tcBorders>
              <w:tl2br w:val="nil"/>
              <w:tr2bl w:val="nil"/>
            </w:tcBorders>
            <w:noWrap w:val="0"/>
            <w:vAlign w:val="center"/>
          </w:tcPr>
          <w:p w14:paraId="48C1E50C">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3044" w:type="pct"/>
            <w:tcBorders>
              <w:tl2br w:val="nil"/>
              <w:tr2bl w:val="nil"/>
            </w:tcBorders>
            <w:noWrap w:val="0"/>
            <w:vAlign w:val="center"/>
          </w:tcPr>
          <w:p w14:paraId="11416137">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废机油</w:t>
            </w:r>
          </w:p>
        </w:tc>
      </w:tr>
      <w:tr w14:paraId="08C3F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restart"/>
            <w:tcBorders>
              <w:tl2br w:val="nil"/>
              <w:tr2bl w:val="nil"/>
            </w:tcBorders>
            <w:noWrap w:val="0"/>
            <w:vAlign w:val="center"/>
          </w:tcPr>
          <w:p w14:paraId="7F96DD10">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物理特性</w:t>
            </w:r>
          </w:p>
        </w:tc>
        <w:tc>
          <w:tcPr>
            <w:tcW w:w="1291" w:type="pct"/>
            <w:tcBorders>
              <w:tl2br w:val="nil"/>
              <w:tr2bl w:val="nil"/>
            </w:tcBorders>
            <w:noWrap w:val="0"/>
            <w:vAlign w:val="center"/>
          </w:tcPr>
          <w:p w14:paraId="3ACE105C">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分子量</w:t>
            </w:r>
          </w:p>
        </w:tc>
        <w:tc>
          <w:tcPr>
            <w:tcW w:w="3044" w:type="pct"/>
            <w:tcBorders>
              <w:tl2br w:val="nil"/>
              <w:tr2bl w:val="nil"/>
            </w:tcBorders>
            <w:noWrap w:val="0"/>
            <w:vAlign w:val="center"/>
          </w:tcPr>
          <w:p w14:paraId="592D32AE">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w:t>
            </w:r>
          </w:p>
        </w:tc>
      </w:tr>
      <w:tr w14:paraId="5172C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297173F1">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49D9AB8C">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相对密度</w:t>
            </w:r>
          </w:p>
        </w:tc>
        <w:tc>
          <w:tcPr>
            <w:tcW w:w="3044" w:type="pct"/>
            <w:tcBorders>
              <w:tl2br w:val="nil"/>
              <w:tr2bl w:val="nil"/>
            </w:tcBorders>
            <w:noWrap w:val="0"/>
            <w:vAlign w:val="center"/>
          </w:tcPr>
          <w:p w14:paraId="108194C6">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（水=1），</w:t>
            </w:r>
            <w:r>
              <w:rPr>
                <w:rFonts w:hint="default" w:ascii="Times New Roman" w:hAnsi="Times New Roman" w:cs="Times New Roman"/>
                <w:color w:val="000000" w:themeColor="text1"/>
                <w:highlight w:val="none"/>
                <w:lang w:val="zh-CN" w:eastAsia="zh-CN"/>
                <w14:textFill>
                  <w14:solidFill>
                    <w14:schemeClr w14:val="tx1"/>
                  </w14:solidFill>
                </w14:textFill>
              </w:rPr>
              <w:t>0.87</w:t>
            </w:r>
          </w:p>
        </w:tc>
      </w:tr>
      <w:tr w14:paraId="500D7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681A09B1">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5BBA46A5">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外观</w:t>
            </w:r>
          </w:p>
        </w:tc>
        <w:tc>
          <w:tcPr>
            <w:tcW w:w="3044" w:type="pct"/>
            <w:tcBorders>
              <w:tl2br w:val="nil"/>
              <w:tr2bl w:val="nil"/>
            </w:tcBorders>
            <w:noWrap w:val="0"/>
            <w:vAlign w:val="center"/>
          </w:tcPr>
          <w:p w14:paraId="4C5B6BBF">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油状液体，淡黄色至褐色，无气味或略带异味。</w:t>
            </w:r>
          </w:p>
        </w:tc>
      </w:tr>
      <w:tr w14:paraId="0CE3F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474BE031">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p>
        </w:tc>
        <w:tc>
          <w:tcPr>
            <w:tcW w:w="1291" w:type="pct"/>
            <w:tcBorders>
              <w:tl2br w:val="nil"/>
              <w:tr2bl w:val="nil"/>
            </w:tcBorders>
            <w:noWrap w:val="0"/>
            <w:vAlign w:val="center"/>
          </w:tcPr>
          <w:p w14:paraId="4F86B85D">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沸点（℃）</w:t>
            </w:r>
          </w:p>
        </w:tc>
        <w:tc>
          <w:tcPr>
            <w:tcW w:w="3044" w:type="pct"/>
            <w:tcBorders>
              <w:tl2br w:val="nil"/>
              <w:tr2bl w:val="nil"/>
            </w:tcBorders>
            <w:noWrap w:val="0"/>
            <w:vAlign w:val="center"/>
          </w:tcPr>
          <w:p w14:paraId="4D264871">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260</w:t>
            </w:r>
          </w:p>
        </w:tc>
      </w:tr>
      <w:tr w14:paraId="6B3FE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2C4FA6EA">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0F76AB0A">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熔点（℃）</w:t>
            </w:r>
          </w:p>
        </w:tc>
        <w:tc>
          <w:tcPr>
            <w:tcW w:w="3044" w:type="pct"/>
            <w:tcBorders>
              <w:tl2br w:val="nil"/>
              <w:tr2bl w:val="nil"/>
            </w:tcBorders>
            <w:noWrap w:val="0"/>
            <w:vAlign w:val="center"/>
          </w:tcPr>
          <w:p w14:paraId="14A9E1C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w:t>
            </w:r>
          </w:p>
        </w:tc>
      </w:tr>
      <w:tr w14:paraId="3E6BE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6D15EA4B">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24F5DD2E">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闪点（℃）</w:t>
            </w:r>
          </w:p>
        </w:tc>
        <w:tc>
          <w:tcPr>
            <w:tcW w:w="3044" w:type="pct"/>
            <w:tcBorders>
              <w:tl2br w:val="nil"/>
              <w:tr2bl w:val="nil"/>
            </w:tcBorders>
            <w:noWrap w:val="0"/>
            <w:vAlign w:val="center"/>
          </w:tcPr>
          <w:p w14:paraId="5821BCE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200~220</w:t>
            </w:r>
          </w:p>
        </w:tc>
      </w:tr>
      <w:tr w14:paraId="7278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4C7DA3AD">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0CEC5CE2">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引燃温度</w:t>
            </w:r>
          </w:p>
        </w:tc>
        <w:tc>
          <w:tcPr>
            <w:tcW w:w="3044" w:type="pct"/>
            <w:tcBorders>
              <w:tl2br w:val="nil"/>
              <w:tr2bl w:val="nil"/>
            </w:tcBorders>
            <w:noWrap w:val="0"/>
            <w:vAlign w:val="center"/>
          </w:tcPr>
          <w:p w14:paraId="7C0450EB">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248</w:t>
            </w:r>
          </w:p>
        </w:tc>
      </w:tr>
      <w:tr w14:paraId="43260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48BD4581">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3506A55C">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可燃性</w:t>
            </w:r>
          </w:p>
        </w:tc>
        <w:tc>
          <w:tcPr>
            <w:tcW w:w="3044" w:type="pct"/>
            <w:tcBorders>
              <w:tl2br w:val="nil"/>
              <w:tr2bl w:val="nil"/>
            </w:tcBorders>
            <w:noWrap w:val="0"/>
            <w:vAlign w:val="center"/>
          </w:tcPr>
          <w:p w14:paraId="2E127387">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易燃</w:t>
            </w:r>
          </w:p>
        </w:tc>
      </w:tr>
      <w:tr w14:paraId="15D3B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1993BF98">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p>
        </w:tc>
        <w:tc>
          <w:tcPr>
            <w:tcW w:w="1291" w:type="pct"/>
            <w:tcBorders>
              <w:tl2br w:val="nil"/>
              <w:tr2bl w:val="nil"/>
            </w:tcBorders>
            <w:noWrap w:val="0"/>
            <w:vAlign w:val="center"/>
          </w:tcPr>
          <w:p w14:paraId="3C76224C">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溶解性</w:t>
            </w:r>
          </w:p>
        </w:tc>
        <w:tc>
          <w:tcPr>
            <w:tcW w:w="3044" w:type="pct"/>
            <w:tcBorders>
              <w:tl2br w:val="nil"/>
              <w:tr2bl w:val="nil"/>
            </w:tcBorders>
            <w:noWrap w:val="0"/>
            <w:vAlign w:val="center"/>
          </w:tcPr>
          <w:p w14:paraId="7AE6EF70">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不溶于水，易溶于醇和其他有机溶剂。</w:t>
            </w:r>
          </w:p>
        </w:tc>
      </w:tr>
      <w:tr w14:paraId="25AE7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restart"/>
            <w:tcBorders>
              <w:tl2br w:val="nil"/>
              <w:tr2bl w:val="nil"/>
            </w:tcBorders>
            <w:noWrap w:val="0"/>
            <w:vAlign w:val="center"/>
          </w:tcPr>
          <w:p w14:paraId="0D6EB39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危险特性</w:t>
            </w:r>
          </w:p>
        </w:tc>
        <w:tc>
          <w:tcPr>
            <w:tcW w:w="1291" w:type="pct"/>
            <w:tcBorders>
              <w:tl2br w:val="nil"/>
              <w:tr2bl w:val="nil"/>
            </w:tcBorders>
            <w:noWrap w:val="0"/>
            <w:vAlign w:val="center"/>
          </w:tcPr>
          <w:p w14:paraId="3C91DFE7">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爆炸危险度</w:t>
            </w:r>
          </w:p>
        </w:tc>
        <w:tc>
          <w:tcPr>
            <w:tcW w:w="3044" w:type="pct"/>
            <w:tcBorders>
              <w:tl2br w:val="nil"/>
              <w:tr2bl w:val="nil"/>
            </w:tcBorders>
            <w:noWrap w:val="0"/>
            <w:vAlign w:val="center"/>
          </w:tcPr>
          <w:p w14:paraId="41920A58">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易爆</w:t>
            </w:r>
          </w:p>
        </w:tc>
      </w:tr>
      <w:tr w14:paraId="55B45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19A21DC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6A5C6D7F">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爆炸上限%</w:t>
            </w:r>
          </w:p>
        </w:tc>
        <w:tc>
          <w:tcPr>
            <w:tcW w:w="3044" w:type="pct"/>
            <w:tcBorders>
              <w:tl2br w:val="nil"/>
              <w:tr2bl w:val="nil"/>
            </w:tcBorders>
            <w:noWrap w:val="0"/>
            <w:vAlign w:val="center"/>
          </w:tcPr>
          <w:p w14:paraId="37C8CF19">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15</w:t>
            </w:r>
          </w:p>
        </w:tc>
      </w:tr>
      <w:tr w14:paraId="37D63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621B87CE">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1291" w:type="pct"/>
            <w:tcBorders>
              <w:tl2br w:val="nil"/>
              <w:tr2bl w:val="nil"/>
            </w:tcBorders>
            <w:noWrap w:val="0"/>
            <w:vAlign w:val="center"/>
          </w:tcPr>
          <w:p w14:paraId="1A729F32">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爆炸下限%</w:t>
            </w:r>
          </w:p>
        </w:tc>
        <w:tc>
          <w:tcPr>
            <w:tcW w:w="3044" w:type="pct"/>
            <w:tcBorders>
              <w:tl2br w:val="nil"/>
              <w:tr2bl w:val="nil"/>
            </w:tcBorders>
            <w:noWrap w:val="0"/>
            <w:vAlign w:val="center"/>
          </w:tcPr>
          <w:p w14:paraId="685C5C86">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5</w:t>
            </w:r>
          </w:p>
        </w:tc>
      </w:tr>
      <w:tr w14:paraId="132F1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64" w:type="pct"/>
            <w:vMerge w:val="continue"/>
            <w:tcBorders>
              <w:tl2br w:val="nil"/>
              <w:tr2bl w:val="nil"/>
            </w:tcBorders>
            <w:noWrap w:val="0"/>
            <w:vAlign w:val="center"/>
          </w:tcPr>
          <w:p w14:paraId="4B3EB045">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p>
        </w:tc>
        <w:tc>
          <w:tcPr>
            <w:tcW w:w="1291" w:type="pct"/>
            <w:tcBorders>
              <w:tl2br w:val="nil"/>
              <w:tr2bl w:val="nil"/>
            </w:tcBorders>
            <w:noWrap w:val="0"/>
            <w:vAlign w:val="center"/>
          </w:tcPr>
          <w:p w14:paraId="30623A5E">
            <w:pPr>
              <w:pStyle w:val="43"/>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ascii="Times New Roman" w:hAnsi="Times New Roman" w:cs="Times New Roman"/>
                <w:color w:val="000000" w:themeColor="text1"/>
                <w:highlight w:val="none"/>
                <w:lang w:val="zh-CN" w:eastAsia="zh-CN"/>
                <w14:textFill>
                  <w14:solidFill>
                    <w14:schemeClr w14:val="tx1"/>
                  </w14:solidFill>
                </w14:textFill>
              </w:rPr>
              <w:t>危险特性</w:t>
            </w:r>
          </w:p>
        </w:tc>
        <w:tc>
          <w:tcPr>
            <w:tcW w:w="3044" w:type="pct"/>
            <w:tcBorders>
              <w:tl2br w:val="nil"/>
              <w:tr2bl w:val="nil"/>
            </w:tcBorders>
            <w:noWrap w:val="0"/>
            <w:vAlign w:val="center"/>
          </w:tcPr>
          <w:p w14:paraId="5C66A227">
            <w:pPr>
              <w:pStyle w:val="43"/>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易燃</w:t>
            </w:r>
            <w:r>
              <w:rPr>
                <w:rFonts w:hint="default" w:ascii="Times New Roman" w:hAnsi="Times New Roman" w:cs="Times New Roman"/>
                <w:color w:val="000000" w:themeColor="text1"/>
                <w:highlight w:val="none"/>
                <w:lang w:val="zh-CN" w:eastAsia="zh-CN"/>
                <w14:textFill>
                  <w14:solidFill>
                    <w14:schemeClr w14:val="tx1"/>
                  </w14:solidFill>
                </w14:textFill>
              </w:rPr>
              <w:t>液体，遇明火、高热可燃。</w:t>
            </w:r>
          </w:p>
        </w:tc>
      </w:tr>
    </w:tbl>
    <w:p w14:paraId="62DCAADC">
      <w:pPr>
        <w:pStyle w:val="4"/>
        <w:bidi w:val="0"/>
        <w:rPr>
          <w:rFonts w:hint="default"/>
        </w:rPr>
      </w:pPr>
      <w:bookmarkStart w:id="484" w:name="_Toc17767"/>
      <w:r>
        <w:rPr>
          <w:rFonts w:hint="default"/>
        </w:rPr>
        <w:t>生产系统危险性识别</w:t>
      </w:r>
      <w:bookmarkEnd w:id="484"/>
    </w:p>
    <w:p w14:paraId="78BFDF33">
      <w:pPr>
        <w:pStyle w:val="41"/>
        <w:bidi w:val="0"/>
        <w:rPr>
          <w:rFonts w:hint="default"/>
        </w:rPr>
      </w:pPr>
      <w:r>
        <w:rPr>
          <w:rFonts w:hint="default"/>
        </w:rPr>
        <w:t>参考</w:t>
      </w:r>
      <w:r>
        <w:rPr>
          <w:rFonts w:hint="eastAsia"/>
          <w:lang w:eastAsia="zh-CN"/>
        </w:rPr>
        <w:t>《</w:t>
      </w:r>
      <w:r>
        <w:rPr>
          <w:rFonts w:hint="default"/>
        </w:rPr>
        <w:t>关于征求对</w:t>
      </w:r>
      <w:r>
        <w:rPr>
          <w:rFonts w:hint="eastAsia"/>
          <w:lang w:eastAsia="zh-CN"/>
        </w:rPr>
        <w:t>〈</w:t>
      </w:r>
      <w:r>
        <w:rPr>
          <w:rFonts w:hint="default"/>
        </w:rPr>
        <w:t>金属非金属矿山重大危险源辨识</w:t>
      </w:r>
      <w:r>
        <w:rPr>
          <w:rFonts w:hint="eastAsia"/>
          <w:lang w:eastAsia="zh-CN"/>
        </w:rPr>
        <w:t>〉</w:t>
      </w:r>
      <w:r>
        <w:rPr>
          <w:rFonts w:hint="default"/>
        </w:rPr>
        <w:t>和</w:t>
      </w:r>
      <w:r>
        <w:rPr>
          <w:rFonts w:hint="eastAsia"/>
          <w:lang w:eastAsia="zh-CN"/>
        </w:rPr>
        <w:t>〈</w:t>
      </w:r>
      <w:r>
        <w:rPr>
          <w:rFonts w:hint="default"/>
        </w:rPr>
        <w:t>尾矿库重大危险源辨识</w:t>
      </w:r>
      <w:r>
        <w:rPr>
          <w:rFonts w:hint="eastAsia"/>
          <w:lang w:eastAsia="zh-CN"/>
        </w:rPr>
        <w:t>〉</w:t>
      </w:r>
      <w:r>
        <w:rPr>
          <w:rFonts w:hint="default"/>
        </w:rPr>
        <w:t>修改意见的函》进行生产系统风险源识别，</w:t>
      </w:r>
      <w:r>
        <w:rPr>
          <w:rFonts w:hint="eastAsia"/>
          <w:lang w:val="en-US" w:eastAsia="zh-CN"/>
        </w:rPr>
        <w:t>表土堆场</w:t>
      </w:r>
      <w:r>
        <w:rPr>
          <w:rFonts w:hint="default"/>
        </w:rPr>
        <w:t>暴雨条件下在遇超过设计防洪标准时，可能诱发滑坡及泥石流：①</w:t>
      </w:r>
      <w:r>
        <w:rPr>
          <w:rFonts w:hint="eastAsia"/>
          <w:lang w:val="en-US" w:eastAsia="zh-CN"/>
        </w:rPr>
        <w:t>表土堆场</w:t>
      </w:r>
      <w:r>
        <w:rPr>
          <w:rFonts w:hint="default"/>
        </w:rPr>
        <w:t>滑坡及泥石流将冲毁农田、</w:t>
      </w:r>
      <w:r>
        <w:rPr>
          <w:rFonts w:hint="eastAsia"/>
          <w:lang w:val="en-US" w:eastAsia="zh-CN"/>
        </w:rPr>
        <w:t>植被等</w:t>
      </w:r>
      <w:r>
        <w:rPr>
          <w:rFonts w:hint="default"/>
        </w:rPr>
        <w:t>，造成经济损失</w:t>
      </w:r>
      <w:r>
        <w:rPr>
          <w:rFonts w:hint="eastAsia"/>
          <w:lang w:val="en-US" w:eastAsia="zh-CN"/>
        </w:rPr>
        <w:t>及生态破坏</w:t>
      </w:r>
      <w:r>
        <w:rPr>
          <w:rFonts w:hint="default"/>
        </w:rPr>
        <w:t>；②造成污染水环境。</w:t>
      </w:r>
    </w:p>
    <w:p w14:paraId="2D67DD22">
      <w:pPr>
        <w:pStyle w:val="4"/>
        <w:bidi w:val="0"/>
        <w:rPr>
          <w:rFonts w:hint="default"/>
        </w:rPr>
      </w:pPr>
      <w:bookmarkStart w:id="485" w:name="_Toc8400"/>
      <w:r>
        <w:rPr>
          <w:rFonts w:hint="default"/>
        </w:rPr>
        <w:t>环境影响途径</w:t>
      </w:r>
      <w:bookmarkEnd w:id="485"/>
    </w:p>
    <w:p w14:paraId="6EFDAE06">
      <w:pPr>
        <w:pStyle w:val="41"/>
        <w:bidi w:val="0"/>
        <w:rPr>
          <w:rFonts w:hint="default"/>
        </w:rPr>
      </w:pPr>
      <w:r>
        <w:rPr>
          <w:rFonts w:hint="default"/>
        </w:rPr>
        <w:t>根据项目物质危险性识别、生产系统危险性识别，本项目危险物质在事故情形下对环境的影响途径主要</w:t>
      </w:r>
      <w:r>
        <w:rPr>
          <w:rFonts w:hint="eastAsia"/>
          <w:lang w:val="en-US" w:eastAsia="zh-CN"/>
        </w:rPr>
        <w:t>为；</w:t>
      </w:r>
      <w:r>
        <w:rPr>
          <w:rFonts w:hint="default"/>
        </w:rPr>
        <w:t>废机油泄漏后发生火灾情形下通过大气对周围环境产生影响；废机油发生</w:t>
      </w:r>
      <w:r>
        <w:rPr>
          <w:rFonts w:hint="default"/>
          <w:lang w:eastAsia="zh-CN"/>
        </w:rPr>
        <w:t>泄漏</w:t>
      </w:r>
      <w:r>
        <w:rPr>
          <w:rFonts w:hint="default"/>
        </w:rPr>
        <w:t>后通过流淌、浸透等方式对地表水环境、土壤产生影响；以及暴雨条件下</w:t>
      </w:r>
      <w:r>
        <w:rPr>
          <w:rFonts w:hint="eastAsia"/>
          <w:lang w:val="en-US" w:eastAsia="zh-CN"/>
        </w:rPr>
        <w:t>表土堆场</w:t>
      </w:r>
      <w:r>
        <w:rPr>
          <w:rFonts w:hint="default"/>
        </w:rPr>
        <w:t>可能发生的滑坡及泥石流影响。</w:t>
      </w:r>
    </w:p>
    <w:p w14:paraId="1C78B01D">
      <w:pPr>
        <w:pStyle w:val="3"/>
        <w:bidi w:val="0"/>
        <w:rPr>
          <w:rFonts w:hint="default" w:ascii="Times New Roman" w:hAnsi="Times New Roman" w:cs="Times New Roman"/>
          <w:color w:val="000000" w:themeColor="text1"/>
          <w:highlight w:val="none"/>
          <w14:textFill>
            <w14:solidFill>
              <w14:schemeClr w14:val="tx1"/>
            </w14:solidFill>
          </w14:textFill>
        </w:rPr>
      </w:pPr>
      <w:bookmarkStart w:id="486" w:name="_Toc20356"/>
      <w:r>
        <w:rPr>
          <w:rFonts w:hint="default" w:ascii="Times New Roman" w:hAnsi="Times New Roman" w:cs="Times New Roman"/>
          <w:color w:val="000000" w:themeColor="text1"/>
          <w:highlight w:val="none"/>
          <w14:textFill>
            <w14:solidFill>
              <w14:schemeClr w14:val="tx1"/>
            </w14:solidFill>
          </w14:textFill>
        </w:rPr>
        <w:t>环境风险分析</w:t>
      </w:r>
      <w:bookmarkEnd w:id="486"/>
    </w:p>
    <w:p w14:paraId="6B8986D2">
      <w:pPr>
        <w:pStyle w:val="41"/>
        <w:bidi w:val="0"/>
        <w:rPr>
          <w:rFonts w:hint="default"/>
        </w:rPr>
      </w:pPr>
      <w:r>
        <w:rPr>
          <w:rFonts w:hint="default"/>
        </w:rPr>
        <w:t>本项目环境风险评价参考</w:t>
      </w:r>
      <w:r>
        <w:rPr>
          <w:rFonts w:hint="eastAsia"/>
          <w:lang w:eastAsia="zh-CN"/>
        </w:rPr>
        <w:t>《</w:t>
      </w:r>
      <w:r>
        <w:rPr>
          <w:rFonts w:hint="default"/>
        </w:rPr>
        <w:t>关于征求对</w:t>
      </w:r>
      <w:r>
        <w:rPr>
          <w:rFonts w:hint="eastAsia"/>
          <w:lang w:eastAsia="zh-CN"/>
        </w:rPr>
        <w:t>〈</w:t>
      </w:r>
      <w:r>
        <w:rPr>
          <w:rFonts w:hint="default"/>
        </w:rPr>
        <w:t>金属非金属矿山重大危险源辨识</w:t>
      </w:r>
      <w:r>
        <w:rPr>
          <w:rFonts w:hint="eastAsia"/>
          <w:lang w:eastAsia="zh-CN"/>
        </w:rPr>
        <w:t>〉</w:t>
      </w:r>
      <w:r>
        <w:rPr>
          <w:rFonts w:hint="default"/>
        </w:rPr>
        <w:t>和</w:t>
      </w:r>
      <w:r>
        <w:rPr>
          <w:rFonts w:hint="eastAsia"/>
          <w:lang w:eastAsia="zh-CN"/>
        </w:rPr>
        <w:t>〈</w:t>
      </w:r>
      <w:r>
        <w:rPr>
          <w:rFonts w:hint="default"/>
        </w:rPr>
        <w:t>尾矿库重大危险源辨识</w:t>
      </w:r>
      <w:r>
        <w:rPr>
          <w:rFonts w:hint="eastAsia"/>
          <w:lang w:eastAsia="zh-CN"/>
        </w:rPr>
        <w:t>〉</w:t>
      </w:r>
      <w:r>
        <w:rPr>
          <w:rFonts w:hint="default"/>
        </w:rPr>
        <w:t>修改意见的函》进行风险源识别和进行分析。</w:t>
      </w:r>
    </w:p>
    <w:p w14:paraId="0A3616E3">
      <w:pPr>
        <w:pStyle w:val="41"/>
        <w:bidi w:val="0"/>
        <w:rPr>
          <w:rFonts w:hint="default"/>
        </w:rPr>
      </w:pPr>
      <w:r>
        <w:rPr>
          <w:rFonts w:hint="default"/>
        </w:rPr>
        <w:t>根据矿山环境地质条件和本次开发利用方案设计工程建设内容，该矿山的主要环境风险源项是暴雨条件下</w:t>
      </w:r>
      <w:r>
        <w:rPr>
          <w:rFonts w:hint="eastAsia"/>
          <w:lang w:val="en-US" w:eastAsia="zh-CN"/>
        </w:rPr>
        <w:t>表土堆场</w:t>
      </w:r>
      <w:r>
        <w:rPr>
          <w:rFonts w:hint="default"/>
        </w:rPr>
        <w:t>可能发生的滑坡及泥石流影响。</w:t>
      </w:r>
    </w:p>
    <w:p w14:paraId="7743609A">
      <w:pPr>
        <w:pStyle w:val="4"/>
        <w:bidi w:val="0"/>
        <w:rPr>
          <w:rFonts w:hint="default"/>
        </w:rPr>
      </w:pPr>
      <w:bookmarkStart w:id="487" w:name="_Toc21196"/>
      <w:r>
        <w:rPr>
          <w:rFonts w:hint="eastAsia"/>
          <w:lang w:eastAsia="zh-CN"/>
        </w:rPr>
        <w:t>废机油泄漏</w:t>
      </w:r>
      <w:r>
        <w:rPr>
          <w:rFonts w:hint="default"/>
        </w:rPr>
        <w:t>环境风险分析</w:t>
      </w:r>
      <w:bookmarkEnd w:id="487"/>
    </w:p>
    <w:p w14:paraId="529AAB53">
      <w:pPr>
        <w:pStyle w:val="41"/>
        <w:bidi w:val="0"/>
        <w:rPr>
          <w:rFonts w:hint="default"/>
          <w:b/>
          <w:bCs/>
        </w:rPr>
      </w:pPr>
      <w:r>
        <w:rPr>
          <w:rFonts w:hint="default"/>
          <w:b/>
          <w:bCs/>
        </w:rPr>
        <w:t>（1）源项分析</w:t>
      </w:r>
    </w:p>
    <w:p w14:paraId="0522F20D">
      <w:pPr>
        <w:pStyle w:val="41"/>
        <w:bidi w:val="0"/>
        <w:rPr>
          <w:rFonts w:hint="default"/>
          <w:lang w:val="en-US" w:eastAsia="zh-CN"/>
        </w:rPr>
      </w:pPr>
      <w:r>
        <w:rPr>
          <w:rFonts w:hint="default"/>
        </w:rPr>
        <w:t>项目废机油在储存过</w:t>
      </w:r>
      <w:r>
        <w:rPr>
          <w:rFonts w:hint="eastAsia"/>
          <w:lang w:eastAsia="zh-CN"/>
        </w:rPr>
        <w:t>程中</w:t>
      </w:r>
      <w:r>
        <w:rPr>
          <w:rFonts w:hint="default"/>
        </w:rPr>
        <w:t>存在一定风险，管理不当造成泄漏对环境造成影响，泄漏物发生火灾甚至引起爆炸产生的二次污染对周围环境造成影响</w:t>
      </w:r>
      <w:r>
        <w:rPr>
          <w:rFonts w:hint="eastAsia"/>
          <w:lang w:eastAsia="zh-CN"/>
        </w:rPr>
        <w:t>，</w:t>
      </w:r>
      <w:r>
        <w:rPr>
          <w:rFonts w:hint="eastAsia"/>
          <w:lang w:val="en-US" w:eastAsia="zh-CN"/>
        </w:rPr>
        <w:t>项目机修间的废机油临时最大贮存量为0.05t。</w:t>
      </w:r>
    </w:p>
    <w:p w14:paraId="2EBA6771">
      <w:pPr>
        <w:pStyle w:val="41"/>
        <w:bidi w:val="0"/>
        <w:rPr>
          <w:rFonts w:hint="default"/>
          <w:b/>
          <w:bCs/>
        </w:rPr>
      </w:pPr>
      <w:r>
        <w:rPr>
          <w:rFonts w:hint="default"/>
          <w:b/>
          <w:bCs/>
        </w:rPr>
        <w:t>（2）可能造成的</w:t>
      </w:r>
      <w:r>
        <w:rPr>
          <w:rFonts w:hint="eastAsia"/>
          <w:b/>
          <w:bCs/>
          <w:lang w:val="en-US" w:eastAsia="zh-CN"/>
        </w:rPr>
        <w:t>环境</w:t>
      </w:r>
      <w:r>
        <w:rPr>
          <w:rFonts w:hint="default"/>
          <w:b/>
          <w:bCs/>
        </w:rPr>
        <w:t>风险影响</w:t>
      </w:r>
    </w:p>
    <w:p w14:paraId="4ADF45EA">
      <w:pPr>
        <w:pStyle w:val="41"/>
        <w:bidi w:val="0"/>
        <w:rPr>
          <w:rFonts w:hint="default"/>
        </w:rPr>
      </w:pPr>
      <w:r>
        <w:rPr>
          <w:rFonts w:hint="default"/>
        </w:rPr>
        <w:t>①泄漏影响分析：项目废机油</w:t>
      </w:r>
      <w:r>
        <w:rPr>
          <w:rFonts w:hint="eastAsia"/>
          <w:lang w:val="en-US" w:eastAsia="zh-CN"/>
        </w:rPr>
        <w:t>临时</w:t>
      </w:r>
      <w:r>
        <w:rPr>
          <w:rFonts w:hint="default"/>
        </w:rPr>
        <w:t>储存过程中由于不可预见的原因，可能造成油品</w:t>
      </w:r>
      <w:r>
        <w:rPr>
          <w:rFonts w:hint="default"/>
          <w:lang w:eastAsia="zh-CN"/>
        </w:rPr>
        <w:t>泄漏</w:t>
      </w:r>
      <w:r>
        <w:rPr>
          <w:rFonts w:hint="default"/>
        </w:rPr>
        <w:t>事故，导致石油类污染物污染所在区域地表水、土壤以及地下水环境；</w:t>
      </w:r>
    </w:p>
    <w:p w14:paraId="2631EE5A">
      <w:pPr>
        <w:pStyle w:val="41"/>
        <w:bidi w:val="0"/>
        <w:rPr>
          <w:rFonts w:hint="default"/>
        </w:rPr>
      </w:pPr>
      <w:r>
        <w:rPr>
          <w:rFonts w:hint="default"/>
        </w:rPr>
        <w:t>②火灾甚至引起爆炸产生的二次污染影响分析：在储存过程中还会有爆炸事故发生的可能性。由于废机油属于易燃、易爆物质，泄漏到空气中遇明火、高热易燃烧爆炸。火灾爆炸事故对环境的影响较为严重。火灾爆炸</w:t>
      </w:r>
      <w:r>
        <w:rPr>
          <w:rFonts w:hint="default"/>
          <w:lang w:eastAsia="zh-CN"/>
        </w:rPr>
        <w:t>事故</w:t>
      </w:r>
      <w:r>
        <w:rPr>
          <w:rFonts w:hint="default"/>
        </w:rPr>
        <w:t>一旦发生，不但会造成人员的伤亡，财产的损失，燃烧产生的大量碳氢化合物、一氧化碳、烟尘等污染物还会造成大气污染；灭火之后产生的消防废水会对地表水造成污染。</w:t>
      </w:r>
    </w:p>
    <w:p w14:paraId="68E93465">
      <w:pPr>
        <w:pStyle w:val="41"/>
        <w:bidi w:val="0"/>
        <w:rPr>
          <w:rFonts w:hint="default"/>
          <w:b/>
          <w:bCs/>
        </w:rPr>
      </w:pPr>
      <w:r>
        <w:rPr>
          <w:rFonts w:hint="default"/>
          <w:b/>
          <w:bCs/>
        </w:rPr>
        <w:t>（3）对策和措施</w:t>
      </w:r>
    </w:p>
    <w:p w14:paraId="7E53AE1F">
      <w:pPr>
        <w:pStyle w:val="41"/>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default"/>
        </w:rPr>
        <w:t>配备消防灭火器材等</w:t>
      </w:r>
      <w:r>
        <w:rPr>
          <w:rFonts w:hint="eastAsia"/>
          <w:lang w:eastAsia="zh-CN"/>
        </w:rPr>
        <w:t>，</w:t>
      </w:r>
      <w:r>
        <w:rPr>
          <w:rFonts w:hint="default"/>
        </w:rPr>
        <w:t>加强明火管理</w:t>
      </w:r>
      <w:r>
        <w:rPr>
          <w:rFonts w:hint="eastAsia"/>
          <w:lang w:eastAsia="zh-CN"/>
        </w:rPr>
        <w:t>，</w:t>
      </w:r>
      <w:r>
        <w:rPr>
          <w:rFonts w:hint="default"/>
        </w:rPr>
        <w:t>制定救援方案，组织演习，使每个职工都会使用消防器材，有效地扑救初期火灾。</w:t>
      </w:r>
    </w:p>
    <w:p w14:paraId="70521761">
      <w:pPr>
        <w:pStyle w:val="41"/>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危险废物暂存间地面及裙角采用土工膜+防渗混凝土进行防渗，防渗层为至少2mm厚的其他人工材料，渗透系数≤1×10</w:t>
      </w:r>
      <w:r>
        <w:rPr>
          <w:rFonts w:hint="eastAsia"/>
          <w:lang w:eastAsia="zh-CN"/>
        </w:rPr>
        <w:t>—</w:t>
      </w:r>
      <w:r>
        <w:rPr>
          <w:rFonts w:hint="default"/>
          <w:vertAlign w:val="superscript"/>
        </w:rPr>
        <w:t>10</w:t>
      </w:r>
      <w:r>
        <w:rPr>
          <w:rFonts w:hint="default"/>
        </w:rPr>
        <w:t>cm/s。</w:t>
      </w:r>
    </w:p>
    <w:p w14:paraId="07822BFA">
      <w:pPr>
        <w:pStyle w:val="41"/>
        <w:bidi w:val="0"/>
        <w:rPr>
          <w:rFonts w:hint="default"/>
        </w:rPr>
      </w:pPr>
      <w:r>
        <w:rPr>
          <w:rFonts w:hint="default"/>
        </w:rPr>
        <w:fldChar w:fldCharType="begin"/>
      </w:r>
      <w:r>
        <w:rPr>
          <w:rFonts w:hint="default"/>
        </w:rPr>
        <w:instrText xml:space="preserve"> = 3 \* GB3 </w:instrText>
      </w:r>
      <w:r>
        <w:rPr>
          <w:rFonts w:hint="default"/>
        </w:rPr>
        <w:fldChar w:fldCharType="separate"/>
      </w:r>
      <w:r>
        <w:rPr>
          <w:rFonts w:hint="default"/>
        </w:rPr>
        <w:t>③</w:t>
      </w:r>
      <w:r>
        <w:rPr>
          <w:rFonts w:hint="default"/>
        </w:rPr>
        <w:fldChar w:fldCharType="end"/>
      </w:r>
      <w:r>
        <w:rPr>
          <w:rFonts w:hint="default"/>
        </w:rPr>
        <w:t>强化对工作人员的安全教育、操作技能培训工作，严格遵守各类安全管理规章制度和岗位操作规程。</w:t>
      </w:r>
    </w:p>
    <w:p w14:paraId="45886D0A">
      <w:pPr>
        <w:pStyle w:val="41"/>
        <w:bidi w:val="0"/>
        <w:rPr>
          <w:rFonts w:hint="default"/>
          <w:lang w:val="en-US" w:eastAsia="zh-CN"/>
        </w:rPr>
      </w:pPr>
      <w:r>
        <w:rPr>
          <w:rFonts w:hint="eastAsia"/>
          <w:lang w:val="en-US" w:eastAsia="zh-CN"/>
        </w:rPr>
        <w:t>④危废及时委托有资质的单位清运。</w:t>
      </w:r>
    </w:p>
    <w:p w14:paraId="6FE0C3EE">
      <w:pPr>
        <w:pStyle w:val="4"/>
        <w:bidi w:val="0"/>
        <w:rPr>
          <w:rFonts w:hint="default"/>
          <w:lang w:val="en-US" w:eastAsia="zh-CN"/>
        </w:rPr>
      </w:pPr>
      <w:bookmarkStart w:id="488" w:name="_Toc16849"/>
      <w:r>
        <w:rPr>
          <w:rFonts w:hint="eastAsia"/>
          <w:lang w:val="en-US" w:eastAsia="zh-CN"/>
        </w:rPr>
        <w:t>表土堆场</w:t>
      </w:r>
      <w:r>
        <w:rPr>
          <w:rFonts w:hint="default"/>
          <w:lang w:val="en-US" w:eastAsia="zh-CN"/>
        </w:rPr>
        <w:t>突发</w:t>
      </w:r>
      <w:r>
        <w:rPr>
          <w:rFonts w:hint="eastAsia"/>
          <w:lang w:val="en-US" w:eastAsia="zh-CN"/>
        </w:rPr>
        <w:t>环境</w:t>
      </w:r>
      <w:r>
        <w:rPr>
          <w:rFonts w:hint="default"/>
          <w:lang w:val="en-US" w:eastAsia="zh-CN"/>
        </w:rPr>
        <w:t>风险分析</w:t>
      </w:r>
      <w:bookmarkEnd w:id="488"/>
    </w:p>
    <w:p w14:paraId="2F883331">
      <w:pPr>
        <w:pStyle w:val="41"/>
        <w:bidi w:val="0"/>
        <w:rPr>
          <w:rFonts w:hint="default"/>
        </w:rPr>
      </w:pPr>
      <w:bookmarkStart w:id="489" w:name="_Toc22667"/>
      <w:r>
        <w:rPr>
          <w:rFonts w:hint="default"/>
        </w:rPr>
        <w:t>（1）需要重点防范的风险因素</w:t>
      </w:r>
      <w:bookmarkEnd w:id="489"/>
    </w:p>
    <w:p w14:paraId="01D21F92">
      <w:pPr>
        <w:pStyle w:val="41"/>
        <w:bidi w:val="0"/>
        <w:rPr>
          <w:rFonts w:hint="default"/>
        </w:rPr>
      </w:pPr>
      <w:r>
        <w:rPr>
          <w:rFonts w:hint="eastAsia"/>
          <w:lang w:val="en-US" w:eastAsia="zh-CN"/>
        </w:rPr>
        <w:t>表土堆场</w:t>
      </w:r>
      <w:r>
        <w:rPr>
          <w:rFonts w:hint="default"/>
        </w:rPr>
        <w:t>环境地质条件、堆放特点，该</w:t>
      </w:r>
      <w:r>
        <w:rPr>
          <w:rFonts w:hint="eastAsia"/>
          <w:lang w:eastAsia="zh-CN"/>
        </w:rPr>
        <w:t>弃渣场</w:t>
      </w:r>
      <w:r>
        <w:rPr>
          <w:rFonts w:hint="default"/>
        </w:rPr>
        <w:t>的主要环境风险源项是：极端条件下（遇大于设计防洪标准暴雨时及地震设防标准时，或防洪系统故障、表土不规范等），可能诱发泥石流，该种状况发生概率小于1×10</w:t>
      </w:r>
      <w:r>
        <w:rPr>
          <w:rFonts w:hint="default"/>
          <w:vertAlign w:val="superscript"/>
        </w:rPr>
        <w:t>-4</w:t>
      </w:r>
      <w:r>
        <w:rPr>
          <w:rFonts w:hint="default"/>
        </w:rPr>
        <w:t>次/年。暴雨一旦引发挡土墙失稳时，会对</w:t>
      </w:r>
      <w:r>
        <w:rPr>
          <w:rFonts w:hint="eastAsia"/>
          <w:lang w:val="en-US" w:eastAsia="zh-CN"/>
        </w:rPr>
        <w:t>表土堆</w:t>
      </w:r>
      <w:r>
        <w:rPr>
          <w:rFonts w:hint="eastAsia"/>
          <w:lang w:eastAsia="zh-CN"/>
        </w:rPr>
        <w:t>场</w:t>
      </w:r>
      <w:r>
        <w:rPr>
          <w:rFonts w:hint="default"/>
        </w:rPr>
        <w:t>下游的生物生态构成威胁。</w:t>
      </w:r>
    </w:p>
    <w:p w14:paraId="03160D0B">
      <w:pPr>
        <w:pStyle w:val="41"/>
        <w:bidi w:val="0"/>
        <w:rPr>
          <w:rFonts w:hint="default"/>
        </w:rPr>
      </w:pPr>
      <w:bookmarkStart w:id="490" w:name="_Toc13768"/>
      <w:r>
        <w:rPr>
          <w:rFonts w:hint="default"/>
        </w:rPr>
        <w:t>（2）可能造成的</w:t>
      </w:r>
      <w:r>
        <w:rPr>
          <w:rFonts w:hint="eastAsia"/>
          <w:lang w:val="en-US" w:eastAsia="zh-CN"/>
        </w:rPr>
        <w:t>环境</w:t>
      </w:r>
      <w:r>
        <w:rPr>
          <w:rFonts w:hint="default"/>
        </w:rPr>
        <w:t>风险影响</w:t>
      </w:r>
      <w:bookmarkEnd w:id="490"/>
    </w:p>
    <w:p w14:paraId="327BF0D7">
      <w:pPr>
        <w:pStyle w:val="41"/>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default"/>
        </w:rPr>
        <w:t>人员伤亡的影响</w:t>
      </w:r>
    </w:p>
    <w:p w14:paraId="0A48D6D1">
      <w:pPr>
        <w:pStyle w:val="41"/>
        <w:bidi w:val="0"/>
        <w:rPr>
          <w:rFonts w:hint="default"/>
          <w:lang w:val="en-US" w:eastAsia="zh-CN"/>
        </w:rPr>
      </w:pPr>
      <w:r>
        <w:rPr>
          <w:rFonts w:hint="eastAsia"/>
          <w:lang w:val="en-US" w:eastAsia="zh-CN"/>
        </w:rPr>
        <w:t>表土堆场采取自下而上的方式堆置，本项目表土采取分台堆放，最高堆置高度10m</w:t>
      </w:r>
      <w:r>
        <w:rPr>
          <w:rFonts w:hint="default"/>
        </w:rPr>
        <w:t>。</w:t>
      </w:r>
      <w:r>
        <w:rPr>
          <w:rFonts w:hint="eastAsia"/>
          <w:lang w:val="en-US" w:eastAsia="zh-CN"/>
        </w:rPr>
        <w:t>根据《云南普阳煤化工有限责任公司砚山县红舍克东山石灰石矿开采方案》，表土堆场按照相关技术规范进行底部挡墙、边坡的设计。下游无村庄分布，若发生溃坝不会直接造成村庄建筑损毁及人员伤亡。</w:t>
      </w:r>
    </w:p>
    <w:p w14:paraId="3A9D92AE">
      <w:pPr>
        <w:pStyle w:val="41"/>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生态植被影响</w:t>
      </w:r>
    </w:p>
    <w:p w14:paraId="107B8630">
      <w:pPr>
        <w:pStyle w:val="41"/>
        <w:bidi w:val="0"/>
        <w:rPr>
          <w:rFonts w:hint="default"/>
        </w:rPr>
      </w:pPr>
      <w:r>
        <w:rPr>
          <w:rFonts w:hint="default"/>
        </w:rPr>
        <w:t>溃坝事故多发生在雨季，</w:t>
      </w:r>
      <w:r>
        <w:rPr>
          <w:rFonts w:hint="eastAsia"/>
          <w:lang w:val="en-US" w:eastAsia="zh-CN"/>
        </w:rPr>
        <w:t>表土</w:t>
      </w:r>
      <w:r>
        <w:rPr>
          <w:rFonts w:hint="default"/>
        </w:rPr>
        <w:t>下泄具有很强的势能，很快就形成泥石流，具有较大的冲击力和破坏性。随着</w:t>
      </w:r>
      <w:r>
        <w:rPr>
          <w:rFonts w:hint="eastAsia"/>
          <w:lang w:val="en-US" w:eastAsia="zh-CN"/>
        </w:rPr>
        <w:t>渣土</w:t>
      </w:r>
      <w:r>
        <w:rPr>
          <w:rFonts w:hint="default"/>
        </w:rPr>
        <w:t>下泄距离的不断加大，冲击的速度和力量不断增强，对沿线的破坏力也不断地加大，这样就席卷着岸边的土石，形成越来越强的泥石流，向下游奔袭而下。据经验模式估算，</w:t>
      </w:r>
      <w:r>
        <w:rPr>
          <w:rFonts w:hint="eastAsia"/>
          <w:lang w:val="en-US" w:eastAsia="zh-CN"/>
        </w:rPr>
        <w:t>表土堆场</w:t>
      </w:r>
      <w:r>
        <w:rPr>
          <w:rFonts w:hint="default"/>
        </w:rPr>
        <w:t>溃坝后在下游1～2km的范围内破坏力达到最大，再往下游势能逐渐减弱，冲击速度和破坏性也逐渐变小，剥离土形成的泥石流进入衰减期，在到达下游2～3km的范围，势能消失，破坏力威胁可基本解除。</w:t>
      </w:r>
    </w:p>
    <w:p w14:paraId="15812491">
      <w:pPr>
        <w:pStyle w:val="41"/>
        <w:bidi w:val="0"/>
        <w:rPr>
          <w:rFonts w:hint="default"/>
        </w:rPr>
      </w:pPr>
      <w:r>
        <w:rPr>
          <w:rFonts w:hint="default"/>
        </w:rPr>
        <w:t>溃坝对下游地表的破坏程度也跟</w:t>
      </w:r>
      <w:r>
        <w:rPr>
          <w:rFonts w:hint="eastAsia"/>
          <w:lang w:val="en-US" w:eastAsia="zh-CN"/>
        </w:rPr>
        <w:t>表土堆场</w:t>
      </w:r>
      <w:r>
        <w:rPr>
          <w:rFonts w:hint="default"/>
        </w:rPr>
        <w:t>堆</w:t>
      </w:r>
      <w:r>
        <w:rPr>
          <w:rFonts w:hint="eastAsia"/>
          <w:lang w:val="en-US" w:eastAsia="zh-CN"/>
        </w:rPr>
        <w:t>土</w:t>
      </w:r>
      <w:r>
        <w:rPr>
          <w:rFonts w:hint="default"/>
        </w:rPr>
        <w:t>量、两侧的地形特征有关，在崖陡谷深的河段，破坏面较大，在沟谷较缓地区破坏</w:t>
      </w:r>
      <w:r>
        <w:rPr>
          <w:rFonts w:hint="default"/>
          <w:lang w:eastAsia="zh-CN"/>
        </w:rPr>
        <w:t>程度</w:t>
      </w:r>
      <w:r>
        <w:rPr>
          <w:rFonts w:hint="default"/>
        </w:rPr>
        <w:t>较小。本项目</w:t>
      </w:r>
      <w:r>
        <w:rPr>
          <w:rFonts w:hint="eastAsia"/>
          <w:lang w:val="en-US" w:eastAsia="zh-CN"/>
        </w:rPr>
        <w:t>表土堆场</w:t>
      </w:r>
      <w:r>
        <w:rPr>
          <w:rFonts w:hint="default"/>
        </w:rPr>
        <w:t>规划堆</w:t>
      </w:r>
      <w:r>
        <w:rPr>
          <w:rFonts w:hint="eastAsia"/>
          <w:lang w:val="en-US" w:eastAsia="zh-CN"/>
        </w:rPr>
        <w:t>土</w:t>
      </w:r>
      <w:r>
        <w:rPr>
          <w:rFonts w:hint="default"/>
        </w:rPr>
        <w:t>量</w:t>
      </w:r>
      <w:r>
        <w:rPr>
          <w:rFonts w:hint="eastAsia"/>
          <w:lang w:val="en-US" w:eastAsia="zh-CN"/>
        </w:rPr>
        <w:t>7.6</w:t>
      </w:r>
      <w:r>
        <w:rPr>
          <w:rFonts w:hint="default"/>
        </w:rPr>
        <w:t>万</w:t>
      </w:r>
      <w:r>
        <w:rPr>
          <w:rFonts w:hint="eastAsia"/>
          <w:lang w:eastAsia="zh-CN"/>
        </w:rPr>
        <w:t>m</w:t>
      </w:r>
      <w:r>
        <w:rPr>
          <w:rFonts w:hint="eastAsia"/>
          <w:vertAlign w:val="superscript"/>
          <w:lang w:eastAsia="zh-CN"/>
        </w:rPr>
        <w:t>3</w:t>
      </w:r>
      <w:r>
        <w:rPr>
          <w:rFonts w:hint="default"/>
        </w:rPr>
        <w:t>，</w:t>
      </w:r>
      <w:r>
        <w:rPr>
          <w:rFonts w:hint="eastAsia"/>
          <w:lang w:val="en-US" w:eastAsia="zh-CN"/>
        </w:rPr>
        <w:t>表土堆场位于矿区范围内。区内无崩塌、滑坡等不良地质现象，</w:t>
      </w:r>
      <w:r>
        <w:rPr>
          <w:rFonts w:hint="default"/>
        </w:rPr>
        <w:t>项目</w:t>
      </w:r>
      <w:r>
        <w:rPr>
          <w:rFonts w:hint="eastAsia"/>
          <w:lang w:val="en-US" w:eastAsia="zh-CN"/>
        </w:rPr>
        <w:t>表土堆场</w:t>
      </w:r>
      <w:r>
        <w:rPr>
          <w:rFonts w:hint="default"/>
        </w:rPr>
        <w:t>下游坡度较小，因此</w:t>
      </w:r>
      <w:r>
        <w:rPr>
          <w:rFonts w:hint="eastAsia"/>
          <w:lang w:val="en-US" w:eastAsia="zh-CN"/>
        </w:rPr>
        <w:t>表土堆场</w:t>
      </w:r>
      <w:r>
        <w:rPr>
          <w:rFonts w:hint="default"/>
        </w:rPr>
        <w:t>发生溃坝或泥石流破坏程度较小。</w:t>
      </w:r>
    </w:p>
    <w:p w14:paraId="7588AFB4">
      <w:pPr>
        <w:pStyle w:val="41"/>
        <w:bidi w:val="0"/>
        <w:rPr>
          <w:rFonts w:hint="default"/>
        </w:rPr>
      </w:pPr>
      <w:r>
        <w:rPr>
          <w:rFonts w:hint="default"/>
        </w:rPr>
        <w:t>项目</w:t>
      </w:r>
      <w:r>
        <w:rPr>
          <w:rFonts w:hint="eastAsia"/>
          <w:lang w:val="en-US" w:eastAsia="zh-CN"/>
        </w:rPr>
        <w:t>表土堆场</w:t>
      </w:r>
      <w:r>
        <w:rPr>
          <w:rFonts w:hint="default"/>
        </w:rPr>
        <w:t>下游沿线植被主要为狗尾草、白茅、紫茎泽兰、苦刺、鬼针草、青蒿等低矮灌草丛，沿线植被为当地常见物种，无珍稀保护植物，故</w:t>
      </w:r>
      <w:r>
        <w:rPr>
          <w:rFonts w:hint="eastAsia"/>
          <w:lang w:eastAsia="zh-CN"/>
        </w:rPr>
        <w:t>弃渣场</w:t>
      </w:r>
      <w:r>
        <w:rPr>
          <w:rFonts w:hint="default"/>
        </w:rPr>
        <w:t>垮塌对生态环境影响</w:t>
      </w:r>
      <w:r>
        <w:rPr>
          <w:rFonts w:hint="eastAsia"/>
          <w:lang w:val="en-US" w:eastAsia="zh-CN"/>
        </w:rPr>
        <w:t>较小</w:t>
      </w:r>
      <w:r>
        <w:rPr>
          <w:rFonts w:hint="default"/>
        </w:rPr>
        <w:t>。</w:t>
      </w:r>
    </w:p>
    <w:p w14:paraId="72E1666C">
      <w:pPr>
        <w:pStyle w:val="41"/>
        <w:bidi w:val="0"/>
        <w:rPr>
          <w:rFonts w:hint="default"/>
        </w:rPr>
      </w:pPr>
      <w:r>
        <w:rPr>
          <w:rFonts w:hint="default"/>
        </w:rPr>
        <w:t>综上分析，</w:t>
      </w:r>
      <w:r>
        <w:rPr>
          <w:rFonts w:hint="eastAsia"/>
          <w:lang w:eastAsia="zh-CN"/>
        </w:rPr>
        <w:t>弃渣场</w:t>
      </w:r>
      <w:r>
        <w:rPr>
          <w:rFonts w:hint="default"/>
        </w:rPr>
        <w:t>若发生溃坝事故，对该渣场下游的植被、农业生态</w:t>
      </w:r>
      <w:r>
        <w:rPr>
          <w:rFonts w:hint="eastAsia"/>
          <w:lang w:val="en-US" w:eastAsia="zh-CN"/>
        </w:rPr>
        <w:t>影响较小</w:t>
      </w:r>
      <w:r>
        <w:rPr>
          <w:rFonts w:hint="default"/>
        </w:rPr>
        <w:t>，</w:t>
      </w:r>
      <w:r>
        <w:rPr>
          <w:rFonts w:hint="eastAsia"/>
          <w:lang w:val="en-US" w:eastAsia="zh-CN"/>
        </w:rPr>
        <w:t>不会造成村庄建筑损毁、</w:t>
      </w:r>
      <w:r>
        <w:rPr>
          <w:rFonts w:hint="default"/>
        </w:rPr>
        <w:t>人员伤亡</w:t>
      </w:r>
      <w:r>
        <w:rPr>
          <w:rFonts w:hint="eastAsia"/>
          <w:lang w:val="en-US" w:eastAsia="zh-CN"/>
        </w:rPr>
        <w:t>影响</w:t>
      </w:r>
      <w:r>
        <w:rPr>
          <w:rFonts w:hint="default"/>
        </w:rPr>
        <w:t>。</w:t>
      </w:r>
    </w:p>
    <w:p w14:paraId="537F94E2">
      <w:pPr>
        <w:pStyle w:val="41"/>
        <w:bidi w:val="0"/>
        <w:rPr>
          <w:rFonts w:hint="default"/>
        </w:rPr>
      </w:pPr>
      <w:bookmarkStart w:id="491" w:name="_Toc11627"/>
      <w:r>
        <w:rPr>
          <w:rFonts w:hint="default"/>
        </w:rPr>
        <w:t>（3）对策和措施</w:t>
      </w:r>
      <w:bookmarkEnd w:id="491"/>
    </w:p>
    <w:p w14:paraId="6D3B17EA">
      <w:pPr>
        <w:pStyle w:val="41"/>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eastAsia"/>
          <w:lang w:val="en-US" w:eastAsia="zh-CN"/>
        </w:rPr>
        <w:t>表土堆场</w:t>
      </w:r>
      <w:r>
        <w:rPr>
          <w:rFonts w:hint="default"/>
        </w:rPr>
        <w:t>截</w:t>
      </w:r>
      <w:r>
        <w:rPr>
          <w:rFonts w:hint="eastAsia"/>
          <w:lang w:val="en-US" w:eastAsia="zh-CN"/>
        </w:rPr>
        <w:t>排</w:t>
      </w:r>
      <w:r>
        <w:rPr>
          <w:rFonts w:hint="default"/>
        </w:rPr>
        <w:t>水沟设计时应提高防洪标准，避免</w:t>
      </w:r>
      <w:r>
        <w:rPr>
          <w:rFonts w:hint="eastAsia"/>
          <w:lang w:val="en-US" w:eastAsia="zh-CN"/>
        </w:rPr>
        <w:t>表土堆场</w:t>
      </w:r>
      <w:r>
        <w:rPr>
          <w:rFonts w:hint="default"/>
        </w:rPr>
        <w:t>暴雨条件下泥石流灾害发生。</w:t>
      </w:r>
    </w:p>
    <w:p w14:paraId="394F7E4B">
      <w:pPr>
        <w:pStyle w:val="41"/>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若雨季可能引发</w:t>
      </w:r>
      <w:r>
        <w:rPr>
          <w:rFonts w:hint="eastAsia"/>
          <w:lang w:val="en-US" w:eastAsia="zh-CN"/>
        </w:rPr>
        <w:t>表土堆场</w:t>
      </w:r>
      <w:r>
        <w:rPr>
          <w:rFonts w:hint="default"/>
        </w:rPr>
        <w:t>滑坡、泥石流时，应立即向当地主管部门报告，及时采取有效措施</w:t>
      </w:r>
      <w:r>
        <w:rPr>
          <w:rFonts w:hint="eastAsia"/>
          <w:lang w:val="en-US" w:eastAsia="zh-CN"/>
        </w:rPr>
        <w:t>防止生态破坏</w:t>
      </w:r>
      <w:r>
        <w:rPr>
          <w:rFonts w:hint="default"/>
        </w:rPr>
        <w:t>。</w:t>
      </w:r>
    </w:p>
    <w:p w14:paraId="6FBEE7A5">
      <w:pPr>
        <w:pStyle w:val="41"/>
        <w:bidi w:val="0"/>
        <w:rPr>
          <w:rFonts w:hint="default"/>
        </w:rPr>
      </w:pPr>
      <w:r>
        <w:rPr>
          <w:rFonts w:hint="default"/>
        </w:rPr>
        <w:fldChar w:fldCharType="begin"/>
      </w:r>
      <w:r>
        <w:rPr>
          <w:rFonts w:hint="default"/>
        </w:rPr>
        <w:instrText xml:space="preserve"> = 3 \* GB3 </w:instrText>
      </w:r>
      <w:r>
        <w:rPr>
          <w:rFonts w:hint="default"/>
        </w:rPr>
        <w:fldChar w:fldCharType="separate"/>
      </w:r>
      <w:r>
        <w:rPr>
          <w:rFonts w:hint="default"/>
        </w:rPr>
        <w:t>③</w:t>
      </w:r>
      <w:r>
        <w:rPr>
          <w:rFonts w:hint="default"/>
        </w:rPr>
        <w:fldChar w:fldCharType="end"/>
      </w:r>
      <w:r>
        <w:rPr>
          <w:rFonts w:hint="default"/>
        </w:rPr>
        <w:t>若</w:t>
      </w:r>
      <w:r>
        <w:rPr>
          <w:rFonts w:hint="eastAsia"/>
          <w:lang w:val="en-US" w:eastAsia="zh-CN"/>
        </w:rPr>
        <w:t>表土堆场</w:t>
      </w:r>
      <w:r>
        <w:rPr>
          <w:rFonts w:hint="default"/>
        </w:rPr>
        <w:t>排水系统毁坏或堵塞，应及时疏通修复。一方面应立即向当地政府报告，组织专业人员抢险。</w:t>
      </w:r>
    </w:p>
    <w:p w14:paraId="0A1DAD56">
      <w:pPr>
        <w:pStyle w:val="41"/>
        <w:bidi w:val="0"/>
        <w:rPr>
          <w:rFonts w:hint="default"/>
        </w:rPr>
      </w:pPr>
      <w:r>
        <w:rPr>
          <w:rFonts w:hint="default"/>
        </w:rPr>
        <w:fldChar w:fldCharType="begin"/>
      </w:r>
      <w:r>
        <w:rPr>
          <w:rFonts w:hint="default"/>
        </w:rPr>
        <w:instrText xml:space="preserve"> = 4 \* GB3 </w:instrText>
      </w:r>
      <w:r>
        <w:rPr>
          <w:rFonts w:hint="default"/>
        </w:rPr>
        <w:fldChar w:fldCharType="separate"/>
      </w:r>
      <w:r>
        <w:rPr>
          <w:rFonts w:hint="default"/>
        </w:rPr>
        <w:t>④</w:t>
      </w:r>
      <w:r>
        <w:rPr>
          <w:rFonts w:hint="default"/>
        </w:rPr>
        <w:fldChar w:fldCharType="end"/>
      </w:r>
      <w:r>
        <w:rPr>
          <w:rFonts w:hint="default"/>
        </w:rPr>
        <w:t>雨季定期检查截排水设施、挡土墙，发现问题及时修理</w:t>
      </w:r>
      <w:r>
        <w:rPr>
          <w:rFonts w:hint="default"/>
          <w:lang w:eastAsia="zh-CN"/>
        </w:rPr>
        <w:t>。</w:t>
      </w:r>
    </w:p>
    <w:p w14:paraId="581DD014">
      <w:pPr>
        <w:pStyle w:val="3"/>
        <w:keepNext/>
        <w:keepLines/>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color w:val="000000" w:themeColor="text1"/>
          <w:highlight w:val="none"/>
          <w14:textFill>
            <w14:solidFill>
              <w14:schemeClr w14:val="tx1"/>
            </w14:solidFill>
          </w14:textFill>
        </w:rPr>
      </w:pPr>
      <w:bookmarkStart w:id="492" w:name="_Toc2137"/>
      <w:r>
        <w:rPr>
          <w:rFonts w:hint="default" w:ascii="Times New Roman" w:hAnsi="Times New Roman" w:cs="Times New Roman"/>
          <w:color w:val="000000" w:themeColor="text1"/>
          <w:highlight w:val="none"/>
          <w14:textFill>
            <w14:solidFill>
              <w14:schemeClr w14:val="tx1"/>
            </w14:solidFill>
          </w14:textFill>
        </w:rPr>
        <w:t>事故应急救援预案</w:t>
      </w:r>
      <w:bookmarkEnd w:id="492"/>
    </w:p>
    <w:p w14:paraId="29DD51A6">
      <w:pPr>
        <w:pStyle w:val="41"/>
        <w:bidi w:val="0"/>
        <w:rPr>
          <w:rFonts w:hint="default"/>
          <w:lang w:val="en-US" w:eastAsia="zh-CN"/>
        </w:rPr>
      </w:pPr>
      <w:r>
        <w:rPr>
          <w:rFonts w:hint="default"/>
          <w:lang w:val="en-US" w:eastAsia="zh-CN"/>
        </w:rPr>
        <w:t>由于自然灾害或人为原因，当事故灾害不可避免的时候，有效的应急救援行动是唯一可以抵御事故灾害蔓延和减缓灾害后果的有力措施。企业应按照</w:t>
      </w:r>
      <w:r>
        <w:rPr>
          <w:rFonts w:hint="eastAsia"/>
          <w:lang w:val="en-US" w:eastAsia="zh-CN"/>
        </w:rPr>
        <w:t>《</w:t>
      </w:r>
      <w:r>
        <w:rPr>
          <w:rFonts w:hint="default"/>
          <w:lang w:val="en-US" w:eastAsia="zh-CN"/>
        </w:rPr>
        <w:t>企业事业单位突发环境事件应急预案备案管理办法（试行）》</w:t>
      </w:r>
      <w:r>
        <w:rPr>
          <w:rFonts w:hint="eastAsia"/>
          <w:lang w:val="en-US" w:eastAsia="zh-CN"/>
        </w:rPr>
        <w:t>（</w:t>
      </w:r>
      <w:r>
        <w:rPr>
          <w:rFonts w:hint="default"/>
          <w:lang w:val="en-US" w:eastAsia="zh-CN"/>
        </w:rPr>
        <w:t>环发</w:t>
      </w:r>
      <w:r>
        <w:rPr>
          <w:rFonts w:hint="eastAsia"/>
          <w:lang w:val="en-US" w:eastAsia="zh-CN"/>
        </w:rPr>
        <w:t>〔2015〕4号</w:t>
      </w:r>
      <w:r>
        <w:rPr>
          <w:rFonts w:hint="default"/>
          <w:lang w:val="en-US" w:eastAsia="zh-CN"/>
        </w:rPr>
        <w:t>文</w:t>
      </w:r>
      <w:r>
        <w:rPr>
          <w:rFonts w:hint="eastAsia"/>
          <w:lang w:val="en-US" w:eastAsia="zh-CN"/>
        </w:rPr>
        <w:t>）</w:t>
      </w:r>
      <w:r>
        <w:rPr>
          <w:rFonts w:hint="default"/>
          <w:lang w:val="en-US" w:eastAsia="zh-CN"/>
        </w:rPr>
        <w:t>的要求编制应急预案，并报</w:t>
      </w:r>
      <w:r>
        <w:rPr>
          <w:rFonts w:hint="eastAsia"/>
          <w:lang w:val="en-US" w:eastAsia="zh-CN"/>
        </w:rPr>
        <w:t>文山</w:t>
      </w:r>
      <w:r>
        <w:rPr>
          <w:rFonts w:hint="default"/>
          <w:lang w:val="en-US" w:eastAsia="zh-CN"/>
        </w:rPr>
        <w:t>州生态环境局</w:t>
      </w:r>
      <w:r>
        <w:rPr>
          <w:rFonts w:hint="eastAsia"/>
          <w:lang w:val="en-US" w:eastAsia="zh-CN"/>
        </w:rPr>
        <w:t>砚山分局</w:t>
      </w:r>
      <w:r>
        <w:rPr>
          <w:rFonts w:hint="default"/>
          <w:lang w:val="en-US" w:eastAsia="zh-CN"/>
        </w:rPr>
        <w:t>备案。在突发安全事故时，应在最短的时间内启动应急预案。</w:t>
      </w:r>
    </w:p>
    <w:p w14:paraId="7E52D73E">
      <w:pPr>
        <w:pStyle w:val="41"/>
        <w:bidi w:val="0"/>
        <w:rPr>
          <w:rFonts w:hint="default"/>
        </w:rPr>
      </w:pPr>
      <w:r>
        <w:rPr>
          <w:rFonts w:hint="default"/>
        </w:rPr>
        <w:t>事故救援计划应包括以下内容：①应急救援系统的建立和组成；②应急救援计划的制定；③应急培训和演习；④应急救援行动；⑤现场清除与净化；⑥系统的恢复和善后处理。</w:t>
      </w:r>
    </w:p>
    <w:p w14:paraId="01644CAE">
      <w:pPr>
        <w:pStyle w:val="41"/>
        <w:bidi w:val="0"/>
        <w:rPr>
          <w:rFonts w:hint="default"/>
        </w:rPr>
      </w:pPr>
      <w:r>
        <w:rPr>
          <w:rFonts w:hint="default"/>
        </w:rPr>
        <w:t>建设单位应根据下表</w:t>
      </w:r>
      <w:r>
        <w:rPr>
          <w:rFonts w:hint="eastAsia"/>
          <w:lang w:val="en-US" w:eastAsia="zh-CN"/>
        </w:rPr>
        <w:t>7</w:t>
      </w:r>
      <w:r>
        <w:rPr>
          <w:rFonts w:hint="default"/>
          <w:lang w:val="en-US" w:eastAsia="zh-CN"/>
        </w:rPr>
        <w:t>.</w:t>
      </w:r>
      <w:r>
        <w:rPr>
          <w:rFonts w:hint="default"/>
        </w:rPr>
        <w:t>6-1的详细要求制定突发事故对策和应急预案，一旦出现突发事故，必须按事先拟定的方案进行紧急处理。</w:t>
      </w:r>
    </w:p>
    <w:p w14:paraId="198EE8AE">
      <w:pPr>
        <w:pStyle w:val="45"/>
        <w:bidi w:val="0"/>
        <w:rPr>
          <w:rFonts w:hint="default"/>
        </w:rPr>
      </w:pPr>
      <w:r>
        <w:rPr>
          <w:rFonts w:hint="default"/>
        </w:rPr>
        <w:t>表</w:t>
      </w:r>
      <w:r>
        <w:rPr>
          <w:rFonts w:hint="eastAsia"/>
          <w:lang w:val="en-US" w:eastAsia="zh-CN"/>
        </w:rPr>
        <w:t>7</w:t>
      </w:r>
      <w:r>
        <w:rPr>
          <w:rFonts w:hint="default"/>
          <w:lang w:val="en-US" w:eastAsia="zh-CN"/>
        </w:rPr>
        <w:t>.</w:t>
      </w:r>
      <w:r>
        <w:rPr>
          <w:rFonts w:hint="default"/>
        </w:rPr>
        <w:t xml:space="preserve">6-1 </w:t>
      </w:r>
      <w:r>
        <w:rPr>
          <w:rFonts w:hint="default"/>
          <w:lang w:val="en-US" w:eastAsia="zh-CN"/>
        </w:rPr>
        <w:t xml:space="preserve"> </w:t>
      </w:r>
      <w:r>
        <w:rPr>
          <w:rFonts w:hint="default"/>
        </w:rPr>
        <w:t>应急预案内容表</w:t>
      </w:r>
    </w:p>
    <w:tbl>
      <w:tblPr>
        <w:tblStyle w:val="34"/>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8"/>
        <w:gridCol w:w="2462"/>
        <w:gridCol w:w="5329"/>
      </w:tblGrid>
      <w:tr w14:paraId="1E8B9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1390C15A">
            <w:pPr>
              <w:pStyle w:val="43"/>
              <w:bidi w:val="0"/>
              <w:rPr>
                <w:rFonts w:hint="default"/>
                <w:b/>
                <w:bCs/>
              </w:rPr>
            </w:pPr>
            <w:r>
              <w:rPr>
                <w:rFonts w:hint="default"/>
                <w:b/>
                <w:bCs/>
              </w:rPr>
              <w:t>序号</w:t>
            </w:r>
          </w:p>
        </w:tc>
        <w:tc>
          <w:tcPr>
            <w:tcW w:w="2373" w:type="dxa"/>
            <w:noWrap w:val="0"/>
            <w:vAlign w:val="center"/>
          </w:tcPr>
          <w:p w14:paraId="2B8DBFCB">
            <w:pPr>
              <w:pStyle w:val="43"/>
              <w:bidi w:val="0"/>
              <w:rPr>
                <w:rFonts w:hint="default"/>
                <w:b/>
                <w:bCs/>
              </w:rPr>
            </w:pPr>
            <w:r>
              <w:rPr>
                <w:rFonts w:hint="default"/>
                <w:b/>
                <w:bCs/>
              </w:rPr>
              <w:t>项目</w:t>
            </w:r>
          </w:p>
        </w:tc>
        <w:tc>
          <w:tcPr>
            <w:tcW w:w="5137" w:type="dxa"/>
            <w:noWrap w:val="0"/>
            <w:vAlign w:val="center"/>
          </w:tcPr>
          <w:p w14:paraId="362F0729">
            <w:pPr>
              <w:pStyle w:val="43"/>
              <w:bidi w:val="0"/>
              <w:rPr>
                <w:rFonts w:hint="default"/>
                <w:b/>
                <w:bCs/>
              </w:rPr>
            </w:pPr>
            <w:r>
              <w:rPr>
                <w:rFonts w:hint="default"/>
                <w:b/>
                <w:bCs/>
              </w:rPr>
              <w:t>内容及要求</w:t>
            </w:r>
          </w:p>
        </w:tc>
      </w:tr>
      <w:tr w14:paraId="58F71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16DF2117">
            <w:pPr>
              <w:pStyle w:val="43"/>
              <w:bidi w:val="0"/>
              <w:rPr>
                <w:rFonts w:hint="default"/>
              </w:rPr>
            </w:pPr>
            <w:r>
              <w:rPr>
                <w:rFonts w:hint="default"/>
              </w:rPr>
              <w:t>1</w:t>
            </w:r>
          </w:p>
        </w:tc>
        <w:tc>
          <w:tcPr>
            <w:tcW w:w="2373" w:type="dxa"/>
            <w:noWrap w:val="0"/>
            <w:vAlign w:val="center"/>
          </w:tcPr>
          <w:p w14:paraId="322B85A1">
            <w:pPr>
              <w:pStyle w:val="43"/>
              <w:bidi w:val="0"/>
              <w:rPr>
                <w:rFonts w:hint="default"/>
              </w:rPr>
            </w:pPr>
            <w:r>
              <w:rPr>
                <w:rFonts w:hint="default"/>
              </w:rPr>
              <w:t>应急计划区</w:t>
            </w:r>
          </w:p>
        </w:tc>
        <w:tc>
          <w:tcPr>
            <w:tcW w:w="5137" w:type="dxa"/>
            <w:noWrap w:val="0"/>
            <w:vAlign w:val="center"/>
          </w:tcPr>
          <w:p w14:paraId="13E2490B">
            <w:pPr>
              <w:pStyle w:val="43"/>
              <w:bidi w:val="0"/>
              <w:rPr>
                <w:rFonts w:hint="default"/>
              </w:rPr>
            </w:pPr>
            <w:r>
              <w:rPr>
                <w:rFonts w:hint="default"/>
              </w:rPr>
              <w:t>危险目标：</w:t>
            </w:r>
            <w:r>
              <w:rPr>
                <w:rFonts w:hint="eastAsia"/>
                <w:lang w:val="en-US" w:eastAsia="zh-CN"/>
              </w:rPr>
              <w:t>表土堆</w:t>
            </w:r>
            <w:r>
              <w:rPr>
                <w:rFonts w:hint="eastAsia"/>
                <w:lang w:eastAsia="zh-CN"/>
              </w:rPr>
              <w:t>场</w:t>
            </w:r>
            <w:r>
              <w:rPr>
                <w:rFonts w:hint="default"/>
              </w:rPr>
              <w:t>区、</w:t>
            </w:r>
            <w:r>
              <w:rPr>
                <w:rFonts w:hint="default"/>
                <w:lang w:val="en-US" w:eastAsia="zh-CN"/>
              </w:rPr>
              <w:t>开</w:t>
            </w:r>
            <w:r>
              <w:rPr>
                <w:rFonts w:hint="default"/>
              </w:rPr>
              <w:t>采区</w:t>
            </w:r>
          </w:p>
        </w:tc>
      </w:tr>
      <w:tr w14:paraId="0797A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1D8ED39B">
            <w:pPr>
              <w:pStyle w:val="43"/>
              <w:bidi w:val="0"/>
              <w:rPr>
                <w:rFonts w:hint="default"/>
              </w:rPr>
            </w:pPr>
            <w:r>
              <w:rPr>
                <w:rFonts w:hint="default"/>
              </w:rPr>
              <w:t>2</w:t>
            </w:r>
          </w:p>
        </w:tc>
        <w:tc>
          <w:tcPr>
            <w:tcW w:w="2373" w:type="dxa"/>
            <w:noWrap w:val="0"/>
            <w:vAlign w:val="center"/>
          </w:tcPr>
          <w:p w14:paraId="0B301BD6">
            <w:pPr>
              <w:pStyle w:val="43"/>
              <w:bidi w:val="0"/>
              <w:rPr>
                <w:rFonts w:hint="default"/>
              </w:rPr>
            </w:pPr>
            <w:r>
              <w:rPr>
                <w:rFonts w:hint="default"/>
              </w:rPr>
              <w:t>应急组织机构、人员</w:t>
            </w:r>
          </w:p>
        </w:tc>
        <w:tc>
          <w:tcPr>
            <w:tcW w:w="5137" w:type="dxa"/>
            <w:noWrap w:val="0"/>
            <w:vAlign w:val="center"/>
          </w:tcPr>
          <w:p w14:paraId="0005F96F">
            <w:pPr>
              <w:pStyle w:val="43"/>
              <w:bidi w:val="0"/>
              <w:rPr>
                <w:rFonts w:hint="default"/>
              </w:rPr>
            </w:pPr>
            <w:r>
              <w:rPr>
                <w:rFonts w:hint="default"/>
              </w:rPr>
              <w:t>建立矿山、</w:t>
            </w:r>
            <w:r>
              <w:rPr>
                <w:rFonts w:hint="default"/>
                <w:lang w:eastAsia="zh-CN"/>
              </w:rPr>
              <w:t>场区应急</w:t>
            </w:r>
            <w:r>
              <w:rPr>
                <w:rFonts w:hint="default"/>
              </w:rPr>
              <w:t>组织机构、人员</w:t>
            </w:r>
          </w:p>
        </w:tc>
      </w:tr>
      <w:tr w14:paraId="319D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62A27535">
            <w:pPr>
              <w:pStyle w:val="43"/>
              <w:bidi w:val="0"/>
              <w:rPr>
                <w:rFonts w:hint="default"/>
              </w:rPr>
            </w:pPr>
            <w:r>
              <w:rPr>
                <w:rFonts w:hint="default"/>
              </w:rPr>
              <w:t>3</w:t>
            </w:r>
          </w:p>
        </w:tc>
        <w:tc>
          <w:tcPr>
            <w:tcW w:w="2373" w:type="dxa"/>
            <w:noWrap w:val="0"/>
            <w:vAlign w:val="center"/>
          </w:tcPr>
          <w:p w14:paraId="67D79AB3">
            <w:pPr>
              <w:pStyle w:val="43"/>
              <w:bidi w:val="0"/>
              <w:rPr>
                <w:rFonts w:hint="default"/>
              </w:rPr>
            </w:pPr>
            <w:r>
              <w:rPr>
                <w:rFonts w:hint="default"/>
              </w:rPr>
              <w:t>预案分级响应条件</w:t>
            </w:r>
          </w:p>
        </w:tc>
        <w:tc>
          <w:tcPr>
            <w:tcW w:w="5137" w:type="dxa"/>
            <w:noWrap w:val="0"/>
            <w:vAlign w:val="center"/>
          </w:tcPr>
          <w:p w14:paraId="7188FAB3">
            <w:pPr>
              <w:pStyle w:val="43"/>
              <w:bidi w:val="0"/>
              <w:rPr>
                <w:rFonts w:hint="default"/>
              </w:rPr>
            </w:pPr>
            <w:r>
              <w:rPr>
                <w:rFonts w:hint="default"/>
              </w:rPr>
              <w:t>规定预案的级别及分级响应程序</w:t>
            </w:r>
          </w:p>
        </w:tc>
      </w:tr>
      <w:tr w14:paraId="1A174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2C67B012">
            <w:pPr>
              <w:pStyle w:val="43"/>
              <w:bidi w:val="0"/>
              <w:rPr>
                <w:rFonts w:hint="default"/>
              </w:rPr>
            </w:pPr>
            <w:r>
              <w:rPr>
                <w:rFonts w:hint="default"/>
              </w:rPr>
              <w:t>4</w:t>
            </w:r>
          </w:p>
        </w:tc>
        <w:tc>
          <w:tcPr>
            <w:tcW w:w="2373" w:type="dxa"/>
            <w:noWrap w:val="0"/>
            <w:vAlign w:val="center"/>
          </w:tcPr>
          <w:p w14:paraId="155DA30F">
            <w:pPr>
              <w:pStyle w:val="43"/>
              <w:bidi w:val="0"/>
              <w:rPr>
                <w:rFonts w:hint="default"/>
              </w:rPr>
            </w:pPr>
            <w:r>
              <w:rPr>
                <w:rFonts w:hint="default"/>
              </w:rPr>
              <w:t>应急救援保障</w:t>
            </w:r>
          </w:p>
        </w:tc>
        <w:tc>
          <w:tcPr>
            <w:tcW w:w="5137" w:type="dxa"/>
            <w:noWrap w:val="0"/>
            <w:vAlign w:val="center"/>
          </w:tcPr>
          <w:p w14:paraId="28F222CE">
            <w:pPr>
              <w:pStyle w:val="43"/>
              <w:bidi w:val="0"/>
              <w:rPr>
                <w:rFonts w:hint="default"/>
              </w:rPr>
            </w:pPr>
            <w:r>
              <w:rPr>
                <w:rFonts w:hint="default"/>
              </w:rPr>
              <w:t>配备应急设施，设备与器材等</w:t>
            </w:r>
          </w:p>
        </w:tc>
      </w:tr>
      <w:tr w14:paraId="05670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1DE013BD">
            <w:pPr>
              <w:pStyle w:val="43"/>
              <w:bidi w:val="0"/>
              <w:rPr>
                <w:rFonts w:hint="default"/>
              </w:rPr>
            </w:pPr>
            <w:r>
              <w:rPr>
                <w:rFonts w:hint="default"/>
              </w:rPr>
              <w:t>5</w:t>
            </w:r>
          </w:p>
        </w:tc>
        <w:tc>
          <w:tcPr>
            <w:tcW w:w="2373" w:type="dxa"/>
            <w:noWrap w:val="0"/>
            <w:vAlign w:val="center"/>
          </w:tcPr>
          <w:p w14:paraId="3B99F2EA">
            <w:pPr>
              <w:pStyle w:val="43"/>
              <w:bidi w:val="0"/>
              <w:rPr>
                <w:rFonts w:hint="default"/>
              </w:rPr>
            </w:pPr>
            <w:r>
              <w:rPr>
                <w:rFonts w:hint="default"/>
              </w:rPr>
              <w:t>报警、通讯联络方式</w:t>
            </w:r>
          </w:p>
        </w:tc>
        <w:tc>
          <w:tcPr>
            <w:tcW w:w="5137" w:type="dxa"/>
            <w:noWrap w:val="0"/>
            <w:vAlign w:val="center"/>
          </w:tcPr>
          <w:p w14:paraId="365D6A1D">
            <w:pPr>
              <w:pStyle w:val="43"/>
              <w:bidi w:val="0"/>
              <w:rPr>
                <w:rFonts w:hint="default"/>
              </w:rPr>
            </w:pPr>
            <w:r>
              <w:rPr>
                <w:rFonts w:hint="default"/>
              </w:rPr>
              <w:t>规定应急状态下报警通讯方式、通知方式和交通保障、管制</w:t>
            </w:r>
          </w:p>
        </w:tc>
      </w:tr>
      <w:tr w14:paraId="1C8C9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0CB93BC6">
            <w:pPr>
              <w:pStyle w:val="43"/>
              <w:bidi w:val="0"/>
              <w:rPr>
                <w:rFonts w:hint="default"/>
              </w:rPr>
            </w:pPr>
            <w:r>
              <w:rPr>
                <w:rFonts w:hint="default"/>
              </w:rPr>
              <w:t>6</w:t>
            </w:r>
          </w:p>
        </w:tc>
        <w:tc>
          <w:tcPr>
            <w:tcW w:w="2373" w:type="dxa"/>
            <w:noWrap w:val="0"/>
            <w:vAlign w:val="center"/>
          </w:tcPr>
          <w:p w14:paraId="12B7F0FB">
            <w:pPr>
              <w:pStyle w:val="43"/>
              <w:bidi w:val="0"/>
              <w:rPr>
                <w:rFonts w:hint="default"/>
              </w:rPr>
            </w:pPr>
            <w:r>
              <w:rPr>
                <w:rFonts w:hint="default"/>
              </w:rPr>
              <w:t>应急环境监测、抢险、救援及控制措施</w:t>
            </w:r>
          </w:p>
        </w:tc>
        <w:tc>
          <w:tcPr>
            <w:tcW w:w="5137" w:type="dxa"/>
            <w:noWrap w:val="0"/>
            <w:vAlign w:val="center"/>
          </w:tcPr>
          <w:p w14:paraId="505C6E67">
            <w:pPr>
              <w:pStyle w:val="43"/>
              <w:bidi w:val="0"/>
              <w:rPr>
                <w:rFonts w:hint="default"/>
              </w:rPr>
            </w:pPr>
            <w:r>
              <w:rPr>
                <w:rFonts w:hint="default"/>
              </w:rPr>
              <w:t>由专业队伍负责对事故现场进行侦察监测，对事故性质、参数与后果进行评估，为指挥部门提供决策依据</w:t>
            </w:r>
          </w:p>
        </w:tc>
      </w:tr>
      <w:tr w14:paraId="22BA0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015142A6">
            <w:pPr>
              <w:pStyle w:val="43"/>
              <w:bidi w:val="0"/>
              <w:rPr>
                <w:rFonts w:hint="default"/>
              </w:rPr>
            </w:pPr>
            <w:r>
              <w:rPr>
                <w:rFonts w:hint="default"/>
              </w:rPr>
              <w:t>7</w:t>
            </w:r>
          </w:p>
        </w:tc>
        <w:tc>
          <w:tcPr>
            <w:tcW w:w="2373" w:type="dxa"/>
            <w:noWrap w:val="0"/>
            <w:vAlign w:val="center"/>
          </w:tcPr>
          <w:p w14:paraId="1B9616DF">
            <w:pPr>
              <w:pStyle w:val="43"/>
              <w:bidi w:val="0"/>
              <w:rPr>
                <w:rFonts w:hint="default"/>
              </w:rPr>
            </w:pPr>
            <w:r>
              <w:rPr>
                <w:rFonts w:hint="default"/>
              </w:rPr>
              <w:t>应急检测、防护措施</w:t>
            </w:r>
          </w:p>
        </w:tc>
        <w:tc>
          <w:tcPr>
            <w:tcW w:w="5137" w:type="dxa"/>
            <w:noWrap w:val="0"/>
            <w:vAlign w:val="center"/>
          </w:tcPr>
          <w:p w14:paraId="19901985">
            <w:pPr>
              <w:pStyle w:val="43"/>
              <w:bidi w:val="0"/>
              <w:rPr>
                <w:rFonts w:hint="default"/>
              </w:rPr>
            </w:pPr>
            <w:r>
              <w:rPr>
                <w:rFonts w:hint="default"/>
              </w:rPr>
              <w:t>事故现场、邻近区域，控制和清除污染措施</w:t>
            </w:r>
          </w:p>
        </w:tc>
      </w:tr>
      <w:tr w14:paraId="6AD89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26338B7D">
            <w:pPr>
              <w:pStyle w:val="43"/>
              <w:bidi w:val="0"/>
              <w:rPr>
                <w:rFonts w:hint="default"/>
              </w:rPr>
            </w:pPr>
            <w:r>
              <w:rPr>
                <w:rFonts w:hint="default"/>
              </w:rPr>
              <w:t>8</w:t>
            </w:r>
          </w:p>
        </w:tc>
        <w:tc>
          <w:tcPr>
            <w:tcW w:w="2373" w:type="dxa"/>
            <w:noWrap w:val="0"/>
            <w:vAlign w:val="center"/>
          </w:tcPr>
          <w:p w14:paraId="041F637A">
            <w:pPr>
              <w:pStyle w:val="43"/>
              <w:bidi w:val="0"/>
              <w:rPr>
                <w:rFonts w:hint="default"/>
              </w:rPr>
            </w:pPr>
            <w:r>
              <w:rPr>
                <w:rFonts w:hint="default"/>
              </w:rPr>
              <w:t>人员紧急撤离、疏散，撤离组织计划</w:t>
            </w:r>
          </w:p>
        </w:tc>
        <w:tc>
          <w:tcPr>
            <w:tcW w:w="5137" w:type="dxa"/>
            <w:noWrap w:val="0"/>
            <w:vAlign w:val="center"/>
          </w:tcPr>
          <w:p w14:paraId="59D0CDA7">
            <w:pPr>
              <w:pStyle w:val="43"/>
              <w:bidi w:val="0"/>
              <w:rPr>
                <w:rFonts w:hint="default"/>
              </w:rPr>
            </w:pPr>
            <w:r>
              <w:rPr>
                <w:rFonts w:hint="default"/>
              </w:rPr>
              <w:t>撤离组织计划及救护，医疗救护与公众健康</w:t>
            </w:r>
          </w:p>
        </w:tc>
      </w:tr>
      <w:tr w14:paraId="728CB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5939F1B2">
            <w:pPr>
              <w:pStyle w:val="43"/>
              <w:bidi w:val="0"/>
              <w:rPr>
                <w:rFonts w:hint="default"/>
              </w:rPr>
            </w:pPr>
            <w:r>
              <w:rPr>
                <w:rFonts w:hint="default"/>
              </w:rPr>
              <w:t>9</w:t>
            </w:r>
          </w:p>
        </w:tc>
        <w:tc>
          <w:tcPr>
            <w:tcW w:w="2373" w:type="dxa"/>
            <w:noWrap w:val="0"/>
            <w:vAlign w:val="center"/>
          </w:tcPr>
          <w:p w14:paraId="3B66476A">
            <w:pPr>
              <w:pStyle w:val="43"/>
              <w:bidi w:val="0"/>
              <w:rPr>
                <w:rFonts w:hint="default"/>
              </w:rPr>
            </w:pPr>
            <w:r>
              <w:rPr>
                <w:rFonts w:hint="default"/>
              </w:rPr>
              <w:t>事故应急救援关闭程序与恢复措施</w:t>
            </w:r>
          </w:p>
        </w:tc>
        <w:tc>
          <w:tcPr>
            <w:tcW w:w="5137" w:type="dxa"/>
            <w:noWrap w:val="0"/>
            <w:vAlign w:val="center"/>
          </w:tcPr>
          <w:p w14:paraId="4BD442A7">
            <w:pPr>
              <w:pStyle w:val="43"/>
              <w:bidi w:val="0"/>
              <w:rPr>
                <w:rFonts w:hint="default"/>
              </w:rPr>
            </w:pPr>
            <w:r>
              <w:rPr>
                <w:rFonts w:hint="default"/>
              </w:rPr>
              <w:t>规定应急状态终止程序，事故现场善后处理，恢复措施，邻近区域解除事故警戒及善后恢复措施</w:t>
            </w:r>
          </w:p>
        </w:tc>
      </w:tr>
      <w:tr w14:paraId="3F429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4500A93F">
            <w:pPr>
              <w:pStyle w:val="43"/>
              <w:bidi w:val="0"/>
              <w:rPr>
                <w:rFonts w:hint="default"/>
              </w:rPr>
            </w:pPr>
            <w:r>
              <w:rPr>
                <w:rFonts w:hint="default"/>
              </w:rPr>
              <w:t>10</w:t>
            </w:r>
          </w:p>
        </w:tc>
        <w:tc>
          <w:tcPr>
            <w:tcW w:w="2373" w:type="dxa"/>
            <w:noWrap w:val="0"/>
            <w:vAlign w:val="center"/>
          </w:tcPr>
          <w:p w14:paraId="00329DA8">
            <w:pPr>
              <w:pStyle w:val="43"/>
              <w:bidi w:val="0"/>
              <w:rPr>
                <w:rFonts w:hint="default"/>
              </w:rPr>
            </w:pPr>
            <w:r>
              <w:rPr>
                <w:rFonts w:hint="default"/>
              </w:rPr>
              <w:t>应急培训计划</w:t>
            </w:r>
          </w:p>
        </w:tc>
        <w:tc>
          <w:tcPr>
            <w:tcW w:w="5137" w:type="dxa"/>
            <w:noWrap w:val="0"/>
            <w:vAlign w:val="center"/>
          </w:tcPr>
          <w:p w14:paraId="11210EC5">
            <w:pPr>
              <w:pStyle w:val="43"/>
              <w:bidi w:val="0"/>
              <w:rPr>
                <w:rFonts w:hint="default"/>
              </w:rPr>
            </w:pPr>
            <w:r>
              <w:rPr>
                <w:rFonts w:hint="default"/>
              </w:rPr>
              <w:t>应急计划制定后，平时安排人员培训与演练</w:t>
            </w:r>
          </w:p>
        </w:tc>
      </w:tr>
      <w:tr w14:paraId="18C0A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11" w:type="dxa"/>
            <w:noWrap w:val="0"/>
            <w:vAlign w:val="center"/>
          </w:tcPr>
          <w:p w14:paraId="2B273FE5">
            <w:pPr>
              <w:pStyle w:val="43"/>
              <w:bidi w:val="0"/>
              <w:rPr>
                <w:rFonts w:hint="default"/>
              </w:rPr>
            </w:pPr>
            <w:r>
              <w:rPr>
                <w:rFonts w:hint="default"/>
              </w:rPr>
              <w:t>11</w:t>
            </w:r>
          </w:p>
        </w:tc>
        <w:tc>
          <w:tcPr>
            <w:tcW w:w="2373" w:type="dxa"/>
            <w:noWrap w:val="0"/>
            <w:vAlign w:val="center"/>
          </w:tcPr>
          <w:p w14:paraId="4300DEFE">
            <w:pPr>
              <w:pStyle w:val="43"/>
              <w:bidi w:val="0"/>
              <w:rPr>
                <w:rFonts w:hint="default"/>
              </w:rPr>
            </w:pPr>
            <w:r>
              <w:rPr>
                <w:rFonts w:hint="default"/>
              </w:rPr>
              <w:t>公众教育和信息</w:t>
            </w:r>
          </w:p>
        </w:tc>
        <w:tc>
          <w:tcPr>
            <w:tcW w:w="5137" w:type="dxa"/>
            <w:noWrap w:val="0"/>
            <w:vAlign w:val="center"/>
          </w:tcPr>
          <w:p w14:paraId="67185340">
            <w:pPr>
              <w:pStyle w:val="43"/>
              <w:bidi w:val="0"/>
              <w:rPr>
                <w:rFonts w:hint="default"/>
              </w:rPr>
            </w:pPr>
            <w:r>
              <w:rPr>
                <w:rFonts w:hint="default"/>
              </w:rPr>
              <w:t>对邻近地区开展公众教育、培训和发布有关信息</w:t>
            </w:r>
          </w:p>
        </w:tc>
      </w:tr>
    </w:tbl>
    <w:p w14:paraId="7E4B785D">
      <w:pPr>
        <w:pStyle w:val="3"/>
        <w:bidi w:val="0"/>
        <w:rPr>
          <w:rFonts w:hint="default" w:ascii="Times New Roman" w:hAnsi="Times New Roman" w:cs="Times New Roman"/>
          <w:color w:val="000000" w:themeColor="text1"/>
          <w:highlight w:val="none"/>
          <w14:textFill>
            <w14:solidFill>
              <w14:schemeClr w14:val="tx1"/>
            </w14:solidFill>
          </w14:textFill>
        </w:rPr>
      </w:pPr>
      <w:bookmarkStart w:id="493" w:name="_Toc6150"/>
      <w:r>
        <w:rPr>
          <w:rFonts w:hint="default" w:ascii="Times New Roman" w:hAnsi="Times New Roman" w:cs="Times New Roman"/>
          <w:color w:val="000000" w:themeColor="text1"/>
          <w:highlight w:val="none"/>
          <w14:textFill>
            <w14:solidFill>
              <w14:schemeClr w14:val="tx1"/>
            </w14:solidFill>
          </w14:textFill>
        </w:rPr>
        <w:t>分析结论</w:t>
      </w:r>
      <w:bookmarkEnd w:id="493"/>
    </w:p>
    <w:p w14:paraId="4FABA424">
      <w:pPr>
        <w:pStyle w:val="41"/>
        <w:bidi w:val="0"/>
        <w:rPr>
          <w:rFonts w:hint="default"/>
        </w:rPr>
      </w:pPr>
      <w:r>
        <w:rPr>
          <w:rFonts w:hint="default"/>
        </w:rPr>
        <w:t>经上述风险评价可知，本项目运营过程中存在滑坡、</w:t>
      </w:r>
      <w:r>
        <w:rPr>
          <w:rFonts w:hint="eastAsia"/>
          <w:lang w:val="en-US" w:eastAsia="zh-CN"/>
        </w:rPr>
        <w:t>污水</w:t>
      </w:r>
      <w:r>
        <w:rPr>
          <w:rFonts w:hint="default"/>
        </w:rPr>
        <w:t>泄漏、</w:t>
      </w:r>
      <w:r>
        <w:rPr>
          <w:rFonts w:hint="eastAsia"/>
          <w:lang w:val="en-US" w:eastAsia="zh-CN"/>
        </w:rPr>
        <w:t>危废泄漏以及</w:t>
      </w:r>
      <w:r>
        <w:rPr>
          <w:rFonts w:hint="default"/>
        </w:rPr>
        <w:t>火灾、爆炸等环境风险。通过对本项目运营过程中存在的风险潜势进行判断，本项目环境风险潜势为I，本评价认为只要在运营过程中不断加强生产安全和环境管理，对每</w:t>
      </w:r>
      <w:r>
        <w:rPr>
          <w:rFonts w:hint="eastAsia"/>
          <w:lang w:eastAsia="zh-CN"/>
        </w:rPr>
        <w:t>一个</w:t>
      </w:r>
      <w:r>
        <w:rPr>
          <w:rFonts w:hint="default"/>
        </w:rPr>
        <w:t>环节按风险评价和突发环境事件应急预案要求落实防范措施和应急措施，从环境风险评价的角度上分析，本项目环境风险是可控制的。</w:t>
      </w:r>
    </w:p>
    <w:p w14:paraId="25B05661">
      <w:pPr>
        <w:pStyle w:val="41"/>
        <w:bidi w:val="0"/>
        <w:rPr>
          <w:rFonts w:hint="default"/>
        </w:rPr>
      </w:pPr>
      <w:r>
        <w:rPr>
          <w:rFonts w:hint="default"/>
        </w:rPr>
        <w:t>风险评价内容总结见表</w:t>
      </w:r>
      <w:r>
        <w:rPr>
          <w:rFonts w:hint="eastAsia"/>
          <w:lang w:val="en-US" w:eastAsia="zh-CN"/>
        </w:rPr>
        <w:t>7</w:t>
      </w:r>
      <w:r>
        <w:rPr>
          <w:rFonts w:hint="default"/>
          <w:lang w:val="en-US" w:eastAsia="zh-CN"/>
        </w:rPr>
        <w:t>.7</w:t>
      </w:r>
      <w:r>
        <w:rPr>
          <w:rFonts w:hint="default"/>
        </w:rPr>
        <w:t>-1。</w:t>
      </w:r>
    </w:p>
    <w:p w14:paraId="34A077C9">
      <w:pPr>
        <w:pStyle w:val="45"/>
        <w:bidi w:val="0"/>
        <w:rPr>
          <w:rFonts w:hint="default"/>
        </w:rPr>
      </w:pPr>
      <w:r>
        <w:rPr>
          <w:rFonts w:hint="default"/>
        </w:rPr>
        <w:t>表</w:t>
      </w:r>
      <w:r>
        <w:rPr>
          <w:rFonts w:hint="eastAsia"/>
          <w:lang w:val="en-US" w:eastAsia="zh-CN"/>
        </w:rPr>
        <w:t>7</w:t>
      </w:r>
      <w:r>
        <w:rPr>
          <w:rFonts w:hint="default"/>
          <w:lang w:val="en-US" w:eastAsia="zh-CN"/>
        </w:rPr>
        <w:t>.7</w:t>
      </w:r>
      <w:r>
        <w:rPr>
          <w:rFonts w:hint="default"/>
        </w:rPr>
        <w:t>-1  建设项目环境风险简单分析表</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0"/>
        <w:gridCol w:w="6273"/>
      </w:tblGrid>
      <w:tr w14:paraId="0B12D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noWrap w:val="0"/>
            <w:vAlign w:val="center"/>
          </w:tcPr>
          <w:p w14:paraId="2EB1BF38">
            <w:pPr>
              <w:pStyle w:val="43"/>
              <w:bidi w:val="0"/>
              <w:rPr>
                <w:rFonts w:hint="default"/>
              </w:rPr>
            </w:pPr>
            <w:r>
              <w:rPr>
                <w:rFonts w:hint="default"/>
              </w:rPr>
              <w:t>建设项目名称</w:t>
            </w:r>
          </w:p>
        </w:tc>
        <w:tc>
          <w:tcPr>
            <w:tcW w:w="6265" w:type="dxa"/>
            <w:noWrap w:val="0"/>
            <w:vAlign w:val="center"/>
          </w:tcPr>
          <w:p w14:paraId="4AED2ED1">
            <w:pPr>
              <w:pStyle w:val="43"/>
              <w:bidi w:val="0"/>
              <w:rPr>
                <w:rFonts w:hint="default"/>
                <w:highlight w:val="yellow"/>
                <w:lang w:eastAsia="zh-CN"/>
              </w:rPr>
            </w:pPr>
            <w:r>
              <w:rPr>
                <w:rFonts w:hint="eastAsia"/>
                <w:lang w:eastAsia="zh-CN"/>
              </w:rPr>
              <w:t>砚山县红舍克东山石灰岩矿</w:t>
            </w:r>
          </w:p>
        </w:tc>
      </w:tr>
      <w:tr w14:paraId="613BF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noWrap w:val="0"/>
            <w:vAlign w:val="center"/>
          </w:tcPr>
          <w:p w14:paraId="4F17F397">
            <w:pPr>
              <w:pStyle w:val="43"/>
              <w:bidi w:val="0"/>
              <w:rPr>
                <w:rFonts w:hint="default"/>
              </w:rPr>
            </w:pPr>
            <w:r>
              <w:rPr>
                <w:rFonts w:hint="default"/>
              </w:rPr>
              <w:t>建设地点</w:t>
            </w:r>
          </w:p>
        </w:tc>
        <w:tc>
          <w:tcPr>
            <w:tcW w:w="6265" w:type="dxa"/>
            <w:noWrap w:val="0"/>
            <w:vAlign w:val="center"/>
          </w:tcPr>
          <w:p w14:paraId="413A5692">
            <w:pPr>
              <w:pStyle w:val="43"/>
              <w:bidi w:val="0"/>
              <w:rPr>
                <w:rFonts w:hint="default"/>
                <w:highlight w:val="yellow"/>
                <w:lang w:eastAsia="zh-CN"/>
              </w:rPr>
            </w:pPr>
            <w:r>
              <w:rPr>
                <w:rFonts w:hint="eastAsia"/>
                <w:highlight w:val="none"/>
                <w:lang w:eastAsia="zh-CN"/>
              </w:rPr>
              <w:t>云南省文山州砚山县江那镇铳卡石门坎</w:t>
            </w:r>
          </w:p>
        </w:tc>
      </w:tr>
      <w:tr w14:paraId="13156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noWrap w:val="0"/>
            <w:vAlign w:val="center"/>
          </w:tcPr>
          <w:p w14:paraId="1D9413C3">
            <w:pPr>
              <w:pStyle w:val="43"/>
              <w:bidi w:val="0"/>
              <w:rPr>
                <w:rFonts w:hint="default"/>
              </w:rPr>
            </w:pPr>
            <w:r>
              <w:rPr>
                <w:rFonts w:hint="default"/>
              </w:rPr>
              <w:t>地理坐标</w:t>
            </w:r>
          </w:p>
        </w:tc>
        <w:tc>
          <w:tcPr>
            <w:tcW w:w="6265" w:type="dxa"/>
            <w:noWrap w:val="0"/>
            <w:vAlign w:val="center"/>
          </w:tcPr>
          <w:p w14:paraId="54AF5E7E">
            <w:pPr>
              <w:pStyle w:val="43"/>
              <w:bidi w:val="0"/>
              <w:rPr>
                <w:rFonts w:hint="default"/>
                <w:highlight w:val="yellow"/>
              </w:rPr>
            </w:pPr>
            <w:r>
              <w:t>东经104°17′56.355″－104°18′9.379″，北纬23°40′43.439″－23°41′7.378″</w:t>
            </w:r>
          </w:p>
        </w:tc>
      </w:tr>
      <w:tr w14:paraId="38F33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noWrap w:val="0"/>
            <w:vAlign w:val="center"/>
          </w:tcPr>
          <w:p w14:paraId="0D54017C">
            <w:pPr>
              <w:pStyle w:val="43"/>
              <w:bidi w:val="0"/>
              <w:rPr>
                <w:rFonts w:hint="default"/>
              </w:rPr>
            </w:pPr>
            <w:r>
              <w:rPr>
                <w:rFonts w:hint="default"/>
              </w:rPr>
              <w:t>主要危险物质及分布</w:t>
            </w:r>
          </w:p>
        </w:tc>
        <w:tc>
          <w:tcPr>
            <w:tcW w:w="6265" w:type="dxa"/>
            <w:noWrap w:val="0"/>
            <w:vAlign w:val="center"/>
          </w:tcPr>
          <w:p w14:paraId="1C97A241">
            <w:pPr>
              <w:pStyle w:val="44"/>
              <w:bidi w:val="0"/>
              <w:rPr>
                <w:rFonts w:hint="default"/>
              </w:rPr>
            </w:pPr>
            <w:r>
              <w:rPr>
                <w:rFonts w:hint="default"/>
              </w:rPr>
              <w:t>①</w:t>
            </w:r>
            <w:r>
              <w:rPr>
                <w:rFonts w:hint="eastAsia"/>
                <w:lang w:val="en-US" w:eastAsia="zh-CN"/>
              </w:rPr>
              <w:t>维修间</w:t>
            </w:r>
            <w:r>
              <w:rPr>
                <w:rFonts w:hint="default"/>
              </w:rPr>
              <w:t>：废机油，属于目录中</w:t>
            </w:r>
            <w:r>
              <w:rPr>
                <w:rFonts w:hint="eastAsia"/>
                <w:lang w:eastAsia="zh-CN"/>
              </w:rPr>
              <w:t>“</w:t>
            </w:r>
            <w:r>
              <w:rPr>
                <w:rFonts w:hint="default"/>
              </w:rPr>
              <w:t>381、油类物质</w:t>
            </w:r>
            <w:r>
              <w:rPr>
                <w:rFonts w:hint="eastAsia"/>
                <w:lang w:eastAsia="zh-CN"/>
              </w:rPr>
              <w:t>”</w:t>
            </w:r>
            <w:r>
              <w:rPr>
                <w:rFonts w:hint="default"/>
              </w:rPr>
              <w:t>，最大存在总量为0.</w:t>
            </w:r>
            <w:r>
              <w:rPr>
                <w:rFonts w:hint="eastAsia"/>
                <w:lang w:val="en-US" w:eastAsia="zh-CN"/>
              </w:rPr>
              <w:t>05</w:t>
            </w:r>
            <w:r>
              <w:rPr>
                <w:rFonts w:hint="default"/>
              </w:rPr>
              <w:t>t。</w:t>
            </w:r>
          </w:p>
          <w:p w14:paraId="5C0E30D9">
            <w:pPr>
              <w:pStyle w:val="44"/>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eastAsia"/>
                <w:lang w:val="en-US" w:eastAsia="zh-CN"/>
              </w:rPr>
              <w:t>表土堆场</w:t>
            </w:r>
            <w:r>
              <w:rPr>
                <w:rFonts w:hint="default"/>
              </w:rPr>
              <w:t>。</w:t>
            </w:r>
          </w:p>
        </w:tc>
      </w:tr>
      <w:tr w14:paraId="742D9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noWrap w:val="0"/>
            <w:vAlign w:val="center"/>
          </w:tcPr>
          <w:p w14:paraId="25B0E097">
            <w:pPr>
              <w:pStyle w:val="43"/>
              <w:bidi w:val="0"/>
              <w:rPr>
                <w:rFonts w:hint="default"/>
              </w:rPr>
            </w:pPr>
            <w:r>
              <w:rPr>
                <w:rFonts w:hint="default"/>
              </w:rPr>
              <w:t>环境影响</w:t>
            </w:r>
            <w:r>
              <w:rPr>
                <w:rFonts w:hint="eastAsia"/>
                <w:lang w:eastAsia="zh-CN"/>
              </w:rPr>
              <w:t>途径</w:t>
            </w:r>
            <w:r>
              <w:rPr>
                <w:rFonts w:hint="default"/>
              </w:rPr>
              <w:t>及危险后果</w:t>
            </w:r>
          </w:p>
        </w:tc>
        <w:tc>
          <w:tcPr>
            <w:tcW w:w="6265" w:type="dxa"/>
            <w:noWrap w:val="0"/>
            <w:vAlign w:val="center"/>
          </w:tcPr>
          <w:p w14:paraId="43ECD541">
            <w:pPr>
              <w:pStyle w:val="44"/>
              <w:bidi w:val="0"/>
              <w:rPr>
                <w:rFonts w:hint="default"/>
              </w:rPr>
            </w:pPr>
            <w:r>
              <w:rPr>
                <w:rFonts w:hint="default"/>
              </w:rPr>
              <w:t>①废机油发生</w:t>
            </w:r>
            <w:r>
              <w:rPr>
                <w:rFonts w:hint="default"/>
                <w:lang w:eastAsia="zh-CN"/>
              </w:rPr>
              <w:t>泄漏</w:t>
            </w:r>
            <w:r>
              <w:rPr>
                <w:rFonts w:hint="default"/>
              </w:rPr>
              <w:t>后通过流淌、浸透等方式对地表水环境、土壤以及敏感目标产生影响；</w:t>
            </w:r>
          </w:p>
          <w:p w14:paraId="13F77B4B">
            <w:pPr>
              <w:pStyle w:val="44"/>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eastAsia"/>
                <w:lang w:val="en-US" w:eastAsia="zh-CN"/>
              </w:rPr>
              <w:t>表土堆场</w:t>
            </w:r>
            <w:r>
              <w:rPr>
                <w:rFonts w:hint="default"/>
              </w:rPr>
              <w:t>发生溃坝后对下游产生的影响。</w:t>
            </w:r>
          </w:p>
        </w:tc>
      </w:tr>
      <w:tr w14:paraId="5938E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vMerge w:val="restart"/>
            <w:noWrap w:val="0"/>
            <w:vAlign w:val="center"/>
          </w:tcPr>
          <w:p w14:paraId="7192D1DD">
            <w:pPr>
              <w:pStyle w:val="43"/>
              <w:bidi w:val="0"/>
              <w:rPr>
                <w:rFonts w:hint="default"/>
              </w:rPr>
            </w:pPr>
            <w:r>
              <w:rPr>
                <w:rFonts w:hint="default"/>
              </w:rPr>
              <w:t>风险防范措施要求</w:t>
            </w:r>
          </w:p>
        </w:tc>
        <w:tc>
          <w:tcPr>
            <w:tcW w:w="6265" w:type="dxa"/>
            <w:noWrap w:val="0"/>
            <w:vAlign w:val="center"/>
          </w:tcPr>
          <w:p w14:paraId="444CD6DC">
            <w:pPr>
              <w:pStyle w:val="44"/>
              <w:bidi w:val="0"/>
              <w:rPr>
                <w:rFonts w:hint="default"/>
              </w:rPr>
            </w:pPr>
            <w:r>
              <w:rPr>
                <w:rFonts w:hint="eastAsia"/>
                <w:lang w:eastAsia="zh-CN"/>
              </w:rPr>
              <w:t>废机油泄漏</w:t>
            </w:r>
            <w:r>
              <w:rPr>
                <w:rFonts w:hint="eastAsia"/>
                <w:lang w:val="en-US" w:eastAsia="zh-CN"/>
              </w:rPr>
              <w:t>风险</w:t>
            </w:r>
            <w:r>
              <w:rPr>
                <w:rFonts w:hint="default"/>
              </w:rPr>
              <w:t>防范措施：</w:t>
            </w:r>
          </w:p>
          <w:p w14:paraId="140526D0">
            <w:pPr>
              <w:pStyle w:val="44"/>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default"/>
              </w:rPr>
              <w:t>配备消防灭火器材等；加强明火管理。制定救援方案，组织演习，使每个职工都会使用消防器材，有效地扑救初期火灾。</w:t>
            </w:r>
          </w:p>
          <w:p w14:paraId="1581E307">
            <w:pPr>
              <w:pStyle w:val="44"/>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强化对工作人员的安全教育、操作技能培训工作，严格遵守各类安全管理规章制度和岗位操作规程。</w:t>
            </w:r>
          </w:p>
        </w:tc>
      </w:tr>
      <w:tr w14:paraId="1BD1D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58" w:type="dxa"/>
            <w:vMerge w:val="continue"/>
            <w:noWrap w:val="0"/>
            <w:vAlign w:val="center"/>
          </w:tcPr>
          <w:p w14:paraId="67237611">
            <w:pPr>
              <w:pStyle w:val="43"/>
              <w:bidi w:val="0"/>
              <w:rPr>
                <w:rFonts w:hint="default"/>
              </w:rPr>
            </w:pPr>
          </w:p>
        </w:tc>
        <w:tc>
          <w:tcPr>
            <w:tcW w:w="6265" w:type="dxa"/>
            <w:noWrap w:val="0"/>
            <w:vAlign w:val="center"/>
          </w:tcPr>
          <w:p w14:paraId="57683366">
            <w:pPr>
              <w:pStyle w:val="44"/>
              <w:bidi w:val="0"/>
              <w:rPr>
                <w:rFonts w:hint="default"/>
              </w:rPr>
            </w:pPr>
            <w:r>
              <w:rPr>
                <w:rFonts w:hint="eastAsia"/>
                <w:lang w:val="en-US" w:eastAsia="zh-CN"/>
              </w:rPr>
              <w:t>表土堆场</w:t>
            </w:r>
            <w:r>
              <w:rPr>
                <w:rFonts w:hint="default"/>
              </w:rPr>
              <w:t>滑坡、泥石流</w:t>
            </w:r>
            <w:r>
              <w:rPr>
                <w:rFonts w:hint="eastAsia"/>
                <w:lang w:val="en-US" w:eastAsia="zh-CN"/>
              </w:rPr>
              <w:t>风险</w:t>
            </w:r>
            <w:r>
              <w:rPr>
                <w:rFonts w:hint="default"/>
              </w:rPr>
              <w:t>防范措施：</w:t>
            </w:r>
          </w:p>
          <w:p w14:paraId="3560AE2D">
            <w:pPr>
              <w:pStyle w:val="44"/>
              <w:bidi w:val="0"/>
              <w:rPr>
                <w:rFonts w:hint="default"/>
                <w:lang w:val="en-US" w:eastAsia="zh-CN"/>
              </w:rPr>
            </w:pPr>
            <w:r>
              <w:rPr>
                <w:rFonts w:hint="default"/>
                <w:lang w:val="en-US" w:eastAsia="zh-CN"/>
              </w:rPr>
              <w:t>①</w:t>
            </w:r>
            <w:r>
              <w:rPr>
                <w:rFonts w:hint="eastAsia"/>
                <w:lang w:val="en-US" w:eastAsia="zh-CN"/>
              </w:rPr>
              <w:t>表土堆场</w:t>
            </w:r>
            <w:r>
              <w:rPr>
                <w:rFonts w:hint="default"/>
                <w:lang w:val="en-US" w:eastAsia="zh-CN"/>
              </w:rPr>
              <w:t>截排水沟设计时应提高防洪标准，避免弃渣场暴雨条件下泥石流灾害发生。</w:t>
            </w:r>
          </w:p>
          <w:p w14:paraId="4DC56592">
            <w:pPr>
              <w:pStyle w:val="44"/>
              <w:bidi w:val="0"/>
              <w:rPr>
                <w:rFonts w:hint="default"/>
                <w:lang w:val="en-US" w:eastAsia="zh-CN"/>
              </w:rPr>
            </w:pPr>
            <w:r>
              <w:rPr>
                <w:rFonts w:hint="default"/>
                <w:lang w:val="en-US" w:eastAsia="zh-CN"/>
              </w:rPr>
              <w:t>②若雨季可能引发弃渣场滑坡、泥石流时，应立即向当地主管部门报告，及时采取有效措施防止生态破坏。</w:t>
            </w:r>
          </w:p>
          <w:p w14:paraId="1DD80ED0">
            <w:pPr>
              <w:pStyle w:val="44"/>
              <w:bidi w:val="0"/>
              <w:rPr>
                <w:rFonts w:hint="default"/>
                <w:lang w:val="en-US" w:eastAsia="zh-CN"/>
              </w:rPr>
            </w:pPr>
            <w:r>
              <w:rPr>
                <w:rFonts w:hint="default"/>
                <w:lang w:val="en-US" w:eastAsia="zh-CN"/>
              </w:rPr>
              <w:t>③若</w:t>
            </w:r>
            <w:r>
              <w:rPr>
                <w:rFonts w:hint="eastAsia"/>
                <w:lang w:val="en-US" w:eastAsia="zh-CN"/>
              </w:rPr>
              <w:t>表土堆场</w:t>
            </w:r>
            <w:r>
              <w:rPr>
                <w:rFonts w:hint="default"/>
                <w:lang w:val="en-US" w:eastAsia="zh-CN"/>
              </w:rPr>
              <w:t>排水系统毁坏或堵塞，应及时疏通修复。一方面应立即向当地政府报告，组织专业人员抢险。</w:t>
            </w:r>
          </w:p>
          <w:p w14:paraId="5A0593D1">
            <w:pPr>
              <w:pStyle w:val="44"/>
              <w:bidi w:val="0"/>
              <w:rPr>
                <w:rFonts w:hint="default"/>
                <w:lang w:val="en-US" w:eastAsia="zh-CN"/>
              </w:rPr>
            </w:pPr>
            <w:r>
              <w:rPr>
                <w:rFonts w:hint="default"/>
                <w:lang w:val="en-US" w:eastAsia="zh-CN"/>
              </w:rPr>
              <w:t>④雨季定期检查截排水设施、挡土墙，发现问题及时修理。</w:t>
            </w:r>
          </w:p>
        </w:tc>
      </w:tr>
      <w:tr w14:paraId="31E85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323" w:type="dxa"/>
            <w:gridSpan w:val="2"/>
            <w:noWrap w:val="0"/>
            <w:vAlign w:val="center"/>
          </w:tcPr>
          <w:p w14:paraId="6E6CD5EB">
            <w:pPr>
              <w:pStyle w:val="44"/>
              <w:bidi w:val="0"/>
              <w:rPr>
                <w:rFonts w:hint="default"/>
              </w:rPr>
            </w:pPr>
            <w:r>
              <w:rPr>
                <w:rFonts w:hint="default"/>
              </w:rPr>
              <w:t>填表说明（列出项目相关信息及评价说明）：</w:t>
            </w:r>
          </w:p>
          <w:p w14:paraId="72DB1785">
            <w:pPr>
              <w:pStyle w:val="44"/>
              <w:bidi w:val="0"/>
              <w:rPr>
                <w:rFonts w:hint="default"/>
              </w:rPr>
            </w:pPr>
            <w:r>
              <w:rPr>
                <w:rFonts w:hint="default"/>
              </w:rPr>
              <w:t>根据项目Q值计算，判定环境风险潜势为I，项目环境风险为简单分析。</w:t>
            </w:r>
          </w:p>
          <w:p w14:paraId="503FBE45">
            <w:pPr>
              <w:pStyle w:val="44"/>
              <w:bidi w:val="0"/>
              <w:rPr>
                <w:rFonts w:hint="default"/>
              </w:rPr>
            </w:pPr>
            <w:r>
              <w:rPr>
                <w:rFonts w:hint="default"/>
              </w:rPr>
              <w:t>本项目拟采取的环境风险防范措施有效可行。项目环境风险可防控，总体环境风险小。</w:t>
            </w:r>
          </w:p>
        </w:tc>
      </w:tr>
    </w:tbl>
    <w:p w14:paraId="6C6A0290">
      <w:pPr>
        <w:bidi w:val="0"/>
        <w:rPr>
          <w:rFonts w:hint="default" w:ascii="Times New Roman" w:hAnsi="Times New Roman" w:cs="Times New Roman"/>
          <w:color w:val="000000" w:themeColor="text1"/>
          <w:highlight w:val="none"/>
          <w14:textFill>
            <w14:solidFill>
              <w14:schemeClr w14:val="tx1"/>
            </w14:solidFill>
          </w14:textFill>
        </w:rPr>
      </w:pPr>
    </w:p>
    <w:p w14:paraId="6C2F9B1E">
      <w:pPr>
        <w:pStyle w:val="2"/>
        <w:bidi w:val="0"/>
        <w:rPr>
          <w:rFonts w:hint="default"/>
          <w:lang w:val="en-US" w:eastAsia="zh-CN"/>
        </w:rPr>
      </w:pPr>
      <w:bookmarkStart w:id="494" w:name="_Toc31651"/>
      <w:r>
        <w:rPr>
          <w:rFonts w:hint="default"/>
        </w:rPr>
        <w:t>环境保护对策措施</w:t>
      </w:r>
      <w:r>
        <w:rPr>
          <w:rFonts w:hint="eastAsia"/>
          <w:lang w:val="en-US" w:eastAsia="zh-CN"/>
        </w:rPr>
        <w:t>及其可行性论证</w:t>
      </w:r>
      <w:bookmarkEnd w:id="494"/>
    </w:p>
    <w:p w14:paraId="0DB13968">
      <w:pPr>
        <w:pStyle w:val="3"/>
        <w:bidi w:val="0"/>
        <w:rPr>
          <w:rFonts w:hint="default" w:ascii="Times New Roman" w:hAnsi="Times New Roman" w:cs="Times New Roman"/>
          <w:color w:val="000000" w:themeColor="text1"/>
          <w:highlight w:val="none"/>
          <w14:textFill>
            <w14:solidFill>
              <w14:schemeClr w14:val="tx1"/>
            </w14:solidFill>
          </w14:textFill>
        </w:rPr>
      </w:pPr>
      <w:bookmarkStart w:id="495" w:name="_Toc9107"/>
      <w:r>
        <w:rPr>
          <w:rFonts w:hint="default" w:ascii="Times New Roman" w:hAnsi="Times New Roman" w:cs="Times New Roman"/>
          <w:color w:val="000000" w:themeColor="text1"/>
          <w:highlight w:val="none"/>
          <w14:textFill>
            <w14:solidFill>
              <w14:schemeClr w14:val="tx1"/>
            </w14:solidFill>
          </w14:textFill>
        </w:rPr>
        <w:t>生态环境保护对策措施</w:t>
      </w:r>
      <w:bookmarkEnd w:id="495"/>
    </w:p>
    <w:p w14:paraId="60F68A11">
      <w:pPr>
        <w:pStyle w:val="4"/>
        <w:bidi w:val="0"/>
        <w:rPr>
          <w:rFonts w:hint="eastAsia"/>
          <w:lang w:eastAsia="zh-CN"/>
        </w:rPr>
      </w:pPr>
      <w:bookmarkStart w:id="496" w:name="_Toc21342"/>
      <w:bookmarkStart w:id="497" w:name="_Toc103874865"/>
      <w:bookmarkStart w:id="498" w:name="_Toc472759544"/>
      <w:bookmarkStart w:id="499" w:name="_Toc224641841"/>
      <w:r>
        <w:rPr>
          <w:rFonts w:hint="eastAsia"/>
        </w:rPr>
        <w:t>避让措施</w:t>
      </w:r>
      <w:bookmarkEnd w:id="496"/>
      <w:bookmarkEnd w:id="497"/>
      <w:bookmarkEnd w:id="498"/>
      <w:bookmarkEnd w:id="499"/>
    </w:p>
    <w:p w14:paraId="7D539B94">
      <w:pPr>
        <w:pStyle w:val="41"/>
        <w:bidi w:val="0"/>
      </w:pPr>
      <w:r>
        <w:rPr>
          <w:rFonts w:hint="eastAsia"/>
        </w:rPr>
        <w:t>（1）在矿山开采过程中，须严格控制占地红线，严禁超矿权范围开采，严禁施工人员砍伐、破坏矿区范围外的植被，严禁在征地范围外堆渣、堆矿等。设置施工范围、施工活动警示牌，避免采矿活动超范围用地，破坏</w:t>
      </w:r>
      <w:r>
        <w:rPr>
          <w:rFonts w:hint="eastAsia"/>
          <w:lang w:val="en-US" w:eastAsia="zh-CN"/>
        </w:rPr>
        <w:t>周边植被</w:t>
      </w:r>
      <w:r>
        <w:rPr>
          <w:rFonts w:hint="eastAsia"/>
        </w:rPr>
        <w:t>。</w:t>
      </w:r>
    </w:p>
    <w:p w14:paraId="6387898C">
      <w:pPr>
        <w:pStyle w:val="41"/>
        <w:bidi w:val="0"/>
      </w:pPr>
      <w:r>
        <w:rPr>
          <w:rFonts w:hint="eastAsia"/>
          <w:lang w:eastAsia="zh-CN"/>
        </w:rPr>
        <w:t>（</w:t>
      </w:r>
      <w:r>
        <w:rPr>
          <w:rFonts w:hint="eastAsia"/>
          <w:lang w:val="en-US" w:eastAsia="zh-CN"/>
        </w:rPr>
        <w:t>2）</w:t>
      </w:r>
      <w:r>
        <w:rPr>
          <w:rFonts w:hint="eastAsia"/>
        </w:rPr>
        <w:t>项目实施过程中要严格进行保护，严禁破坏。工程实施期间加强工作人员生态环境保护宣传教育，严禁对占地范围外的植被、植物及红椿等重要植物进行破坏。</w:t>
      </w:r>
    </w:p>
    <w:p w14:paraId="4554AD95">
      <w:pPr>
        <w:pStyle w:val="41"/>
        <w:bidi w:val="0"/>
        <w:rPr>
          <w:rFonts w:hint="eastAsia"/>
        </w:rPr>
      </w:pPr>
      <w:r>
        <w:rPr>
          <w:rFonts w:hint="eastAsia"/>
        </w:rPr>
        <w:t>（</w:t>
      </w:r>
      <w:r>
        <w:rPr>
          <w:rFonts w:hint="eastAsia"/>
          <w:lang w:val="en-US" w:eastAsia="zh-CN"/>
        </w:rPr>
        <w:t>3</w:t>
      </w:r>
      <w:r>
        <w:rPr>
          <w:rFonts w:hint="eastAsia"/>
        </w:rPr>
        <w:t>）</w:t>
      </w:r>
      <w:r>
        <w:t>加强对施工人员</w:t>
      </w:r>
      <w:r>
        <w:rPr>
          <w:rFonts w:hint="eastAsia"/>
        </w:rPr>
        <w:t>、运营期工作人员</w:t>
      </w:r>
      <w:r>
        <w:t>进行</w:t>
      </w:r>
      <w:r>
        <w:rPr>
          <w:rFonts w:hint="eastAsia"/>
        </w:rPr>
        <w:t>生态</w:t>
      </w:r>
      <w:r>
        <w:t>环境教育、生物多样性保护教育及有关</w:t>
      </w:r>
      <w:r>
        <w:rPr>
          <w:rFonts w:hint="eastAsia"/>
          <w:lang w:eastAsia="zh-CN"/>
        </w:rPr>
        <w:t>法律法规</w:t>
      </w:r>
      <w:r>
        <w:t>的宣传教育</w:t>
      </w:r>
      <w:r>
        <w:rPr>
          <w:rFonts w:hint="eastAsia"/>
        </w:rPr>
        <w:t>。严禁工作人员猎杀兽类，严禁捕蛇、打鸟、捉野鸡、捉蛙等非法狩猎行为，严禁食用野生动物（野味）。</w:t>
      </w:r>
    </w:p>
    <w:p w14:paraId="77D9F4DA">
      <w:pPr>
        <w:pStyle w:val="41"/>
        <w:bidi w:val="0"/>
      </w:pPr>
      <w:r>
        <w:t>（</w:t>
      </w:r>
      <w:r>
        <w:rPr>
          <w:rFonts w:hint="eastAsia"/>
          <w:lang w:val="en-US" w:eastAsia="zh-CN"/>
        </w:rPr>
        <w:t>4</w:t>
      </w:r>
      <w:r>
        <w:t>）项目实施期间，工作人员野外作业会带来野外火源管理的压力，必须把火的管理放在首要位置，常抓不懈，杜绝一切隐患。积极贯彻《森林防火条例》，加强防火宣传教育，时时敲响防火警钟，禁止在草坡、灌丛地、林区附近吸烟和生火，做好生活和生产用火的火源管理，建立防火及火警警报系统和管理制度，明确责任制最大程度避免发生火灾。</w:t>
      </w:r>
    </w:p>
    <w:p w14:paraId="74747B14">
      <w:pPr>
        <w:pStyle w:val="4"/>
        <w:bidi w:val="0"/>
      </w:pPr>
      <w:bookmarkStart w:id="500" w:name="_Toc11613"/>
      <w:bookmarkStart w:id="501" w:name="_Toc224641842"/>
      <w:bookmarkStart w:id="502" w:name="_Toc103874866"/>
      <w:r>
        <w:rPr>
          <w:rFonts w:hint="eastAsia"/>
        </w:rPr>
        <w:t>减缓措施</w:t>
      </w:r>
      <w:bookmarkEnd w:id="500"/>
      <w:bookmarkEnd w:id="501"/>
      <w:bookmarkEnd w:id="502"/>
    </w:p>
    <w:p w14:paraId="20F02A8B">
      <w:pPr>
        <w:pStyle w:val="41"/>
        <w:bidi w:val="0"/>
        <w:rPr>
          <w:rFonts w:hint="eastAsia"/>
          <w:lang w:eastAsia="zh-CN"/>
        </w:rPr>
      </w:pPr>
      <w:r>
        <w:rPr>
          <w:rFonts w:hint="eastAsia"/>
        </w:rPr>
        <w:t>（</w:t>
      </w:r>
      <w:r>
        <w:t>1</w:t>
      </w:r>
      <w:r>
        <w:rPr>
          <w:rFonts w:hint="eastAsia"/>
        </w:rPr>
        <w:t>）按照自然资源部门规定组织编制</w:t>
      </w:r>
      <w:r>
        <w:t>《矿山地质环境保护与土地复垦方案》</w:t>
      </w:r>
      <w:r>
        <w:rPr>
          <w:rFonts w:hint="eastAsia"/>
          <w:lang w:eastAsia="zh-CN"/>
        </w:rPr>
        <w:t>，在</w:t>
      </w:r>
      <w:r>
        <w:rPr>
          <w:rFonts w:hint="eastAsia"/>
        </w:rPr>
        <w:t>项目实施过程中按照方案要求对矿山、破碎及堆料场地等进行预防控制措施及生态修复。矿山开采过程中应按照方案做好拦挡及截排水工程，控制损毁范围，避免造成更大范围的土地损毁。</w:t>
      </w:r>
    </w:p>
    <w:p w14:paraId="1B99149E">
      <w:pPr>
        <w:pStyle w:val="41"/>
        <w:bidi w:val="0"/>
      </w:pPr>
      <w:r>
        <w:rPr>
          <w:rFonts w:hint="eastAsia"/>
        </w:rPr>
        <w:t>（</w:t>
      </w:r>
      <w:r>
        <w:t>2</w:t>
      </w:r>
      <w:r>
        <w:rPr>
          <w:rFonts w:hint="eastAsia"/>
        </w:rPr>
        <w:t>）矿山方面应坚持</w:t>
      </w:r>
      <w:r>
        <w:rPr>
          <w:rFonts w:hint="eastAsia"/>
          <w:lang w:eastAsia="zh-CN"/>
        </w:rPr>
        <w:t>“</w:t>
      </w:r>
      <w:r>
        <w:rPr>
          <w:rFonts w:hint="eastAsia"/>
        </w:rPr>
        <w:t>边开采、边生态修复</w:t>
      </w:r>
      <w:r>
        <w:rPr>
          <w:rFonts w:hint="eastAsia"/>
          <w:lang w:eastAsia="zh-CN"/>
        </w:rPr>
        <w:t>”</w:t>
      </w:r>
      <w:r>
        <w:rPr>
          <w:rFonts w:hint="eastAsia"/>
        </w:rPr>
        <w:t>的方式，以减少土地损毁。对停止使用的采矿区应尽快覆盖土层进行植被恢复，避免采空区长期裸露，并加强管护、养护，保证恢复成效。植被恢复应</w:t>
      </w:r>
      <w:r>
        <w:t>乔、灌、</w:t>
      </w:r>
      <w:r>
        <w:rPr>
          <w:rFonts w:hint="eastAsia"/>
        </w:rPr>
        <w:t>藤、</w:t>
      </w:r>
      <w:r>
        <w:t>草结合，</w:t>
      </w:r>
      <w:r>
        <w:rPr>
          <w:rFonts w:hint="eastAsia"/>
        </w:rPr>
        <w:t>尽可能选用当地乡土物种，可选用云南松、栓皮栎、清香木、坡柳、狗牙根</w:t>
      </w:r>
      <w:r>
        <w:rPr>
          <w:rFonts w:hint="eastAsia"/>
          <w:lang w:val="pt-BR"/>
        </w:rPr>
        <w:t>等本土物种。</w:t>
      </w:r>
    </w:p>
    <w:p w14:paraId="03FF5861">
      <w:pPr>
        <w:pStyle w:val="41"/>
        <w:bidi w:val="0"/>
        <w:rPr>
          <w:rFonts w:hint="eastAsia"/>
        </w:rPr>
      </w:pPr>
      <w:r>
        <w:rPr>
          <w:rFonts w:hint="eastAsia"/>
        </w:rPr>
        <w:t>（</w:t>
      </w:r>
      <w:r>
        <w:t>3</w:t>
      </w:r>
      <w:r>
        <w:rPr>
          <w:rFonts w:hint="eastAsia"/>
        </w:rPr>
        <w:t>）采用先进的施工工艺和优良设备，严格规范施工，特别注意减少工程爆破噪声对鸟类和兽类的惊扰，尽量采用无声爆破或深孔松动式等爆破震动小的爆破方式等先进技术；做好爆破方式、数量、时间的计划，减轻施工噪声和震动对当地野生动物的影响；</w:t>
      </w:r>
    </w:p>
    <w:p w14:paraId="75BA7032">
      <w:pPr>
        <w:pStyle w:val="41"/>
        <w:bidi w:val="0"/>
        <w:rPr>
          <w:rFonts w:hint="eastAsia"/>
        </w:rPr>
      </w:pPr>
      <w:r>
        <w:rPr>
          <w:rFonts w:hint="eastAsia"/>
        </w:rPr>
        <w:t>（</w:t>
      </w:r>
      <w:r>
        <w:t>4</w:t>
      </w:r>
      <w:r>
        <w:rPr>
          <w:rFonts w:hint="eastAsia"/>
        </w:rPr>
        <w:t>）项目矿山开采期间注重污染物的治理，确保可利用废物能够得到资源化利用、污染物能达标排放，避免污染物事故排放对周围土壤环境产生影响。</w:t>
      </w:r>
    </w:p>
    <w:p w14:paraId="7C8252C7">
      <w:pPr>
        <w:pStyle w:val="41"/>
        <w:bidi w:val="0"/>
        <w:rPr>
          <w:rFonts w:hint="eastAsia"/>
        </w:rPr>
      </w:pPr>
      <w:r>
        <w:rPr>
          <w:rFonts w:hint="eastAsia"/>
        </w:rPr>
        <w:t>（</w:t>
      </w:r>
      <w:r>
        <w:rPr>
          <w:lang w:eastAsia="zh-CN"/>
        </w:rPr>
        <w:t>5</w:t>
      </w:r>
      <w:r>
        <w:rPr>
          <w:rFonts w:hint="eastAsia"/>
        </w:rPr>
        <w:t>）暂存施工、开采过程中的表土，</w:t>
      </w:r>
      <w:r>
        <w:t>用于土地复垦、</w:t>
      </w:r>
      <w:r>
        <w:rPr>
          <w:rFonts w:hint="eastAsia"/>
          <w:lang w:eastAsia="zh-CN"/>
        </w:rPr>
        <w:t>生态修复</w:t>
      </w:r>
      <w:r>
        <w:t>等环境恢复治理。</w:t>
      </w:r>
    </w:p>
    <w:p w14:paraId="1E8FAEC7">
      <w:pPr>
        <w:pStyle w:val="41"/>
        <w:bidi w:val="0"/>
      </w:pPr>
      <w:r>
        <w:rPr>
          <w:rFonts w:hint="eastAsia"/>
        </w:rPr>
        <w:t>（</w:t>
      </w:r>
      <w:r>
        <w:t>6</w:t>
      </w:r>
      <w:r>
        <w:rPr>
          <w:rFonts w:hint="eastAsia"/>
        </w:rPr>
        <w:t>）矿山服务期满后应</w:t>
      </w:r>
      <w:r>
        <w:t>尽</w:t>
      </w:r>
      <w:r>
        <w:rPr>
          <w:rFonts w:hint="eastAsia"/>
        </w:rPr>
        <w:t>快</w:t>
      </w:r>
      <w:r>
        <w:t>进行覆土绿化</w:t>
      </w:r>
      <w:r>
        <w:rPr>
          <w:rFonts w:hint="eastAsia"/>
        </w:rPr>
        <w:t>、植被恢复</w:t>
      </w:r>
      <w:r>
        <w:t>工作，恢复</w:t>
      </w:r>
      <w:r>
        <w:rPr>
          <w:rFonts w:hint="eastAsia"/>
        </w:rPr>
        <w:t>采空</w:t>
      </w:r>
      <w:r>
        <w:t>区的生态环境。对可能造成人身安全事故的采空区或</w:t>
      </w:r>
      <w:r>
        <w:rPr>
          <w:rFonts w:hint="eastAsia"/>
          <w:lang w:eastAsia="zh-CN"/>
        </w:rPr>
        <w:t>其他</w:t>
      </w:r>
      <w:r>
        <w:t>危险区，其周边要设立永久性安全警示牌。</w:t>
      </w:r>
    </w:p>
    <w:p w14:paraId="320F6887">
      <w:pPr>
        <w:pStyle w:val="4"/>
        <w:bidi w:val="0"/>
      </w:pPr>
      <w:bookmarkStart w:id="503" w:name="_Toc224641843"/>
      <w:bookmarkStart w:id="504" w:name="_Toc103874868"/>
      <w:bookmarkStart w:id="505" w:name="_Toc684"/>
      <w:r>
        <w:rPr>
          <w:rFonts w:hint="eastAsia"/>
        </w:rPr>
        <w:t>修复措施</w:t>
      </w:r>
      <w:bookmarkEnd w:id="503"/>
      <w:bookmarkEnd w:id="504"/>
      <w:bookmarkEnd w:id="505"/>
    </w:p>
    <w:p w14:paraId="4C914401">
      <w:pPr>
        <w:pStyle w:val="41"/>
        <w:bidi w:val="0"/>
      </w:pPr>
      <w:r>
        <w:rPr>
          <w:rFonts w:hint="eastAsia"/>
        </w:rPr>
        <w:t>（1）对矿区、采空区等采取必要的工程措施进行矿区的生态修复，如修建格构护坡、以形成一个格构防护网；在边坡上打入一定数量的锚杆或锚索，以防止岩体边坡或土体发生滑移；采取挂网喷播的方式播种植被恢复种子；修建排水沟达到边坡排水的目的；修建挡墙来防止边坡发生滑坡等。</w:t>
      </w:r>
    </w:p>
    <w:p w14:paraId="1A82944A">
      <w:pPr>
        <w:pStyle w:val="41"/>
        <w:bidi w:val="0"/>
      </w:pPr>
      <w:r>
        <w:rPr>
          <w:rFonts w:hint="eastAsia"/>
        </w:rPr>
        <w:t>（</w:t>
      </w:r>
      <w:r>
        <w:t>2</w:t>
      </w:r>
      <w:r>
        <w:rPr>
          <w:rFonts w:hint="eastAsia"/>
        </w:rPr>
        <w:t>）开采</w:t>
      </w:r>
      <w:r>
        <w:t>过程中注意保护好表层土壤，用于</w:t>
      </w:r>
      <w:r>
        <w:rPr>
          <w:rFonts w:hint="eastAsia"/>
        </w:rPr>
        <w:t>临时</w:t>
      </w:r>
      <w:r>
        <w:t>施工迹地</w:t>
      </w:r>
      <w:r>
        <w:rPr>
          <w:rFonts w:hint="eastAsia"/>
        </w:rPr>
        <w:t>、采空区</w:t>
      </w:r>
      <w:r>
        <w:t>的</w:t>
      </w:r>
      <w:r>
        <w:rPr>
          <w:rFonts w:hint="eastAsia"/>
        </w:rPr>
        <w:t>植被</w:t>
      </w:r>
      <w:r>
        <w:t>恢复。</w:t>
      </w:r>
      <w:r>
        <w:rPr>
          <w:rFonts w:hint="eastAsia"/>
        </w:rPr>
        <w:t>工程开采结束后</w:t>
      </w:r>
      <w:r>
        <w:t>应督促施工单位及时</w:t>
      </w:r>
      <w:r>
        <w:rPr>
          <w:rFonts w:hint="eastAsia"/>
        </w:rPr>
        <w:t>该区</w:t>
      </w:r>
      <w:r>
        <w:t>拆除临时建筑，清理和平整场地，恢复土层</w:t>
      </w:r>
      <w:r>
        <w:rPr>
          <w:rFonts w:hint="eastAsia"/>
        </w:rPr>
        <w:t>。临时施工迹地恢复可采用人工种植和封育相结合的方法进行生态恢复，要坚持因地制宜、优先选用乡土种等原则，并注重生态系统的整体性。</w:t>
      </w:r>
    </w:p>
    <w:p w14:paraId="66599C05">
      <w:pPr>
        <w:pStyle w:val="41"/>
        <w:bidi w:val="0"/>
        <w:rPr>
          <w:rFonts w:hint="eastAsia"/>
        </w:rPr>
      </w:pPr>
      <w:r>
        <w:rPr>
          <w:rFonts w:hint="eastAsia"/>
        </w:rPr>
        <w:t>（</w:t>
      </w:r>
      <w:r>
        <w:t>3</w:t>
      </w:r>
      <w:r>
        <w:rPr>
          <w:rFonts w:hint="eastAsia"/>
        </w:rPr>
        <w:t>）植被恢复及绿化过程中，宜</w:t>
      </w:r>
      <w:r>
        <w:t>采用当地植物进行</w:t>
      </w:r>
      <w:r>
        <w:rPr>
          <w:rFonts w:hint="eastAsia"/>
          <w:lang w:eastAsia="zh-CN"/>
        </w:rPr>
        <w:t>“</w:t>
      </w:r>
      <w:r>
        <w:t>恢复性</w:t>
      </w:r>
      <w:r>
        <w:rPr>
          <w:rFonts w:hint="eastAsia"/>
          <w:lang w:eastAsia="zh-CN"/>
        </w:rPr>
        <w:t>”</w:t>
      </w:r>
      <w:r>
        <w:t>种植，然后采取</w:t>
      </w:r>
      <w:r>
        <w:rPr>
          <w:rFonts w:hint="eastAsia"/>
          <w:lang w:eastAsia="zh-CN"/>
        </w:rPr>
        <w:t>“</w:t>
      </w:r>
      <w:r>
        <w:t>封育</w:t>
      </w:r>
      <w:r>
        <w:rPr>
          <w:rFonts w:hint="eastAsia"/>
          <w:lang w:eastAsia="zh-CN"/>
        </w:rPr>
        <w:t>”</w:t>
      </w:r>
      <w:r>
        <w:t>手段，促进自然恢复。在植被恢复及绿化过程中，应选择乡土树种及适合当地环境的植物，并注意乔、灌、草搭配的原则，同时要与周围的自然景观相协调统一</w:t>
      </w:r>
      <w:r>
        <w:rPr>
          <w:rFonts w:hint="eastAsia"/>
        </w:rPr>
        <w:t>，</w:t>
      </w:r>
      <w:r>
        <w:t>可选用</w:t>
      </w:r>
      <w:r>
        <w:rPr>
          <w:rFonts w:hint="eastAsia"/>
        </w:rPr>
        <w:t>云南松、栓皮栎、清香木、坡柳、狗牙根</w:t>
      </w:r>
      <w:r>
        <w:t>等</w:t>
      </w:r>
      <w:r>
        <w:rPr>
          <w:rFonts w:hint="eastAsia"/>
        </w:rPr>
        <w:t>当地植物</w:t>
      </w:r>
      <w:r>
        <w:t>。</w:t>
      </w:r>
    </w:p>
    <w:p w14:paraId="11896682">
      <w:pPr>
        <w:pStyle w:val="41"/>
        <w:bidi w:val="0"/>
      </w:pPr>
      <w:r>
        <w:rPr>
          <w:rFonts w:hint="eastAsia"/>
        </w:rPr>
        <w:t>（</w:t>
      </w:r>
      <w:r>
        <w:t>4</w:t>
      </w:r>
      <w:r>
        <w:rPr>
          <w:rFonts w:hint="eastAsia"/>
        </w:rPr>
        <w:t>）按照自然资源部门规定组织编制</w:t>
      </w:r>
      <w:r>
        <w:t>《矿山地质环境保护与土地复垦方案》</w:t>
      </w:r>
      <w:r>
        <w:rPr>
          <w:rFonts w:hint="eastAsia"/>
        </w:rPr>
        <w:t>，并严格落实方案提出的生态修复措施。矿山方面应坚持</w:t>
      </w:r>
      <w:r>
        <w:rPr>
          <w:rFonts w:hint="eastAsia"/>
          <w:lang w:eastAsia="zh-CN"/>
        </w:rPr>
        <w:t>“</w:t>
      </w:r>
      <w:r>
        <w:rPr>
          <w:rFonts w:hint="eastAsia"/>
        </w:rPr>
        <w:t>边开采、边生态修复</w:t>
      </w:r>
      <w:r>
        <w:rPr>
          <w:rFonts w:hint="eastAsia"/>
          <w:lang w:eastAsia="zh-CN"/>
        </w:rPr>
        <w:t>”</w:t>
      </w:r>
      <w:r>
        <w:rPr>
          <w:rFonts w:hint="eastAsia"/>
        </w:rPr>
        <w:t>的方式，对占用草地、林地区域，按照方案提出的生态修复方案恢复为林地、草地。</w:t>
      </w:r>
    </w:p>
    <w:p w14:paraId="5F772F88">
      <w:pPr>
        <w:pStyle w:val="4"/>
        <w:bidi w:val="0"/>
      </w:pPr>
      <w:bookmarkStart w:id="506" w:name="_Toc224641844"/>
      <w:bookmarkStart w:id="507" w:name="_Toc14985"/>
      <w:bookmarkStart w:id="508" w:name="_Toc103874867"/>
      <w:r>
        <w:rPr>
          <w:rFonts w:hint="eastAsia"/>
        </w:rPr>
        <w:t>补偿措施</w:t>
      </w:r>
      <w:bookmarkEnd w:id="506"/>
      <w:bookmarkEnd w:id="507"/>
      <w:bookmarkEnd w:id="508"/>
    </w:p>
    <w:p w14:paraId="304A5592">
      <w:pPr>
        <w:pStyle w:val="41"/>
        <w:bidi w:val="0"/>
      </w:pPr>
      <w:r>
        <w:rPr>
          <w:rFonts w:hint="eastAsia"/>
        </w:rPr>
        <w:t>（1）项目实施要永久性占用一部分林地、草地等，使这些资源受到损失，因此必须按照国家相关土地补偿标准予以补偿。应根据国家关于林地、草地补偿相关规定，向地方缴纳森林植被恢复费，补偿工程占地造成的损失，专款用于林地恢复、异地造林。同时，</w:t>
      </w:r>
      <w:r>
        <w:t>应严格按照有关规定向政府和主管部门办理征占用林草审核审批手续</w:t>
      </w:r>
      <w:r>
        <w:rPr>
          <w:rFonts w:hint="eastAsia"/>
        </w:rPr>
        <w:t>。</w:t>
      </w:r>
    </w:p>
    <w:p w14:paraId="088D0E57">
      <w:pPr>
        <w:pStyle w:val="41"/>
        <w:bidi w:val="0"/>
      </w:pPr>
      <w:r>
        <w:rPr>
          <w:rFonts w:hint="eastAsia"/>
        </w:rPr>
        <w:t>（2）</w:t>
      </w:r>
      <w:r>
        <w:t>同时</w:t>
      </w:r>
      <w:r>
        <w:rPr>
          <w:rFonts w:hint="eastAsia"/>
          <w:lang w:eastAsia="zh-CN"/>
        </w:rPr>
        <w:t>须</w:t>
      </w:r>
      <w:r>
        <w:t>按照《中华人民共和国水土保持法》等相关规定缴纳水土保持补偿费。</w:t>
      </w:r>
    </w:p>
    <w:p w14:paraId="44D7DF23">
      <w:pPr>
        <w:pStyle w:val="4"/>
        <w:bidi w:val="0"/>
      </w:pPr>
      <w:bookmarkStart w:id="509" w:name="_Toc1669"/>
      <w:bookmarkStart w:id="510" w:name="_Toc224641845"/>
      <w:r>
        <w:rPr>
          <w:rFonts w:hint="eastAsia"/>
        </w:rPr>
        <w:t>管理措施</w:t>
      </w:r>
      <w:bookmarkEnd w:id="509"/>
      <w:bookmarkEnd w:id="510"/>
    </w:p>
    <w:p w14:paraId="145D15AD">
      <w:pPr>
        <w:pStyle w:val="41"/>
        <w:bidi w:val="0"/>
      </w:pPr>
      <w:r>
        <w:rPr>
          <w:rFonts w:hint="eastAsia"/>
        </w:rPr>
        <w:t>（1）针对项目占用林地的情况，项目须取得林草主管部门的行政许可方可实施。</w:t>
      </w:r>
    </w:p>
    <w:p w14:paraId="58E7703E">
      <w:pPr>
        <w:pStyle w:val="41"/>
        <w:bidi w:val="0"/>
        <w:rPr>
          <w:rFonts w:hint="eastAsia"/>
        </w:rPr>
      </w:pPr>
      <w:r>
        <w:rPr>
          <w:rFonts w:hint="eastAsia"/>
        </w:rPr>
        <w:t>（</w:t>
      </w:r>
      <w:r>
        <w:t>2</w:t>
      </w:r>
      <w:r>
        <w:rPr>
          <w:rFonts w:hint="eastAsia"/>
        </w:rPr>
        <w:t>）应加强对工作人员进行环境教育、生物多样性保护及有关</w:t>
      </w:r>
      <w:r>
        <w:rPr>
          <w:rFonts w:hint="eastAsia"/>
          <w:lang w:eastAsia="zh-CN"/>
        </w:rPr>
        <w:t>法律法规</w:t>
      </w:r>
      <w:r>
        <w:rPr>
          <w:rFonts w:hint="eastAsia"/>
        </w:rPr>
        <w:t>的宣传教育。使其认识到生态环境保护的严肃性和重要性。并制定施工管理及奖惩制度，</w:t>
      </w:r>
      <w:r>
        <w:t>约束员工行为，明确岗位责任，</w:t>
      </w:r>
      <w:r>
        <w:rPr>
          <w:rFonts w:hint="eastAsia"/>
        </w:rPr>
        <w:t>避免施工行为扩大对周边生态环境的影响范围。</w:t>
      </w:r>
    </w:p>
    <w:p w14:paraId="6A5C07A5">
      <w:pPr>
        <w:pStyle w:val="41"/>
        <w:bidi w:val="0"/>
      </w:pPr>
      <w:r>
        <w:rPr>
          <w:rFonts w:hint="eastAsia"/>
        </w:rPr>
        <w:t>（</w:t>
      </w:r>
      <w:r>
        <w:t>3</w:t>
      </w:r>
      <w:r>
        <w:rPr>
          <w:rFonts w:hint="eastAsia"/>
        </w:rPr>
        <w:t>）项目矿山开采应加强管理</w:t>
      </w:r>
      <w:r>
        <w:t>，</w:t>
      </w:r>
      <w:r>
        <w:rPr>
          <w:rFonts w:hint="eastAsia"/>
          <w:lang w:eastAsia="zh-CN"/>
        </w:rPr>
        <w:t>增强</w:t>
      </w:r>
      <w:r>
        <w:t>管理者的消防意识，避免火灾</w:t>
      </w:r>
      <w:r>
        <w:rPr>
          <w:rFonts w:hint="eastAsia"/>
        </w:rPr>
        <w:t>等灾害</w:t>
      </w:r>
      <w:r>
        <w:t>的发生。</w:t>
      </w:r>
      <w:r>
        <w:rPr>
          <w:rFonts w:hint="eastAsia"/>
        </w:rPr>
        <w:t>植被恢复区应</w:t>
      </w:r>
      <w:r>
        <w:t>注意</w:t>
      </w:r>
      <w:r>
        <w:rPr>
          <w:rFonts w:hint="eastAsia"/>
        </w:rPr>
        <w:t>加强</w:t>
      </w:r>
      <w:r>
        <w:t>管理巡查，</w:t>
      </w:r>
      <w:r>
        <w:rPr>
          <w:rFonts w:hint="eastAsia"/>
        </w:rPr>
        <w:t>做好浇水、施肥保障、管护、补种等措施，若发现种植的植物死亡，应查明死亡原因，并进行补种和加强管理。</w:t>
      </w:r>
    </w:p>
    <w:p w14:paraId="19BABB95">
      <w:pPr>
        <w:pStyle w:val="41"/>
        <w:bidi w:val="0"/>
      </w:pPr>
      <w:r>
        <w:rPr>
          <w:rFonts w:hint="eastAsia"/>
        </w:rPr>
        <w:t>（</w:t>
      </w:r>
      <w:r>
        <w:t>4</w:t>
      </w:r>
      <w:r>
        <w:rPr>
          <w:rFonts w:hint="eastAsia"/>
        </w:rPr>
        <w:t>）项目矿山开采须严格执行国家及地方生态环境保护法律法规。</w:t>
      </w:r>
    </w:p>
    <w:p w14:paraId="5AB399A4">
      <w:pPr>
        <w:pStyle w:val="4"/>
        <w:bidi w:val="0"/>
      </w:pPr>
      <w:bookmarkStart w:id="511" w:name="_Toc19436"/>
      <w:bookmarkStart w:id="512" w:name="_Toc14091"/>
      <w:bookmarkStart w:id="513" w:name="_Toc112259036"/>
      <w:bookmarkStart w:id="514" w:name="_Toc224641846"/>
      <w:r>
        <w:rPr>
          <w:rFonts w:hint="eastAsia"/>
        </w:rPr>
        <w:t>闭矿期生态恢复</w:t>
      </w:r>
      <w:bookmarkEnd w:id="511"/>
      <w:r>
        <w:rPr>
          <w:rFonts w:hint="eastAsia"/>
        </w:rPr>
        <w:t>措施</w:t>
      </w:r>
      <w:bookmarkEnd w:id="512"/>
      <w:bookmarkEnd w:id="513"/>
      <w:bookmarkEnd w:id="514"/>
    </w:p>
    <w:p w14:paraId="4EEF4A25">
      <w:pPr>
        <w:pStyle w:val="41"/>
        <w:bidi w:val="0"/>
        <w:rPr>
          <w:lang w:val="zh-CN"/>
        </w:rPr>
      </w:pPr>
      <w:r>
        <w:rPr>
          <w:lang w:val="zh-CN"/>
        </w:rPr>
        <w:t>采矿区在衰竭后期至报废后的时段内，与初采期和盛采期相比，对自然环境和社会环境的影响因素及影响程度均经历从量变到质变的过程。通过采取积极的对策，即可避免一系列的社会与环境负面影响，使区域发展趋于正常化。针对本项目所采取的生产工艺及其对生态环境的影响，对于闭矿期生态恢复情况，现拟定以下几点措施：</w:t>
      </w:r>
    </w:p>
    <w:p w14:paraId="3DF254E4">
      <w:pPr>
        <w:pStyle w:val="41"/>
        <w:bidi w:val="0"/>
        <w:rPr>
          <w:lang w:val="zh-CN"/>
        </w:rPr>
      </w:pPr>
      <w:r>
        <w:rPr>
          <w:lang w:val="zh-CN"/>
        </w:rPr>
        <w:t>（1）</w:t>
      </w:r>
      <w:r>
        <w:rPr>
          <w:rFonts w:hint="eastAsia"/>
          <w:lang w:val="en-US" w:eastAsia="zh-CN"/>
        </w:rPr>
        <w:t>表土堆场</w:t>
      </w:r>
      <w:r>
        <w:rPr>
          <w:rFonts w:hint="eastAsia"/>
          <w:lang w:val="zh-CN"/>
        </w:rPr>
        <w:t>等</w:t>
      </w:r>
      <w:r>
        <w:rPr>
          <w:lang w:val="zh-CN"/>
        </w:rPr>
        <w:t>停止使用时，</w:t>
      </w:r>
      <w:r>
        <w:rPr>
          <w:rFonts w:hint="eastAsia"/>
          <w:lang w:val="zh-CN"/>
        </w:rPr>
        <w:t>边坡修建挡墙防止其滑坡，</w:t>
      </w:r>
      <w:r>
        <w:rPr>
          <w:lang w:val="zh-CN"/>
        </w:rPr>
        <w:t>在其</w:t>
      </w:r>
      <w:r>
        <w:t>上</w:t>
      </w:r>
      <w:r>
        <w:rPr>
          <w:lang w:val="zh-CN"/>
        </w:rPr>
        <w:t>覆表土，然后</w:t>
      </w:r>
      <w:r>
        <w:rPr>
          <w:rFonts w:hint="eastAsia"/>
          <w:lang w:val="zh-CN"/>
        </w:rPr>
        <w:t>按照建设单位后期组织编制的</w:t>
      </w:r>
      <w:r>
        <w:rPr>
          <w:rFonts w:hint="eastAsia"/>
        </w:rPr>
        <w:t>《</w:t>
      </w:r>
      <w:r>
        <w:t>矿山地质环境保护与土地复垦方案</w:t>
      </w:r>
      <w:r>
        <w:rPr>
          <w:rFonts w:hint="eastAsia"/>
        </w:rPr>
        <w:t>》</w:t>
      </w:r>
      <w:r>
        <w:rPr>
          <w:lang w:val="zh-CN"/>
        </w:rPr>
        <w:t>进行</w:t>
      </w:r>
      <w:r>
        <w:rPr>
          <w:rFonts w:hint="eastAsia"/>
          <w:lang w:val="zh-CN"/>
        </w:rPr>
        <w:t>生态修复，恢复物种选用当地乡土物种，乔灌草结合，并定期进入养护，保证其成活率。</w:t>
      </w:r>
    </w:p>
    <w:p w14:paraId="112F12A9">
      <w:pPr>
        <w:pStyle w:val="41"/>
        <w:bidi w:val="0"/>
        <w:rPr>
          <w:lang w:val="zh-CN"/>
        </w:rPr>
      </w:pPr>
      <w:r>
        <w:rPr>
          <w:lang w:val="zh-CN"/>
        </w:rPr>
        <w:t>（2）工业场地内所有建筑物全部拆除，并对场地进行平整，然后覆土进行植被恢复</w:t>
      </w:r>
      <w:r>
        <w:rPr>
          <w:rFonts w:hint="eastAsia"/>
          <w:lang w:val="zh-CN"/>
        </w:rPr>
        <w:t>。</w:t>
      </w:r>
    </w:p>
    <w:p w14:paraId="63C71C04">
      <w:pPr>
        <w:pStyle w:val="41"/>
        <w:bidi w:val="0"/>
      </w:pPr>
      <w:r>
        <w:t>（3）</w:t>
      </w:r>
      <w:r>
        <w:rPr>
          <w:rFonts w:hint="eastAsia"/>
        </w:rPr>
        <w:t>矿山须坚持</w:t>
      </w:r>
      <w:r>
        <w:rPr>
          <w:rFonts w:hint="eastAsia"/>
          <w:lang w:eastAsia="zh-CN"/>
        </w:rPr>
        <w:t>“</w:t>
      </w:r>
      <w:r>
        <w:rPr>
          <w:rFonts w:hint="eastAsia"/>
        </w:rPr>
        <w:t>边开采、边生态修复</w:t>
      </w:r>
      <w:r>
        <w:rPr>
          <w:rFonts w:hint="eastAsia"/>
          <w:lang w:eastAsia="zh-CN"/>
        </w:rPr>
        <w:t>”</w:t>
      </w:r>
      <w:r>
        <w:rPr>
          <w:rFonts w:hint="eastAsia"/>
        </w:rPr>
        <w:t>的方式进行生态恢复。</w:t>
      </w:r>
      <w:r>
        <w:t>在矿体采空之后，对采场进行封场，在关停过程中要防止矿山地质灾害和重大安全事故的发生，应采取相应的工程治理措施，清除开采边坡上的危石，将地质灾害发生的可能性降到最低程度。对可能造成人身安全事故的采空区或</w:t>
      </w:r>
      <w:r>
        <w:rPr>
          <w:rFonts w:hint="eastAsia"/>
          <w:lang w:eastAsia="zh-CN"/>
        </w:rPr>
        <w:t>其他</w:t>
      </w:r>
      <w:r>
        <w:t>危险区，其周边要设立永久性安全警示牌。同时要做好采场表土、废石的清理、复垦还绿工作。</w:t>
      </w:r>
    </w:p>
    <w:p w14:paraId="2C3D3C3A">
      <w:pPr>
        <w:pStyle w:val="41"/>
        <w:bidi w:val="0"/>
      </w:pPr>
      <w:r>
        <w:t>（4）对露采坑采用生产剥离的废石进行回填，用推土机整平压实。将储存于排土场内的生产剥离表土用于土地复垦、植被恢复等环境恢复治理。</w:t>
      </w:r>
    </w:p>
    <w:p w14:paraId="02014762">
      <w:pPr>
        <w:pStyle w:val="41"/>
        <w:bidi w:val="0"/>
        <w:rPr>
          <w:rFonts w:hint="eastAsia"/>
        </w:rPr>
      </w:pPr>
      <w:r>
        <w:t>（5）</w:t>
      </w:r>
      <w:r>
        <w:rPr>
          <w:rFonts w:hint="eastAsia"/>
        </w:rPr>
        <w:t>矿山闭</w:t>
      </w:r>
      <w:r>
        <w:rPr>
          <w:rFonts w:hint="eastAsia"/>
          <w:lang w:eastAsia="zh-CN"/>
        </w:rPr>
        <w:t>矿山生态修复</w:t>
      </w:r>
      <w:r>
        <w:t>宜就地采集当地植物的种子、幼苗进行种植，不能采用外来入侵物种。植被恢复力求创造多样性的生态环境条件，尽可能利用自然条件，包括土壤、种子，避免过于单一化和人工化，须注意乔、灌、草的结合，避免</w:t>
      </w:r>
      <w:r>
        <w:rPr>
          <w:rFonts w:hint="eastAsia"/>
          <w:lang w:eastAsia="zh-CN"/>
        </w:rPr>
        <w:t>“</w:t>
      </w:r>
      <w:r>
        <w:t>园林化</w:t>
      </w:r>
      <w:r>
        <w:rPr>
          <w:rFonts w:hint="eastAsia"/>
          <w:lang w:eastAsia="zh-CN"/>
        </w:rPr>
        <w:t>”</w:t>
      </w:r>
      <w:r>
        <w:t>恢复倾向。进行植被恢复时</w:t>
      </w:r>
      <w:r>
        <w:rPr>
          <w:rFonts w:hint="eastAsia"/>
        </w:rPr>
        <w:t>尽可能选用当地乡土物种，可选用云南松、栓皮栎、清香木、坡柳、狗牙根</w:t>
      </w:r>
      <w:r>
        <w:rPr>
          <w:rFonts w:hint="eastAsia"/>
          <w:lang w:val="pt-BR"/>
        </w:rPr>
        <w:t>等本土物种</w:t>
      </w:r>
      <w:r>
        <w:rPr>
          <w:lang w:val="pt-BR"/>
        </w:rPr>
        <w:t>，</w:t>
      </w:r>
      <w:r>
        <w:rPr>
          <w:rFonts w:hint="eastAsia"/>
        </w:rPr>
        <w:t>严禁使用外来入侵物种如桉树、银荆树、紫茎泽兰等</w:t>
      </w:r>
      <w:r>
        <w:t>。</w:t>
      </w:r>
      <w:r>
        <w:rPr>
          <w:rFonts w:hint="eastAsia"/>
          <w:lang w:val="pt-BR"/>
        </w:rPr>
        <w:t>须</w:t>
      </w:r>
      <w:r>
        <w:rPr>
          <w:lang w:val="pt-BR"/>
        </w:rPr>
        <w:t>同时采用多种植物进行植被恢复，避免恢复区植物</w:t>
      </w:r>
      <w:r>
        <w:rPr>
          <w:rFonts w:hint="eastAsia"/>
          <w:lang w:val="pt-BR"/>
        </w:rPr>
        <w:t>单一</w:t>
      </w:r>
      <w:r>
        <w:rPr>
          <w:lang w:val="pt-BR"/>
        </w:rPr>
        <w:t>化</w:t>
      </w:r>
      <w:r>
        <w:t>。</w:t>
      </w:r>
    </w:p>
    <w:p w14:paraId="570FFF19">
      <w:pPr>
        <w:pStyle w:val="41"/>
        <w:bidi w:val="0"/>
      </w:pPr>
      <w:r>
        <w:rPr>
          <w:rFonts w:hint="eastAsia"/>
        </w:rPr>
        <w:t>（6）按照</w:t>
      </w:r>
      <w:r>
        <w:t>《矿山地质环境保护与土地复垦方案》</w:t>
      </w:r>
      <w:r>
        <w:rPr>
          <w:rFonts w:hint="eastAsia"/>
        </w:rPr>
        <w:t>实施闭</w:t>
      </w:r>
      <w:r>
        <w:rPr>
          <w:rFonts w:hint="eastAsia"/>
          <w:lang w:eastAsia="zh-CN"/>
        </w:rPr>
        <w:t>矿山生态修复</w:t>
      </w:r>
      <w:r>
        <w:rPr>
          <w:rFonts w:hint="eastAsia"/>
        </w:rPr>
        <w:t>。</w:t>
      </w:r>
    </w:p>
    <w:p w14:paraId="427FA319">
      <w:pPr>
        <w:pStyle w:val="3"/>
        <w:bidi w:val="0"/>
        <w:rPr>
          <w:rFonts w:hint="default" w:ascii="Times New Roman" w:hAnsi="Times New Roman" w:cs="Times New Roman"/>
          <w:color w:val="000000" w:themeColor="text1"/>
          <w:highlight w:val="none"/>
          <w14:textFill>
            <w14:solidFill>
              <w14:schemeClr w14:val="tx1"/>
            </w14:solidFill>
          </w14:textFill>
        </w:rPr>
      </w:pPr>
      <w:bookmarkStart w:id="515" w:name="_Toc17589"/>
      <w:r>
        <w:rPr>
          <w:rFonts w:hint="default" w:ascii="Times New Roman" w:hAnsi="Times New Roman" w:cs="Times New Roman"/>
          <w:color w:val="000000" w:themeColor="text1"/>
          <w:highlight w:val="none"/>
          <w14:textFill>
            <w14:solidFill>
              <w14:schemeClr w14:val="tx1"/>
            </w14:solidFill>
          </w14:textFill>
        </w:rPr>
        <w:t>大气环境保护对策措施</w:t>
      </w:r>
      <w:bookmarkEnd w:id="515"/>
    </w:p>
    <w:p w14:paraId="6247DAF8">
      <w:pPr>
        <w:pStyle w:val="4"/>
        <w:bidi w:val="0"/>
        <w:rPr>
          <w:rFonts w:hint="default"/>
          <w:lang w:val="en-US" w:eastAsia="zh-CN"/>
        </w:rPr>
      </w:pPr>
      <w:bookmarkStart w:id="516" w:name="_Toc22378"/>
      <w:r>
        <w:rPr>
          <w:rFonts w:hint="default"/>
          <w:lang w:val="en-US" w:eastAsia="zh-CN"/>
        </w:rPr>
        <w:t>施工期环境空气保护措施</w:t>
      </w:r>
      <w:bookmarkEnd w:id="516"/>
    </w:p>
    <w:p w14:paraId="42DE320A">
      <w:pPr>
        <w:pStyle w:val="41"/>
        <w:bidi w:val="0"/>
        <w:rPr>
          <w:rFonts w:hint="default"/>
          <w:lang w:eastAsia="zh-CN"/>
        </w:rPr>
      </w:pPr>
      <w:r>
        <w:rPr>
          <w:rFonts w:hint="eastAsia"/>
          <w:lang w:eastAsia="zh-CN"/>
        </w:rPr>
        <w:t>（</w:t>
      </w:r>
      <w:r>
        <w:rPr>
          <w:rFonts w:hint="eastAsia"/>
          <w:lang w:val="en-US" w:eastAsia="zh-CN"/>
        </w:rPr>
        <w:t>1）</w:t>
      </w:r>
      <w:r>
        <w:rPr>
          <w:rFonts w:hint="default"/>
          <w:lang w:eastAsia="zh-CN"/>
        </w:rPr>
        <w:t>将扬尘污染防治费用列入工程造价，在施工合同中明确施工单位的扬尘污染防治责任。施工单位应当制定具体的施工扬尘污染防治实施方案。</w:t>
      </w:r>
    </w:p>
    <w:p w14:paraId="2123E531">
      <w:pPr>
        <w:pStyle w:val="41"/>
        <w:bidi w:val="0"/>
        <w:rPr>
          <w:rFonts w:hint="default"/>
          <w:lang w:eastAsia="zh-CN"/>
        </w:rPr>
      </w:pPr>
      <w:r>
        <w:rPr>
          <w:rFonts w:hint="eastAsia"/>
          <w:lang w:eastAsia="zh-CN"/>
        </w:rPr>
        <w:t>（</w:t>
      </w:r>
      <w:r>
        <w:rPr>
          <w:rFonts w:hint="eastAsia"/>
          <w:lang w:val="en-US" w:eastAsia="zh-CN"/>
        </w:rPr>
        <w:t>2）</w:t>
      </w:r>
      <w:r>
        <w:rPr>
          <w:rFonts w:hint="default"/>
          <w:lang w:eastAsia="zh-CN"/>
        </w:rPr>
        <w:t>遇到干燥、易起尘的土方工程作业时，应辅以洒水抑尘，尽量缩短起尘操作时间。四级或四级以上大风天气，应停止土方作业。</w:t>
      </w:r>
    </w:p>
    <w:p w14:paraId="282F4B21">
      <w:pPr>
        <w:pStyle w:val="41"/>
        <w:bidi w:val="0"/>
        <w:rPr>
          <w:rFonts w:hint="default"/>
          <w:lang w:eastAsia="zh-CN"/>
        </w:rPr>
      </w:pPr>
      <w:r>
        <w:rPr>
          <w:rFonts w:hint="eastAsia"/>
          <w:lang w:eastAsia="zh-CN"/>
        </w:rPr>
        <w:t>（</w:t>
      </w:r>
      <w:r>
        <w:rPr>
          <w:rFonts w:hint="eastAsia"/>
          <w:lang w:val="en-US" w:eastAsia="zh-CN"/>
        </w:rPr>
        <w:t>3）</w:t>
      </w:r>
      <w:r>
        <w:rPr>
          <w:rFonts w:hint="default"/>
          <w:lang w:eastAsia="zh-CN"/>
        </w:rPr>
        <w:t>运输车辆进入施工场地要限速行驶，谨防运输车辆装载过满，并采取遮盖、密闭措施，防止或减少其沿途抛洒，车辆及各类设备工具应定期清洁，运输道路定时洒水抑尘，减少运输过程中的扬尘。</w:t>
      </w:r>
    </w:p>
    <w:p w14:paraId="6B7CA505">
      <w:pPr>
        <w:pStyle w:val="41"/>
        <w:bidi w:val="0"/>
        <w:rPr>
          <w:rFonts w:hint="default"/>
          <w:lang w:eastAsia="zh-CN"/>
        </w:rPr>
      </w:pPr>
      <w:r>
        <w:rPr>
          <w:rFonts w:hint="eastAsia"/>
          <w:lang w:eastAsia="zh-CN"/>
        </w:rPr>
        <w:t>（</w:t>
      </w:r>
      <w:r>
        <w:rPr>
          <w:rFonts w:hint="eastAsia"/>
          <w:lang w:val="en-US" w:eastAsia="zh-CN"/>
        </w:rPr>
        <w:t>4）</w:t>
      </w:r>
      <w:r>
        <w:rPr>
          <w:rFonts w:hint="default"/>
          <w:lang w:eastAsia="zh-CN"/>
        </w:rPr>
        <w:t>加强对机械、车辆的维修保养，禁止以柴油为燃料的施工机械超负荷工作，减少烟尘和颗粒物的排放。</w:t>
      </w:r>
    </w:p>
    <w:p w14:paraId="6B1C0130">
      <w:pPr>
        <w:pStyle w:val="4"/>
        <w:bidi w:val="0"/>
        <w:rPr>
          <w:rFonts w:hint="default"/>
          <w:lang w:val="en-US" w:eastAsia="zh-CN"/>
        </w:rPr>
      </w:pPr>
      <w:bookmarkStart w:id="517" w:name="_Toc15055"/>
      <w:r>
        <w:rPr>
          <w:rFonts w:hint="default"/>
          <w:lang w:val="en-US" w:eastAsia="zh-CN"/>
        </w:rPr>
        <w:t>运行期环境空气保护措施</w:t>
      </w:r>
      <w:bookmarkEnd w:id="517"/>
    </w:p>
    <w:p w14:paraId="3C9D3433">
      <w:pPr>
        <w:pStyle w:val="41"/>
        <w:bidi w:val="0"/>
        <w:rPr>
          <w:rFonts w:hint="default"/>
        </w:rPr>
      </w:pPr>
      <w:r>
        <w:rPr>
          <w:rFonts w:hint="eastAsia"/>
          <w:lang w:eastAsia="zh-CN"/>
        </w:rPr>
        <w:t>（</w:t>
      </w:r>
      <w:r>
        <w:rPr>
          <w:rFonts w:hint="eastAsia"/>
          <w:lang w:val="en-US" w:eastAsia="zh-CN"/>
        </w:rPr>
        <w:t>1）加工区</w:t>
      </w:r>
      <w:r>
        <w:rPr>
          <w:rFonts w:hint="default"/>
        </w:rPr>
        <w:t>和产品堆场区域设置彩钢结构厂房</w:t>
      </w:r>
      <w:r>
        <w:rPr>
          <w:rFonts w:hint="eastAsia"/>
          <w:lang w:eastAsia="zh-CN"/>
        </w:rPr>
        <w:t>，</w:t>
      </w:r>
      <w:r>
        <w:rPr>
          <w:rFonts w:hint="default"/>
        </w:rPr>
        <w:t>地面硬化处理</w:t>
      </w:r>
      <w:r>
        <w:rPr>
          <w:rFonts w:hint="eastAsia"/>
          <w:lang w:eastAsia="zh-CN"/>
        </w:rPr>
        <w:t>，</w:t>
      </w:r>
      <w:r>
        <w:rPr>
          <w:rFonts w:hint="default"/>
        </w:rPr>
        <w:t>顶部建设洒水喷雾系统</w:t>
      </w:r>
      <w:r>
        <w:rPr>
          <w:rFonts w:hint="eastAsia"/>
          <w:lang w:eastAsia="zh-CN"/>
        </w:rPr>
        <w:t>，</w:t>
      </w:r>
      <w:r>
        <w:rPr>
          <w:rFonts w:hint="default"/>
        </w:rPr>
        <w:t>内部物料传输皮带加装防尘罩；在砂石加工工序（破碎工序、筛分和打砂工序）设置集气罩收集粉尘并经布袋除尘器</w:t>
      </w:r>
      <w:r>
        <w:rPr>
          <w:rFonts w:hint="default"/>
          <w:lang w:val="en-US" w:eastAsia="zh-CN"/>
        </w:rPr>
        <w:t>处理</w:t>
      </w:r>
      <w:r>
        <w:rPr>
          <w:rFonts w:hint="eastAsia"/>
          <w:lang w:val="en-US" w:eastAsia="zh-CN"/>
        </w:rPr>
        <w:t>达标后经15m高DA001排气筒排放</w:t>
      </w:r>
      <w:r>
        <w:rPr>
          <w:rFonts w:hint="default"/>
        </w:rPr>
        <w:t>；</w:t>
      </w:r>
    </w:p>
    <w:p w14:paraId="2E7F8E44">
      <w:pPr>
        <w:pStyle w:val="41"/>
        <w:bidi w:val="0"/>
        <w:rPr>
          <w:rFonts w:hint="default"/>
        </w:rPr>
      </w:pPr>
      <w:r>
        <w:rPr>
          <w:rFonts w:hint="eastAsia"/>
          <w:lang w:eastAsia="zh-CN"/>
        </w:rPr>
        <w:t>（</w:t>
      </w:r>
      <w:r>
        <w:rPr>
          <w:rFonts w:hint="eastAsia"/>
          <w:lang w:val="en-US" w:eastAsia="zh-CN"/>
        </w:rPr>
        <w:t>2）</w:t>
      </w:r>
      <w:r>
        <w:rPr>
          <w:rFonts w:hint="default"/>
        </w:rPr>
        <w:t>配备洒水车、雾炮机</w:t>
      </w:r>
      <w:r>
        <w:rPr>
          <w:rFonts w:hint="eastAsia"/>
          <w:lang w:eastAsia="zh-CN"/>
        </w:rPr>
        <w:t>，</w:t>
      </w:r>
      <w:r>
        <w:rPr>
          <w:rFonts w:hint="eastAsia"/>
          <w:lang w:val="en-US" w:eastAsia="zh-CN"/>
        </w:rPr>
        <w:t>晴天对露天采场</w:t>
      </w:r>
      <w:r>
        <w:rPr>
          <w:rFonts w:hint="default"/>
        </w:rPr>
        <w:t>、</w:t>
      </w:r>
      <w:r>
        <w:rPr>
          <w:rFonts w:hint="eastAsia"/>
          <w:lang w:val="en-US" w:eastAsia="zh-CN"/>
        </w:rPr>
        <w:t>表土堆场、弃渣场</w:t>
      </w:r>
      <w:r>
        <w:rPr>
          <w:rFonts w:hint="default"/>
        </w:rPr>
        <w:t>、</w:t>
      </w:r>
      <w:r>
        <w:rPr>
          <w:rFonts w:hint="eastAsia"/>
          <w:lang w:val="en-US" w:eastAsia="zh-CN"/>
        </w:rPr>
        <w:t>堆料场</w:t>
      </w:r>
      <w:r>
        <w:rPr>
          <w:rFonts w:hint="default"/>
        </w:rPr>
        <w:t>、运输道路区进行洒水降尘和保洁；</w:t>
      </w:r>
    </w:p>
    <w:p w14:paraId="07E8BC50">
      <w:pPr>
        <w:pStyle w:val="41"/>
        <w:bidi w:val="0"/>
        <w:rPr>
          <w:rFonts w:hint="default"/>
        </w:rPr>
      </w:pPr>
      <w:r>
        <w:rPr>
          <w:rFonts w:hint="eastAsia"/>
          <w:lang w:val="en-US" w:eastAsia="zh-CN"/>
        </w:rPr>
        <w:t>（3）</w:t>
      </w:r>
      <w:r>
        <w:rPr>
          <w:rFonts w:hint="default"/>
        </w:rPr>
        <w:t>采矿完毕后进行复垦</w:t>
      </w:r>
      <w:r>
        <w:rPr>
          <w:rFonts w:hint="eastAsia"/>
          <w:lang w:eastAsia="zh-CN"/>
        </w:rPr>
        <w:t>，</w:t>
      </w:r>
      <w:r>
        <w:rPr>
          <w:rFonts w:hint="default"/>
        </w:rPr>
        <w:t>复垦的工程措施和生物措施同步</w:t>
      </w:r>
      <w:r>
        <w:rPr>
          <w:rFonts w:hint="eastAsia"/>
          <w:lang w:eastAsia="zh-CN"/>
        </w:rPr>
        <w:t>，</w:t>
      </w:r>
      <w:r>
        <w:rPr>
          <w:rFonts w:hint="default"/>
        </w:rPr>
        <w:t>尽早恢复场地植被</w:t>
      </w:r>
      <w:r>
        <w:rPr>
          <w:rFonts w:hint="eastAsia"/>
          <w:lang w:eastAsia="zh-CN"/>
        </w:rPr>
        <w:t>，</w:t>
      </w:r>
      <w:r>
        <w:rPr>
          <w:rFonts w:hint="default"/>
        </w:rPr>
        <w:t>干燥季节施工采取洒水降尘措施</w:t>
      </w:r>
      <w:r>
        <w:rPr>
          <w:rFonts w:hint="eastAsia"/>
          <w:lang w:eastAsia="zh-CN"/>
        </w:rPr>
        <w:t>，</w:t>
      </w:r>
      <w:r>
        <w:rPr>
          <w:rFonts w:hint="default"/>
        </w:rPr>
        <w:t>减少扬尘点；</w:t>
      </w:r>
    </w:p>
    <w:p w14:paraId="0D90BAE6">
      <w:pPr>
        <w:pStyle w:val="41"/>
        <w:bidi w:val="0"/>
        <w:rPr>
          <w:rFonts w:hint="default"/>
        </w:rPr>
      </w:pPr>
      <w:r>
        <w:rPr>
          <w:rFonts w:hint="eastAsia"/>
          <w:lang w:val="en-US" w:eastAsia="zh-CN"/>
        </w:rPr>
        <w:t>（4）</w:t>
      </w:r>
      <w:r>
        <w:rPr>
          <w:rFonts w:hint="default"/>
        </w:rPr>
        <w:t>降低装卸物料的高度</w:t>
      </w:r>
      <w:r>
        <w:rPr>
          <w:rFonts w:hint="eastAsia"/>
          <w:lang w:eastAsia="zh-CN"/>
        </w:rPr>
        <w:t>，</w:t>
      </w:r>
      <w:r>
        <w:rPr>
          <w:rFonts w:hint="default"/>
        </w:rPr>
        <w:t>减少装卸扬尘</w:t>
      </w:r>
      <w:r>
        <w:rPr>
          <w:rFonts w:hint="eastAsia"/>
          <w:lang w:eastAsia="zh-CN"/>
        </w:rPr>
        <w:t>，</w:t>
      </w:r>
      <w:r>
        <w:rPr>
          <w:rFonts w:hint="default"/>
        </w:rPr>
        <w:t>严禁从高处直接抛撒</w:t>
      </w:r>
      <w:r>
        <w:rPr>
          <w:rFonts w:hint="eastAsia"/>
          <w:lang w:val="en-US" w:eastAsia="zh-CN"/>
        </w:rPr>
        <w:t>弃土、废石</w:t>
      </w:r>
      <w:r>
        <w:rPr>
          <w:rFonts w:hint="default"/>
        </w:rPr>
        <w:t>；</w:t>
      </w:r>
    </w:p>
    <w:p w14:paraId="1782D697">
      <w:pPr>
        <w:pStyle w:val="41"/>
        <w:bidi w:val="0"/>
        <w:rPr>
          <w:rFonts w:hint="default"/>
        </w:rPr>
      </w:pPr>
      <w:r>
        <w:rPr>
          <w:rFonts w:hint="eastAsia"/>
          <w:lang w:val="en-US" w:eastAsia="zh-CN"/>
        </w:rPr>
        <w:t>（5）</w:t>
      </w:r>
      <w:r>
        <w:rPr>
          <w:rFonts w:hint="default"/>
        </w:rPr>
        <w:t>运输车辆物料采取遮盖措施</w:t>
      </w:r>
      <w:r>
        <w:rPr>
          <w:rFonts w:hint="eastAsia"/>
          <w:lang w:eastAsia="zh-CN"/>
        </w:rPr>
        <w:t>，</w:t>
      </w:r>
      <w:r>
        <w:rPr>
          <w:rFonts w:hint="default"/>
        </w:rPr>
        <w:t>控制车辆速度</w:t>
      </w:r>
      <w:r>
        <w:rPr>
          <w:rFonts w:hint="eastAsia"/>
          <w:lang w:eastAsia="zh-CN"/>
        </w:rPr>
        <w:t>，</w:t>
      </w:r>
      <w:r>
        <w:rPr>
          <w:rFonts w:hint="default"/>
        </w:rPr>
        <w:t>减少道路扬尘产生；</w:t>
      </w:r>
    </w:p>
    <w:p w14:paraId="40F8BFEB">
      <w:pPr>
        <w:pStyle w:val="41"/>
        <w:bidi w:val="0"/>
        <w:rPr>
          <w:rFonts w:hint="default"/>
        </w:rPr>
      </w:pPr>
      <w:r>
        <w:rPr>
          <w:rFonts w:hint="eastAsia"/>
          <w:lang w:val="en-US" w:eastAsia="zh-CN"/>
        </w:rPr>
        <w:t>（6）</w:t>
      </w:r>
      <w:r>
        <w:rPr>
          <w:rFonts w:hint="default"/>
        </w:rPr>
        <w:t>加强作业管理</w:t>
      </w:r>
      <w:r>
        <w:rPr>
          <w:rFonts w:hint="eastAsia"/>
          <w:lang w:eastAsia="zh-CN"/>
        </w:rPr>
        <w:t>，</w:t>
      </w:r>
      <w:r>
        <w:rPr>
          <w:rFonts w:hint="default"/>
        </w:rPr>
        <w:t>提倡文明作业</w:t>
      </w:r>
      <w:r>
        <w:rPr>
          <w:rFonts w:hint="eastAsia"/>
          <w:lang w:eastAsia="zh-CN"/>
        </w:rPr>
        <w:t>，</w:t>
      </w:r>
      <w:r>
        <w:rPr>
          <w:rFonts w:hint="default"/>
        </w:rPr>
        <w:t>避免野蛮作业造成不必要的扬尘污染。</w:t>
      </w:r>
    </w:p>
    <w:p w14:paraId="0E97CA0B">
      <w:pPr>
        <w:pStyle w:val="41"/>
        <w:bidi w:val="0"/>
        <w:rPr>
          <w:rFonts w:hint="default"/>
        </w:rPr>
      </w:pPr>
      <w:r>
        <w:rPr>
          <w:rFonts w:hint="default"/>
        </w:rPr>
        <w:t>经估算模式计算，项目产生的扬尘、粉尘在采取环评提出措施后，项目运营期厂界TSP的预测值满足《大气污染物综合排放标准》（GB 16297-1996）表2无组织排放监测浓度限值要求</w:t>
      </w:r>
      <w:r>
        <w:rPr>
          <w:rFonts w:hint="eastAsia"/>
          <w:lang w:val="en-US" w:eastAsia="zh-CN"/>
        </w:rPr>
        <w:t>，采取的大气环境保护措施可行。</w:t>
      </w:r>
    </w:p>
    <w:p w14:paraId="0194106B">
      <w:pPr>
        <w:pStyle w:val="3"/>
        <w:bidi w:val="0"/>
        <w:rPr>
          <w:rFonts w:hint="default" w:ascii="Times New Roman" w:hAnsi="Times New Roman" w:cs="Times New Roman"/>
          <w:color w:val="000000" w:themeColor="text1"/>
          <w:highlight w:val="none"/>
          <w14:textFill>
            <w14:solidFill>
              <w14:schemeClr w14:val="tx1"/>
            </w14:solidFill>
          </w14:textFill>
        </w:rPr>
      </w:pPr>
      <w:bookmarkStart w:id="518" w:name="_Toc24002"/>
      <w:r>
        <w:rPr>
          <w:rFonts w:hint="default" w:ascii="Times New Roman" w:hAnsi="Times New Roman" w:cs="Times New Roman"/>
          <w:color w:val="000000" w:themeColor="text1"/>
          <w:highlight w:val="none"/>
          <w14:textFill>
            <w14:solidFill>
              <w14:schemeClr w14:val="tx1"/>
            </w14:solidFill>
          </w14:textFill>
        </w:rPr>
        <w:t>水环境保护对策措施</w:t>
      </w:r>
      <w:bookmarkEnd w:id="518"/>
    </w:p>
    <w:p w14:paraId="31CECBDD">
      <w:pPr>
        <w:pStyle w:val="4"/>
        <w:bidi w:val="0"/>
        <w:rPr>
          <w:rFonts w:hint="default"/>
        </w:rPr>
      </w:pPr>
      <w:bookmarkStart w:id="519" w:name="_Toc28272"/>
      <w:r>
        <w:rPr>
          <w:rFonts w:hint="default"/>
        </w:rPr>
        <w:t>施工期水环境保护措施</w:t>
      </w:r>
      <w:bookmarkEnd w:id="519"/>
    </w:p>
    <w:p w14:paraId="7C8A6414">
      <w:pPr>
        <w:pStyle w:val="41"/>
        <w:bidi w:val="0"/>
        <w:rPr>
          <w:rFonts w:hint="default"/>
        </w:rPr>
      </w:pPr>
      <w:bookmarkStart w:id="520" w:name="_Toc27910"/>
      <w:r>
        <w:rPr>
          <w:rFonts w:hint="eastAsia"/>
          <w:lang w:val="en-US" w:eastAsia="zh-CN"/>
        </w:rPr>
        <w:t>生活污水</w:t>
      </w:r>
      <w:r>
        <w:rPr>
          <w:rFonts w:hint="default"/>
          <w:lang w:val="en-US" w:eastAsia="zh-CN"/>
        </w:rPr>
        <w:t>经</w:t>
      </w:r>
      <w:r>
        <w:rPr>
          <w:rFonts w:hint="eastAsia"/>
          <w:lang w:val="en-US" w:eastAsia="zh-CN"/>
        </w:rPr>
        <w:t>粪污收集池收集后周边农户定期清掏做农肥，项目无废水外排</w:t>
      </w:r>
      <w:r>
        <w:rPr>
          <w:rFonts w:hint="default"/>
        </w:rPr>
        <w:t>。</w:t>
      </w:r>
    </w:p>
    <w:p w14:paraId="2E666712">
      <w:pPr>
        <w:pStyle w:val="4"/>
        <w:bidi w:val="0"/>
        <w:rPr>
          <w:rFonts w:hint="default"/>
        </w:rPr>
      </w:pPr>
      <w:r>
        <w:rPr>
          <w:rFonts w:hint="default"/>
        </w:rPr>
        <w:t>运行期水环境保护措施</w:t>
      </w:r>
      <w:bookmarkEnd w:id="520"/>
    </w:p>
    <w:p w14:paraId="200AC3F3">
      <w:pPr>
        <w:pStyle w:val="41"/>
        <w:bidi w:val="0"/>
        <w:rPr>
          <w:rFonts w:hint="default"/>
          <w:lang w:val="en-US" w:eastAsia="zh-CN"/>
        </w:rPr>
      </w:pPr>
      <w:r>
        <w:rPr>
          <w:rFonts w:hint="eastAsia"/>
          <w:lang w:val="en-US" w:eastAsia="zh-CN"/>
        </w:rPr>
        <w:t>项目采用雨污分流制，外围区域设置截排水沟，各场地外的雨水通过截水沟排至项目区周边雨水沟渠</w:t>
      </w:r>
      <w:r>
        <w:rPr>
          <w:rFonts w:hint="default"/>
          <w:lang w:val="en-US" w:eastAsia="zh-CN"/>
        </w:rPr>
        <w:t>。</w:t>
      </w:r>
      <w:r>
        <w:rPr>
          <w:rFonts w:hint="eastAsia"/>
          <w:lang w:val="en-US" w:eastAsia="zh-CN"/>
        </w:rPr>
        <w:t>项目区内部各场地另设雨水收集系统，初期雨水经收集沉淀后回用于项目场地洒水降尘，生活污水</w:t>
      </w:r>
      <w:r>
        <w:rPr>
          <w:rFonts w:hint="default"/>
          <w:lang w:val="en-US" w:eastAsia="zh-CN"/>
        </w:rPr>
        <w:t>经</w:t>
      </w:r>
      <w:r>
        <w:rPr>
          <w:rFonts w:hint="eastAsia"/>
          <w:lang w:val="en-US" w:eastAsia="zh-CN"/>
        </w:rPr>
        <w:t>粪污收集池收集后周边农户定期清掏做农肥，项目无废水外排。</w:t>
      </w:r>
    </w:p>
    <w:p w14:paraId="6EB4C897">
      <w:pPr>
        <w:pStyle w:val="41"/>
        <w:bidi w:val="0"/>
        <w:rPr>
          <w:rFonts w:hint="default"/>
          <w:highlight w:val="none"/>
          <w:lang w:val="en-US" w:eastAsia="zh-CN"/>
        </w:rPr>
      </w:pPr>
      <w:r>
        <w:rPr>
          <w:rFonts w:hint="eastAsia"/>
          <w:highlight w:val="none"/>
          <w:lang w:val="en-US" w:eastAsia="zh-CN"/>
        </w:rPr>
        <w:t>根据地表水环境影响分析与评价章节，各股废水收集设施容积、处理工艺选择合理，经工程分析核算，废水产生总量小于厂区降尘用水量，废水回用不外排可行，水环境保护措施设置可行。</w:t>
      </w:r>
    </w:p>
    <w:p w14:paraId="2CC6E902">
      <w:pPr>
        <w:pStyle w:val="3"/>
        <w:bidi w:val="0"/>
        <w:rPr>
          <w:rFonts w:hint="default" w:ascii="Times New Roman" w:hAnsi="Times New Roman" w:cs="Times New Roman"/>
          <w:color w:val="000000" w:themeColor="text1"/>
          <w:highlight w:val="none"/>
          <w14:textFill>
            <w14:solidFill>
              <w14:schemeClr w14:val="tx1"/>
            </w14:solidFill>
          </w14:textFill>
        </w:rPr>
      </w:pPr>
      <w:bookmarkStart w:id="521" w:name="_Toc18388"/>
      <w:r>
        <w:rPr>
          <w:rFonts w:hint="default" w:ascii="Times New Roman" w:hAnsi="Times New Roman" w:cs="Times New Roman"/>
          <w:color w:val="000000" w:themeColor="text1"/>
          <w:highlight w:val="none"/>
          <w14:textFill>
            <w14:solidFill>
              <w14:schemeClr w14:val="tx1"/>
            </w14:solidFill>
          </w14:textFill>
        </w:rPr>
        <w:t>噪声防护对策</w:t>
      </w:r>
      <w:bookmarkEnd w:id="521"/>
    </w:p>
    <w:p w14:paraId="295B46F5">
      <w:pPr>
        <w:pStyle w:val="4"/>
        <w:bidi w:val="0"/>
        <w:rPr>
          <w:rFonts w:hint="default"/>
          <w:lang w:val="en-US" w:eastAsia="zh-CN"/>
        </w:rPr>
      </w:pPr>
      <w:bookmarkStart w:id="522" w:name="_Toc14949"/>
      <w:r>
        <w:rPr>
          <w:rFonts w:hint="default"/>
          <w:lang w:val="en-US" w:eastAsia="zh-CN"/>
        </w:rPr>
        <w:t>施工期噪声污染防护措施</w:t>
      </w:r>
      <w:bookmarkEnd w:id="522"/>
    </w:p>
    <w:p w14:paraId="37F62F9F">
      <w:pPr>
        <w:pStyle w:val="41"/>
        <w:bidi w:val="0"/>
        <w:rPr>
          <w:rFonts w:hint="default"/>
          <w:lang w:eastAsia="zh-CN"/>
        </w:rPr>
      </w:pPr>
      <w:r>
        <w:rPr>
          <w:rFonts w:hint="default"/>
          <w:lang w:eastAsia="zh-CN"/>
        </w:rPr>
        <w:t>（</w:t>
      </w:r>
      <w:r>
        <w:rPr>
          <w:rFonts w:hint="default"/>
          <w:lang w:val="en-US" w:eastAsia="zh-CN"/>
        </w:rPr>
        <w:t>1）</w:t>
      </w:r>
      <w:r>
        <w:rPr>
          <w:rFonts w:hint="default"/>
        </w:rPr>
        <w:t>优先采用低噪声机械进行作业</w:t>
      </w:r>
      <w:r>
        <w:rPr>
          <w:rFonts w:hint="default"/>
          <w:lang w:eastAsia="zh-CN"/>
        </w:rPr>
        <w:t>，</w:t>
      </w:r>
      <w:r>
        <w:rPr>
          <w:rFonts w:hint="default"/>
        </w:rPr>
        <w:t>设置机械</w:t>
      </w:r>
      <w:r>
        <w:rPr>
          <w:rFonts w:hint="eastAsia"/>
          <w:lang w:eastAsia="zh-CN"/>
        </w:rPr>
        <w:t>减振</w:t>
      </w:r>
      <w:r>
        <w:rPr>
          <w:rFonts w:hint="default"/>
          <w:lang w:eastAsia="zh-CN"/>
        </w:rPr>
        <w:t>，</w:t>
      </w:r>
      <w:r>
        <w:rPr>
          <w:rFonts w:hint="default"/>
        </w:rPr>
        <w:t>并做到定期保养和维护</w:t>
      </w:r>
      <w:r>
        <w:rPr>
          <w:rFonts w:hint="default"/>
          <w:lang w:eastAsia="zh-CN"/>
        </w:rPr>
        <w:t>，维持其最低噪声水平。</w:t>
      </w:r>
    </w:p>
    <w:p w14:paraId="48D7E6AA">
      <w:pPr>
        <w:pStyle w:val="41"/>
        <w:bidi w:val="0"/>
        <w:rPr>
          <w:rFonts w:hint="default"/>
          <w:lang w:eastAsia="zh-CN"/>
        </w:rPr>
      </w:pPr>
      <w:r>
        <w:rPr>
          <w:rFonts w:hint="default"/>
          <w:lang w:eastAsia="zh-CN"/>
        </w:rPr>
        <w:t>（</w:t>
      </w:r>
      <w:r>
        <w:rPr>
          <w:rFonts w:hint="default"/>
          <w:lang w:val="en-US" w:eastAsia="zh-CN"/>
        </w:rPr>
        <w:t>2）</w:t>
      </w:r>
      <w:r>
        <w:rPr>
          <w:rFonts w:hint="default"/>
          <w:lang w:eastAsia="zh-CN"/>
        </w:rPr>
        <w:t>合理安排施工时间，禁止夜间施工，如确需夜间施工的，报请相关管理部门和环境保护部门批准，在夜间施工前将施工时间、天数告知附近村民。</w:t>
      </w:r>
    </w:p>
    <w:p w14:paraId="23BF0F6B">
      <w:pPr>
        <w:pStyle w:val="41"/>
        <w:bidi w:val="0"/>
        <w:rPr>
          <w:rFonts w:hint="default"/>
          <w:lang w:eastAsia="zh-CN"/>
        </w:rPr>
      </w:pPr>
      <w:r>
        <w:rPr>
          <w:rFonts w:hint="default"/>
          <w:lang w:val="en-US" w:eastAsia="zh-CN"/>
        </w:rPr>
        <w:t>（3）</w:t>
      </w:r>
      <w:r>
        <w:rPr>
          <w:rFonts w:hint="default"/>
        </w:rPr>
        <w:t>运输车辆禁鸣区禁止机动车鸣喇叭</w:t>
      </w:r>
      <w:r>
        <w:rPr>
          <w:rFonts w:hint="default"/>
          <w:lang w:eastAsia="zh-CN"/>
        </w:rPr>
        <w:t>，</w:t>
      </w:r>
      <w:r>
        <w:rPr>
          <w:rFonts w:hint="default"/>
        </w:rPr>
        <w:t>严禁长时间鸣喇叭</w:t>
      </w:r>
      <w:r>
        <w:rPr>
          <w:rFonts w:hint="default"/>
          <w:lang w:eastAsia="zh-CN"/>
        </w:rPr>
        <w:t>。</w:t>
      </w:r>
    </w:p>
    <w:p w14:paraId="34499544">
      <w:pPr>
        <w:pStyle w:val="41"/>
        <w:bidi w:val="0"/>
        <w:rPr>
          <w:rFonts w:hint="default"/>
          <w:lang w:val="en-US" w:eastAsia="zh-CN"/>
        </w:rPr>
      </w:pPr>
      <w:r>
        <w:rPr>
          <w:rFonts w:hint="default"/>
          <w:lang w:val="en-US" w:eastAsia="zh-CN"/>
        </w:rPr>
        <w:t>（4）</w:t>
      </w:r>
      <w:r>
        <w:rPr>
          <w:rFonts w:hint="default"/>
        </w:rPr>
        <w:t>加强对施工人员的环境宣传和教育</w:t>
      </w:r>
      <w:r>
        <w:rPr>
          <w:rFonts w:hint="default"/>
          <w:lang w:eastAsia="zh-CN"/>
        </w:rPr>
        <w:t>，</w:t>
      </w:r>
      <w:r>
        <w:rPr>
          <w:rFonts w:hint="default"/>
        </w:rPr>
        <w:t>认真落实各项降噪措施</w:t>
      </w:r>
      <w:r>
        <w:rPr>
          <w:rFonts w:hint="default"/>
          <w:lang w:eastAsia="zh-CN"/>
        </w:rPr>
        <w:t>，</w:t>
      </w:r>
      <w:r>
        <w:rPr>
          <w:rFonts w:hint="default"/>
        </w:rPr>
        <w:t>做到文明施工</w:t>
      </w:r>
      <w:r>
        <w:rPr>
          <w:rFonts w:hint="default"/>
          <w:lang w:eastAsia="zh-CN"/>
        </w:rPr>
        <w:t>，</w:t>
      </w:r>
      <w:r>
        <w:rPr>
          <w:rFonts w:hint="default"/>
        </w:rPr>
        <w:t>减少人为噪声污染</w:t>
      </w:r>
      <w:r>
        <w:rPr>
          <w:rFonts w:hint="default"/>
          <w:lang w:eastAsia="zh-CN"/>
        </w:rPr>
        <w:t>。</w:t>
      </w:r>
    </w:p>
    <w:p w14:paraId="7A434DB4">
      <w:pPr>
        <w:pStyle w:val="4"/>
        <w:bidi w:val="0"/>
        <w:rPr>
          <w:rFonts w:hint="default"/>
          <w:lang w:val="en-US" w:eastAsia="zh-CN"/>
        </w:rPr>
      </w:pPr>
      <w:bookmarkStart w:id="523" w:name="_Toc1459"/>
      <w:r>
        <w:rPr>
          <w:rFonts w:hint="default"/>
          <w:lang w:val="en-US" w:eastAsia="zh-CN"/>
        </w:rPr>
        <w:t>运营期噪声污染防护措施</w:t>
      </w:r>
      <w:bookmarkEnd w:id="523"/>
    </w:p>
    <w:p w14:paraId="505B3465">
      <w:pPr>
        <w:pStyle w:val="41"/>
        <w:bidi w:val="0"/>
        <w:rPr>
          <w:rFonts w:hint="default"/>
        </w:rPr>
      </w:pPr>
      <w:r>
        <w:rPr>
          <w:rFonts w:hint="default"/>
          <w:lang w:eastAsia="zh-CN"/>
        </w:rPr>
        <w:t>（</w:t>
      </w:r>
      <w:r>
        <w:rPr>
          <w:rFonts w:hint="default"/>
          <w:lang w:val="en-US" w:eastAsia="zh-CN"/>
        </w:rPr>
        <w:t>1）</w:t>
      </w:r>
      <w:r>
        <w:rPr>
          <w:rFonts w:hint="default"/>
        </w:rPr>
        <w:t>尽可能选用功能好、噪声低的设备；</w:t>
      </w:r>
    </w:p>
    <w:p w14:paraId="35CC3269">
      <w:pPr>
        <w:pStyle w:val="41"/>
        <w:bidi w:val="0"/>
        <w:rPr>
          <w:rFonts w:hint="default"/>
        </w:rPr>
      </w:pPr>
      <w:r>
        <w:rPr>
          <w:rFonts w:hint="default"/>
          <w:lang w:eastAsia="zh-CN"/>
        </w:rPr>
        <w:t>（</w:t>
      </w:r>
      <w:r>
        <w:rPr>
          <w:rFonts w:hint="default"/>
          <w:lang w:val="en-US" w:eastAsia="zh-CN"/>
        </w:rPr>
        <w:t>2）</w:t>
      </w:r>
      <w:r>
        <w:rPr>
          <w:rFonts w:hint="default"/>
        </w:rPr>
        <w:t>加强生产设备的日常维护，并对老化和性能降低的旧设备进行及时更换，以此降低</w:t>
      </w:r>
      <w:r>
        <w:rPr>
          <w:rFonts w:hint="default"/>
          <w:lang w:eastAsia="zh-CN"/>
        </w:rPr>
        <w:t>摩擦</w:t>
      </w:r>
      <w:r>
        <w:rPr>
          <w:rFonts w:hint="default"/>
        </w:rPr>
        <w:t>，</w:t>
      </w:r>
      <w:r>
        <w:rPr>
          <w:rFonts w:hint="eastAsia"/>
          <w:lang w:eastAsia="zh-CN"/>
        </w:rPr>
        <w:t>减小</w:t>
      </w:r>
      <w:r>
        <w:rPr>
          <w:rFonts w:hint="default"/>
        </w:rPr>
        <w:t>噪声强度；</w:t>
      </w:r>
    </w:p>
    <w:p w14:paraId="35110D3E">
      <w:pPr>
        <w:pStyle w:val="41"/>
        <w:bidi w:val="0"/>
        <w:rPr>
          <w:rFonts w:hint="default"/>
        </w:rPr>
      </w:pPr>
      <w:r>
        <w:rPr>
          <w:rFonts w:hint="default"/>
          <w:lang w:eastAsia="zh-CN"/>
        </w:rPr>
        <w:t>（</w:t>
      </w:r>
      <w:r>
        <w:rPr>
          <w:rFonts w:hint="default"/>
          <w:lang w:val="en-US" w:eastAsia="zh-CN"/>
        </w:rPr>
        <w:t>3）</w:t>
      </w:r>
      <w:r>
        <w:rPr>
          <w:rFonts w:hint="default"/>
        </w:rPr>
        <w:t>主要产噪设备安装减震垫降噪；</w:t>
      </w:r>
    </w:p>
    <w:p w14:paraId="0A4BBE5A">
      <w:pPr>
        <w:pStyle w:val="41"/>
        <w:bidi w:val="0"/>
        <w:rPr>
          <w:rFonts w:hint="default"/>
        </w:rPr>
      </w:pPr>
      <w:r>
        <w:rPr>
          <w:rFonts w:hint="default"/>
          <w:lang w:eastAsia="zh-CN"/>
        </w:rPr>
        <w:t>（</w:t>
      </w:r>
      <w:r>
        <w:rPr>
          <w:rFonts w:hint="default"/>
          <w:lang w:val="en-US" w:eastAsia="zh-CN"/>
        </w:rPr>
        <w:t>4）</w:t>
      </w:r>
      <w:r>
        <w:rPr>
          <w:rFonts w:hint="default"/>
        </w:rPr>
        <w:t>加强运输车辆管理，合理安排运输时间，进出矿区车辆应安排在白天，严禁车辆超速超载，经过村庄时禁止鸣笛；</w:t>
      </w:r>
    </w:p>
    <w:p w14:paraId="47448296">
      <w:pPr>
        <w:pStyle w:val="41"/>
        <w:bidi w:val="0"/>
        <w:rPr>
          <w:rFonts w:hint="default"/>
        </w:rPr>
      </w:pPr>
      <w:r>
        <w:rPr>
          <w:rFonts w:hint="default"/>
          <w:lang w:eastAsia="zh-CN"/>
        </w:rPr>
        <w:t>（</w:t>
      </w:r>
      <w:r>
        <w:rPr>
          <w:rFonts w:hint="default"/>
          <w:lang w:val="en-US" w:eastAsia="zh-CN"/>
        </w:rPr>
        <w:t>5）</w:t>
      </w:r>
      <w:r>
        <w:rPr>
          <w:rFonts w:hint="default"/>
        </w:rPr>
        <w:t>爆破前，企业需提前通知周围村民，减少爆破声对村民的生活影响；</w:t>
      </w:r>
    </w:p>
    <w:p w14:paraId="787CC9E5">
      <w:pPr>
        <w:pStyle w:val="41"/>
        <w:bidi w:val="0"/>
        <w:rPr>
          <w:rFonts w:hint="default"/>
        </w:rPr>
      </w:pPr>
      <w:r>
        <w:rPr>
          <w:rFonts w:hint="default"/>
          <w:lang w:eastAsia="zh-CN"/>
        </w:rPr>
        <w:t>（</w:t>
      </w:r>
      <w:r>
        <w:rPr>
          <w:rFonts w:hint="default"/>
          <w:lang w:val="en-US" w:eastAsia="zh-CN"/>
        </w:rPr>
        <w:t>6）</w:t>
      </w:r>
      <w:r>
        <w:rPr>
          <w:rFonts w:hint="default"/>
        </w:rPr>
        <w:t>合理安排各设备运行时间，合理布局，降低项目设备噪声对周围环境的影响。</w:t>
      </w:r>
    </w:p>
    <w:p w14:paraId="60DE9C83">
      <w:pPr>
        <w:pStyle w:val="41"/>
        <w:bidi w:val="0"/>
        <w:rPr>
          <w:rFonts w:hint="default"/>
          <w:lang w:val="en-US" w:eastAsia="zh-CN"/>
        </w:rPr>
      </w:pPr>
      <w:r>
        <w:rPr>
          <w:rFonts w:hint="eastAsia"/>
          <w:lang w:val="en-US" w:eastAsia="zh-CN"/>
        </w:rPr>
        <w:t>经过噪声环境影响预测与评价章节，各噪声源经过采取隔声、减震的措施后，厂界噪声达标排放，噪声污染防护措施设置可行。</w:t>
      </w:r>
    </w:p>
    <w:p w14:paraId="5C5D260B">
      <w:pPr>
        <w:pStyle w:val="3"/>
        <w:bidi w:val="0"/>
        <w:rPr>
          <w:rFonts w:hint="default" w:ascii="Times New Roman" w:hAnsi="Times New Roman" w:cs="Times New Roman"/>
          <w:color w:val="000000" w:themeColor="text1"/>
          <w:highlight w:val="none"/>
          <w14:textFill>
            <w14:solidFill>
              <w14:schemeClr w14:val="tx1"/>
            </w14:solidFill>
          </w14:textFill>
        </w:rPr>
      </w:pPr>
      <w:bookmarkStart w:id="524" w:name="_Toc30455"/>
      <w:r>
        <w:rPr>
          <w:rFonts w:hint="default" w:ascii="Times New Roman" w:hAnsi="Times New Roman" w:cs="Times New Roman"/>
          <w:color w:val="000000" w:themeColor="text1"/>
          <w:highlight w:val="none"/>
          <w14:textFill>
            <w14:solidFill>
              <w14:schemeClr w14:val="tx1"/>
            </w14:solidFill>
          </w14:textFill>
        </w:rPr>
        <w:t>固体废物处理处置对策措施</w:t>
      </w:r>
      <w:bookmarkEnd w:id="524"/>
    </w:p>
    <w:p w14:paraId="610EDC1C">
      <w:pPr>
        <w:pStyle w:val="4"/>
        <w:bidi w:val="0"/>
        <w:rPr>
          <w:rFonts w:hint="default"/>
          <w:lang w:val="en-US" w:eastAsia="zh-CN"/>
        </w:rPr>
      </w:pPr>
      <w:bookmarkStart w:id="525" w:name="_Toc13590"/>
      <w:r>
        <w:rPr>
          <w:rFonts w:hint="default"/>
          <w:lang w:val="en-US" w:eastAsia="zh-CN"/>
        </w:rPr>
        <w:t>施工期固体废物处理措施</w:t>
      </w:r>
      <w:bookmarkEnd w:id="525"/>
    </w:p>
    <w:p w14:paraId="639F9D40">
      <w:pPr>
        <w:pStyle w:val="41"/>
        <w:bidi w:val="0"/>
        <w:rPr>
          <w:rFonts w:hint="default"/>
          <w:lang w:eastAsia="zh-CN"/>
        </w:rPr>
      </w:pPr>
      <w:r>
        <w:rPr>
          <w:rFonts w:hint="default"/>
          <w:lang w:eastAsia="zh-CN"/>
        </w:rPr>
        <w:t>（</w:t>
      </w:r>
      <w:r>
        <w:rPr>
          <w:rFonts w:hint="default"/>
          <w:lang w:val="en-US" w:eastAsia="zh-CN"/>
        </w:rPr>
        <w:t>1）</w:t>
      </w:r>
      <w:r>
        <w:rPr>
          <w:rFonts w:hint="default"/>
          <w:lang w:eastAsia="zh-CN"/>
        </w:rPr>
        <w:t>项目施工人员生活垃圾集中收集于垃圾桶内，</w:t>
      </w:r>
      <w:r>
        <w:rPr>
          <w:rFonts w:hint="default"/>
          <w:lang w:val="en-US" w:eastAsia="zh-CN"/>
        </w:rPr>
        <w:t>运至附近集镇垃圾收集点由环卫部门清运处置</w:t>
      </w:r>
      <w:r>
        <w:rPr>
          <w:rFonts w:hint="default"/>
          <w:lang w:eastAsia="zh-CN"/>
        </w:rPr>
        <w:t>；</w:t>
      </w:r>
    </w:p>
    <w:p w14:paraId="6D742EE2">
      <w:pPr>
        <w:pStyle w:val="41"/>
        <w:bidi w:val="0"/>
        <w:rPr>
          <w:rFonts w:hint="default"/>
          <w:lang w:eastAsia="zh-CN"/>
        </w:rPr>
      </w:pPr>
      <w:r>
        <w:rPr>
          <w:rFonts w:hint="default"/>
          <w:lang w:eastAsia="zh-CN"/>
        </w:rPr>
        <w:t>（</w:t>
      </w:r>
      <w:r>
        <w:rPr>
          <w:rFonts w:hint="default"/>
          <w:lang w:val="en-US" w:eastAsia="zh-CN"/>
        </w:rPr>
        <w:t>2）施工期进场道路开挖、场地平整及内部运输道路开拓过程会产生土石方，剥离表土全部集中运至表土堆场区进行堆放</w:t>
      </w:r>
      <w:r>
        <w:rPr>
          <w:rFonts w:hint="eastAsia"/>
          <w:lang w:val="en-US" w:eastAsia="zh-CN"/>
        </w:rPr>
        <w:t>，闭矿期用于矿区复垦</w:t>
      </w:r>
      <w:r>
        <w:rPr>
          <w:rFonts w:hint="default"/>
          <w:lang w:val="en-US" w:eastAsia="zh-CN"/>
        </w:rPr>
        <w:t>，</w:t>
      </w:r>
      <w:r>
        <w:rPr>
          <w:rFonts w:hint="eastAsia"/>
          <w:lang w:val="en-US" w:eastAsia="zh-CN"/>
        </w:rPr>
        <w:t>其他土石方用于场地回填，无弃渣产生</w:t>
      </w:r>
      <w:r>
        <w:rPr>
          <w:rFonts w:hint="default"/>
          <w:lang w:eastAsia="zh-CN"/>
        </w:rPr>
        <w:t>。</w:t>
      </w:r>
    </w:p>
    <w:p w14:paraId="47880EB8">
      <w:pPr>
        <w:pStyle w:val="41"/>
        <w:bidi w:val="0"/>
        <w:rPr>
          <w:rFonts w:hint="default"/>
          <w:lang w:val="en-US" w:eastAsia="zh-CN"/>
        </w:rPr>
      </w:pPr>
      <w:r>
        <w:rPr>
          <w:rFonts w:hint="default"/>
          <w:lang w:eastAsia="zh-CN"/>
        </w:rPr>
        <w:t>（</w:t>
      </w:r>
      <w:r>
        <w:rPr>
          <w:rFonts w:hint="default"/>
          <w:lang w:val="en-US" w:eastAsia="zh-CN"/>
        </w:rPr>
        <w:t>3）施工产生的建筑垃圾分类集中收集，可利用的回收利用，不可利用的建筑垃圾回用于场内新建内部运输道路敷设</w:t>
      </w:r>
      <w:r>
        <w:rPr>
          <w:rFonts w:hint="default"/>
          <w:lang w:eastAsia="zh-CN"/>
        </w:rPr>
        <w:t>。</w:t>
      </w:r>
    </w:p>
    <w:p w14:paraId="25840264">
      <w:pPr>
        <w:pStyle w:val="4"/>
        <w:bidi w:val="0"/>
        <w:rPr>
          <w:rFonts w:hint="default"/>
          <w:lang w:val="en-US" w:eastAsia="zh-CN"/>
        </w:rPr>
      </w:pPr>
      <w:bookmarkStart w:id="526" w:name="_Toc25254"/>
      <w:r>
        <w:rPr>
          <w:rFonts w:hint="default"/>
          <w:lang w:val="en-US" w:eastAsia="zh-CN"/>
        </w:rPr>
        <w:t>运行期固体废物处理措施</w:t>
      </w:r>
      <w:bookmarkEnd w:id="526"/>
    </w:p>
    <w:p w14:paraId="1F6BBED0">
      <w:pPr>
        <w:pStyle w:val="41"/>
        <w:bidi w:val="0"/>
        <w:rPr>
          <w:rFonts w:hint="default"/>
        </w:rPr>
      </w:pPr>
      <w:r>
        <w:rPr>
          <w:rFonts w:hint="default"/>
          <w:lang w:eastAsia="zh-CN"/>
        </w:rPr>
        <w:t>（</w:t>
      </w:r>
      <w:r>
        <w:rPr>
          <w:rFonts w:hint="default"/>
          <w:lang w:val="en-US" w:eastAsia="zh-CN"/>
        </w:rPr>
        <w:t>1）废土石</w:t>
      </w:r>
      <w:r>
        <w:rPr>
          <w:rFonts w:hint="default"/>
        </w:rPr>
        <w:t>：</w:t>
      </w:r>
      <w:r>
        <w:rPr>
          <w:rFonts w:hint="default"/>
          <w:lang w:val="en-US" w:eastAsia="zh-CN"/>
        </w:rPr>
        <w:t>根据</w:t>
      </w:r>
      <w:r>
        <w:rPr>
          <w:rFonts w:hint="eastAsia"/>
          <w:lang w:val="en-US" w:eastAsia="zh-CN"/>
        </w:rPr>
        <w:t>开发利用方案及水土保持方案</w:t>
      </w:r>
      <w:r>
        <w:rPr>
          <w:rFonts w:hint="default"/>
          <w:lang w:val="en-US" w:eastAsia="zh-CN"/>
        </w:rPr>
        <w:t>统计，运行期将剥离表土</w:t>
      </w:r>
      <w:r>
        <w:rPr>
          <w:rFonts w:hint="eastAsia"/>
          <w:lang w:val="en-US" w:eastAsia="zh-CN"/>
        </w:rPr>
        <w:t>，产生量约为6.9万m</w:t>
      </w:r>
      <w:r>
        <w:rPr>
          <w:rFonts w:hint="eastAsia"/>
          <w:vertAlign w:val="superscript"/>
          <w:lang w:val="en-US" w:eastAsia="zh-CN"/>
        </w:rPr>
        <w:t>3</w:t>
      </w:r>
      <w:r>
        <w:rPr>
          <w:rFonts w:hint="eastAsia"/>
          <w:lang w:val="en-US" w:eastAsia="zh-CN"/>
        </w:rPr>
        <w:t>/a。表土收存于表土堆场，闭矿复垦用作</w:t>
      </w:r>
      <w:r>
        <w:rPr>
          <w:rFonts w:hint="default"/>
          <w:lang w:val="en-US" w:eastAsia="zh-CN"/>
        </w:rPr>
        <w:t>绿化覆土</w:t>
      </w:r>
      <w:r>
        <w:rPr>
          <w:rFonts w:hint="default"/>
        </w:rPr>
        <w:t>。</w:t>
      </w:r>
    </w:p>
    <w:p w14:paraId="47488904">
      <w:pPr>
        <w:pStyle w:val="41"/>
        <w:bidi w:val="0"/>
        <w:rPr>
          <w:rFonts w:hint="default"/>
          <w:lang w:val="en-US" w:eastAsia="zh-CN"/>
        </w:rPr>
      </w:pPr>
      <w:r>
        <w:rPr>
          <w:rFonts w:hint="eastAsia"/>
          <w:lang w:eastAsia="zh-CN"/>
        </w:rPr>
        <w:t>（</w:t>
      </w:r>
      <w:r>
        <w:rPr>
          <w:rFonts w:hint="eastAsia"/>
          <w:lang w:val="en-US" w:eastAsia="zh-CN"/>
        </w:rPr>
        <w:t>2）除尘系统收集粉尘：收集后回掺项目精品砂后外售。</w:t>
      </w:r>
    </w:p>
    <w:p w14:paraId="73C21F0B">
      <w:pPr>
        <w:pStyle w:val="41"/>
        <w:bidi w:val="0"/>
        <w:rPr>
          <w:rFonts w:hint="default"/>
        </w:rPr>
      </w:pPr>
      <w:r>
        <w:rPr>
          <w:rFonts w:hint="default"/>
          <w:lang w:eastAsia="zh-CN"/>
        </w:rPr>
        <w:t>（</w:t>
      </w:r>
      <w:r>
        <w:rPr>
          <w:rFonts w:hint="eastAsia"/>
          <w:lang w:val="en-US" w:eastAsia="zh-CN"/>
        </w:rPr>
        <w:t>3</w:t>
      </w:r>
      <w:r>
        <w:rPr>
          <w:rFonts w:hint="default"/>
          <w:lang w:val="en-US" w:eastAsia="zh-CN"/>
        </w:rPr>
        <w:t>）</w:t>
      </w:r>
      <w:r>
        <w:rPr>
          <w:rFonts w:hint="default"/>
        </w:rPr>
        <w:t>生活垃圾：项目区设若干大型生活垃圾收集桶，</w:t>
      </w:r>
      <w:r>
        <w:rPr>
          <w:rFonts w:hint="eastAsia"/>
        </w:rPr>
        <w:t>收集后清运至云南普阳煤化工有限责任公司垃圾收集点，与云南普阳煤化工有限责任公司生活垃圾一同处理</w:t>
      </w:r>
      <w:r>
        <w:rPr>
          <w:rFonts w:hint="default"/>
        </w:rPr>
        <w:t>。</w:t>
      </w:r>
    </w:p>
    <w:p w14:paraId="5B83D6C9">
      <w:pPr>
        <w:pStyle w:val="41"/>
        <w:bidi w:val="0"/>
        <w:rPr>
          <w:rFonts w:hint="default"/>
          <w:lang w:val="en-US" w:eastAsia="zh-CN"/>
        </w:rPr>
      </w:pPr>
      <w:r>
        <w:rPr>
          <w:rFonts w:hint="eastAsia"/>
          <w:lang w:val="en-US" w:eastAsia="zh-CN"/>
        </w:rPr>
        <w:t>（4）</w:t>
      </w:r>
      <w:r>
        <w:rPr>
          <w:rFonts w:hint="eastAsia"/>
        </w:rPr>
        <w:t>项目初期雨水收集池产生的底泥定期清掏后，用作项目场区低洼处回填</w:t>
      </w:r>
      <w:r>
        <w:t>。</w:t>
      </w:r>
    </w:p>
    <w:p w14:paraId="47C26926">
      <w:pPr>
        <w:pStyle w:val="41"/>
        <w:bidi w:val="0"/>
        <w:rPr>
          <w:rFonts w:hint="default"/>
        </w:rPr>
      </w:pP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机修废物</w:t>
      </w:r>
      <w:r>
        <w:rPr>
          <w:rFonts w:hint="default"/>
        </w:rPr>
        <w:t>：使用油桶收集后暂存于</w:t>
      </w:r>
      <w:r>
        <w:rPr>
          <w:rFonts w:hint="default"/>
          <w:lang w:eastAsia="zh-CN"/>
        </w:rPr>
        <w:t>危废间</w:t>
      </w:r>
      <w:r>
        <w:rPr>
          <w:rFonts w:hint="default"/>
        </w:rPr>
        <w:t>，定期委托有资质的单位清运处置。</w:t>
      </w:r>
    </w:p>
    <w:p w14:paraId="1D638BD0">
      <w:pPr>
        <w:pStyle w:val="41"/>
        <w:bidi w:val="0"/>
        <w:rPr>
          <w:rFonts w:hint="default"/>
          <w:lang w:val="en-US" w:eastAsia="zh-CN"/>
        </w:rPr>
      </w:pPr>
      <w:r>
        <w:rPr>
          <w:rFonts w:hint="eastAsia"/>
          <w:lang w:val="en-US" w:eastAsia="zh-CN"/>
        </w:rPr>
        <w:t>项目固体废物处置率100%。</w:t>
      </w:r>
    </w:p>
    <w:p w14:paraId="79B91ACD">
      <w:pPr>
        <w:pStyle w:val="3"/>
        <w:bidi w:val="0"/>
        <w:rPr>
          <w:rFonts w:hint="default" w:ascii="Times New Roman" w:hAnsi="Times New Roman" w:cs="Times New Roman"/>
          <w:color w:val="000000" w:themeColor="text1"/>
          <w:highlight w:val="none"/>
          <w14:textFill>
            <w14:solidFill>
              <w14:schemeClr w14:val="tx1"/>
            </w14:solidFill>
          </w14:textFill>
        </w:rPr>
      </w:pPr>
      <w:bookmarkStart w:id="527" w:name="_Toc2333"/>
      <w:r>
        <w:rPr>
          <w:rFonts w:hint="default" w:ascii="Times New Roman" w:hAnsi="Times New Roman" w:cs="Times New Roman"/>
          <w:color w:val="000000" w:themeColor="text1"/>
          <w:highlight w:val="none"/>
          <w:lang w:val="en-US" w:eastAsia="zh-CN"/>
          <w14:textFill>
            <w14:solidFill>
              <w14:schemeClr w14:val="tx1"/>
            </w14:solidFill>
          </w14:textFill>
        </w:rPr>
        <w:t>地下水</w:t>
      </w:r>
      <w:r>
        <w:rPr>
          <w:rFonts w:hint="default" w:ascii="Times New Roman" w:hAnsi="Times New Roman" w:cs="Times New Roman"/>
          <w:color w:val="000000" w:themeColor="text1"/>
          <w:highlight w:val="none"/>
          <w14:textFill>
            <w14:solidFill>
              <w14:schemeClr w14:val="tx1"/>
            </w14:solidFill>
          </w14:textFill>
        </w:rPr>
        <w:t>环境保护措施</w:t>
      </w:r>
      <w:bookmarkEnd w:id="527"/>
    </w:p>
    <w:p w14:paraId="118A9D7E">
      <w:pPr>
        <w:pStyle w:val="41"/>
        <w:bidi w:val="0"/>
        <w:rPr>
          <w:rFonts w:hint="eastAsia"/>
          <w:lang w:val="en-US" w:eastAsia="zh-CN"/>
        </w:rPr>
      </w:pPr>
      <w:r>
        <w:rPr>
          <w:rFonts w:hint="eastAsia"/>
          <w:lang w:val="en-US" w:eastAsia="zh-CN"/>
        </w:rPr>
        <w:t>（1）源头控制措施</w:t>
      </w:r>
    </w:p>
    <w:p w14:paraId="43BC5C71">
      <w:pPr>
        <w:pStyle w:val="41"/>
        <w:bidi w:val="0"/>
        <w:rPr>
          <w:rFonts w:hint="eastAsia"/>
          <w:lang w:val="en-US" w:eastAsia="zh-CN"/>
        </w:rPr>
      </w:pPr>
      <w:r>
        <w:rPr>
          <w:rFonts w:hint="eastAsia"/>
          <w:lang w:val="en-US" w:eastAsia="zh-CN"/>
        </w:rPr>
        <w:t>源头控制包括两部分，一是对废水各构筑物的控制；二是对危废的控制。</w:t>
      </w:r>
    </w:p>
    <w:p w14:paraId="0F8240FC">
      <w:pPr>
        <w:pStyle w:val="41"/>
        <w:bidi w:val="0"/>
        <w:rPr>
          <w:rFonts w:hint="eastAsia"/>
          <w:lang w:val="en-US" w:eastAsia="zh-CN"/>
        </w:rPr>
      </w:pPr>
      <w:r>
        <w:rPr>
          <w:rFonts w:hint="eastAsia"/>
          <w:lang w:val="en-US" w:eastAsia="zh-CN"/>
        </w:rPr>
        <w:t>①对废水各构筑物的控制</w:t>
      </w:r>
    </w:p>
    <w:p w14:paraId="7C5D11DE">
      <w:pPr>
        <w:pStyle w:val="41"/>
        <w:bidi w:val="0"/>
        <w:rPr>
          <w:rFonts w:hint="eastAsia"/>
          <w:lang w:val="en-US" w:eastAsia="zh-CN"/>
        </w:rPr>
      </w:pPr>
      <w:r>
        <w:rPr>
          <w:rFonts w:hint="eastAsia"/>
          <w:lang w:val="en-US" w:eastAsia="zh-CN"/>
        </w:rPr>
        <w:t>主要包括对项目区各类废水排水沟、管道和各沉淀池采取相应措施，将污染物的跑、冒、滴、漏，将废水泄漏的环境风险事故降低到最低程度。管道铺设尽量采用“可视化”原则，管道尽可能在地上铺设，做到污染物“早发现、早处理”，以减少由于埋地管道泄漏而可能造成的地下水污染。</w:t>
      </w:r>
    </w:p>
    <w:p w14:paraId="73D7831C">
      <w:pPr>
        <w:pStyle w:val="41"/>
        <w:bidi w:val="0"/>
        <w:rPr>
          <w:rFonts w:hint="eastAsia"/>
          <w:lang w:val="en-US" w:eastAsia="zh-CN"/>
        </w:rPr>
      </w:pPr>
      <w:r>
        <w:rPr>
          <w:rFonts w:hint="eastAsia"/>
          <w:lang w:val="en-US" w:eastAsia="zh-CN"/>
        </w:rPr>
        <w:t>在项目运行期要有专职人员每天巡视、检查可能发生泄漏的管道、水池，发现跑、冒、滴、漏情况，及时采取修复等措施阻止污染物的进一步扩散泄漏，并立即清除被污染的土壤，阻止污染物进一步下渗。</w:t>
      </w:r>
    </w:p>
    <w:p w14:paraId="7B371968">
      <w:pPr>
        <w:pStyle w:val="41"/>
        <w:bidi w:val="0"/>
        <w:rPr>
          <w:rFonts w:hint="eastAsia"/>
          <w:lang w:val="en-US" w:eastAsia="zh-CN"/>
        </w:rPr>
      </w:pPr>
      <w:r>
        <w:rPr>
          <w:rFonts w:hint="eastAsia"/>
          <w:lang w:val="en-US" w:eastAsia="zh-CN"/>
        </w:rPr>
        <w:t>②对危废的控制</w:t>
      </w:r>
    </w:p>
    <w:p w14:paraId="031FC9BE">
      <w:pPr>
        <w:pStyle w:val="41"/>
        <w:bidi w:val="0"/>
        <w:rPr>
          <w:rFonts w:hint="eastAsia"/>
          <w:lang w:val="en-US" w:eastAsia="zh-CN"/>
        </w:rPr>
      </w:pPr>
      <w:r>
        <w:rPr>
          <w:rFonts w:hint="eastAsia"/>
          <w:lang w:val="en-US" w:eastAsia="zh-CN"/>
        </w:rPr>
        <w:t>加强管理，规范操作，严禁废机油乱扔乱弃，按照规范先将废机油暂存于密封废油桶后，再置于危废暂存间，定期交由有资质单位处置。</w:t>
      </w:r>
    </w:p>
    <w:p w14:paraId="0ABD55E2">
      <w:pPr>
        <w:pStyle w:val="41"/>
        <w:bidi w:val="0"/>
        <w:rPr>
          <w:rFonts w:hint="eastAsia"/>
          <w:lang w:val="en-US" w:eastAsia="zh-CN"/>
        </w:rPr>
      </w:pPr>
      <w:r>
        <w:rPr>
          <w:rFonts w:hint="eastAsia"/>
          <w:lang w:val="en-US" w:eastAsia="zh-CN"/>
        </w:rPr>
        <w:t>（3）分区防渗措施</w:t>
      </w:r>
    </w:p>
    <w:p w14:paraId="3959A53B">
      <w:pPr>
        <w:pStyle w:val="41"/>
        <w:bidi w:val="0"/>
        <w:rPr>
          <w:rFonts w:hint="eastAsia"/>
          <w:lang w:val="en-US" w:eastAsia="zh-CN"/>
        </w:rPr>
      </w:pPr>
      <w:r>
        <w:rPr>
          <w:rFonts w:hint="eastAsia"/>
          <w:lang w:val="en-US" w:eastAsia="zh-CN"/>
        </w:rPr>
        <w:t>依据《环境影响评价技术导则 地下水环境》（HJ 610-2016）分区防控措施的具体要求，将危废间划为重点防渗区，粪污收集池、各类废水收集池划为一般防渗区，其他区域划为简单防渗区，各区按要求进行防渗施工。</w:t>
      </w:r>
    </w:p>
    <w:p w14:paraId="1D72EC8D">
      <w:pPr>
        <w:pStyle w:val="41"/>
        <w:bidi w:val="0"/>
        <w:rPr>
          <w:rFonts w:hint="default"/>
        </w:rPr>
      </w:pPr>
      <w:r>
        <w:rPr>
          <w:rFonts w:hint="eastAsia"/>
          <w:lang w:val="en-US" w:eastAsia="zh-CN"/>
        </w:rPr>
        <w:t>（4）</w:t>
      </w:r>
      <w:r>
        <w:rPr>
          <w:rFonts w:hint="default"/>
        </w:rPr>
        <w:t>应急处置措施</w:t>
      </w:r>
    </w:p>
    <w:p w14:paraId="03FBA0EE">
      <w:pPr>
        <w:pStyle w:val="41"/>
        <w:bidi w:val="0"/>
        <w:rPr>
          <w:rFonts w:hint="default"/>
          <w:lang w:eastAsia="zh-CN"/>
        </w:rPr>
      </w:pPr>
      <w:r>
        <w:rPr>
          <w:rFonts w:hint="default"/>
        </w:rPr>
        <w:t>如发现地下水</w:t>
      </w:r>
      <w:r>
        <w:rPr>
          <w:rFonts w:hint="default"/>
          <w:lang w:eastAsia="zh-CN"/>
        </w:rPr>
        <w:t>、</w:t>
      </w:r>
      <w:r>
        <w:rPr>
          <w:rFonts w:hint="default"/>
          <w:lang w:val="en-US" w:eastAsia="zh-CN"/>
        </w:rPr>
        <w:t>土壤</w:t>
      </w:r>
      <w:r>
        <w:rPr>
          <w:rFonts w:hint="default"/>
        </w:rPr>
        <w:t>污染事故，应立即向公司环保部门及行政管理部门报告，调查并确认污染源位置</w:t>
      </w:r>
      <w:r>
        <w:rPr>
          <w:rFonts w:hint="default"/>
          <w:lang w:eastAsia="zh-CN"/>
        </w:rPr>
        <w:t>；</w:t>
      </w:r>
    </w:p>
    <w:p w14:paraId="6D15FEFC">
      <w:pPr>
        <w:pStyle w:val="41"/>
        <w:bidi w:val="0"/>
        <w:rPr>
          <w:rFonts w:hint="default"/>
          <w:lang w:eastAsia="zh-CN"/>
        </w:rPr>
      </w:pPr>
      <w:r>
        <w:rPr>
          <w:rFonts w:hint="default"/>
        </w:rPr>
        <w:t>采取有效措施及时阻断确认的污染源，防止污染物继续渗漏到地下，导致土壤和地下水污染范围扩大</w:t>
      </w:r>
      <w:r>
        <w:rPr>
          <w:rFonts w:hint="default"/>
          <w:lang w:eastAsia="zh-CN"/>
        </w:rPr>
        <w:t>；</w:t>
      </w:r>
    </w:p>
    <w:p w14:paraId="5F23ECD6">
      <w:pPr>
        <w:pStyle w:val="41"/>
        <w:bidi w:val="0"/>
        <w:rPr>
          <w:rFonts w:hint="default"/>
          <w:lang w:eastAsia="zh-CN"/>
        </w:rPr>
      </w:pPr>
      <w:r>
        <w:rPr>
          <w:rFonts w:hint="default"/>
        </w:rPr>
        <w:t>立即对重污染区域采取有效的修复措施，包括开挖并移走重污染土壤作危险废物处置，防止污染物在地下继续扩散</w:t>
      </w:r>
      <w:r>
        <w:rPr>
          <w:rFonts w:hint="default"/>
          <w:lang w:eastAsia="zh-CN"/>
        </w:rPr>
        <w:t>；</w:t>
      </w:r>
    </w:p>
    <w:p w14:paraId="08AA3BBD">
      <w:pPr>
        <w:pStyle w:val="41"/>
        <w:bidi w:val="0"/>
        <w:rPr>
          <w:rFonts w:hint="default"/>
        </w:rPr>
      </w:pPr>
      <w:r>
        <w:rPr>
          <w:rFonts w:hint="default"/>
          <w:lang w:val="en-US" w:eastAsia="zh-CN"/>
        </w:rPr>
        <w:t>若有必要，</w:t>
      </w:r>
      <w:r>
        <w:rPr>
          <w:rFonts w:hint="default"/>
        </w:rPr>
        <w:t>对项目区地下水进行监测，确定水质是否受到影响。</w:t>
      </w:r>
    </w:p>
    <w:p w14:paraId="59299972">
      <w:pPr>
        <w:pStyle w:val="3"/>
        <w:bidi w:val="0"/>
        <w:rPr>
          <w:rFonts w:hint="default"/>
          <w:color w:val="000000" w:themeColor="text1"/>
          <w:highlight w:val="none"/>
          <w:lang w:val="en-US" w:eastAsia="zh-CN"/>
          <w14:textFill>
            <w14:solidFill>
              <w14:schemeClr w14:val="tx1"/>
            </w14:solidFill>
          </w14:textFill>
        </w:rPr>
      </w:pPr>
      <w:bookmarkStart w:id="528" w:name="_Toc4974"/>
      <w:r>
        <w:rPr>
          <w:rFonts w:hint="eastAsia"/>
          <w:color w:val="000000" w:themeColor="text1"/>
          <w:highlight w:val="none"/>
          <w:lang w:val="en-US" w:eastAsia="zh-CN"/>
          <w14:textFill>
            <w14:solidFill>
              <w14:schemeClr w14:val="tx1"/>
            </w14:solidFill>
          </w14:textFill>
        </w:rPr>
        <w:t>土壤环境保护措施</w:t>
      </w:r>
      <w:bookmarkEnd w:id="528"/>
    </w:p>
    <w:p w14:paraId="0B2DCC26">
      <w:pPr>
        <w:pStyle w:val="41"/>
        <w:bidi w:val="0"/>
        <w:rPr>
          <w:rFonts w:hint="default"/>
          <w:lang w:val="en-US" w:eastAsia="zh-CN"/>
        </w:rPr>
      </w:pPr>
      <w:r>
        <w:rPr>
          <w:rFonts w:hint="default"/>
          <w:lang w:val="en-US" w:eastAsia="zh-CN"/>
        </w:rPr>
        <w:t>针对工程可能发生的土壤污染，按照</w:t>
      </w:r>
      <w:r>
        <w:rPr>
          <w:rFonts w:hint="eastAsia"/>
          <w:lang w:val="en-US" w:eastAsia="zh-CN"/>
        </w:rPr>
        <w:t>“</w:t>
      </w:r>
      <w:r>
        <w:rPr>
          <w:rFonts w:hint="default"/>
          <w:lang w:val="en-US" w:eastAsia="zh-CN"/>
        </w:rPr>
        <w:t>源头控制、过程防控</w:t>
      </w:r>
      <w:r>
        <w:rPr>
          <w:rFonts w:hint="eastAsia"/>
          <w:lang w:val="en-US" w:eastAsia="zh-CN"/>
        </w:rPr>
        <w:t>”</w:t>
      </w:r>
      <w:r>
        <w:rPr>
          <w:rFonts w:hint="default"/>
          <w:lang w:val="en-US" w:eastAsia="zh-CN"/>
        </w:rPr>
        <w:t>相结合的原则，从污染物的产生、入侵、扩散、应急响应全阶段进行控制。</w:t>
      </w:r>
    </w:p>
    <w:p w14:paraId="6463B15E">
      <w:pPr>
        <w:pStyle w:val="41"/>
        <w:bidi w:val="0"/>
        <w:rPr>
          <w:rFonts w:hint="default"/>
          <w:lang w:val="en-US" w:eastAsia="zh-CN"/>
        </w:rPr>
      </w:pPr>
      <w:r>
        <w:rPr>
          <w:rFonts w:hint="default"/>
          <w:lang w:val="en-US" w:eastAsia="zh-CN"/>
        </w:rPr>
        <w:t>①源头控制措施：设置规范的危险废物暂存间，并进行防渗处理。</w:t>
      </w:r>
    </w:p>
    <w:p w14:paraId="1DD0EE6A">
      <w:pPr>
        <w:pStyle w:val="41"/>
        <w:bidi w:val="0"/>
        <w:rPr>
          <w:rFonts w:hint="default"/>
          <w:lang w:val="en-US" w:eastAsia="zh-CN"/>
        </w:rPr>
      </w:pPr>
      <w:r>
        <w:rPr>
          <w:rFonts w:hint="default"/>
          <w:lang w:val="en-US" w:eastAsia="zh-CN"/>
        </w:rPr>
        <w:t>②过程防控措施：</w:t>
      </w:r>
      <w:r>
        <w:rPr>
          <w:rFonts w:hint="eastAsia"/>
          <w:lang w:val="en-US" w:eastAsia="zh-CN"/>
        </w:rPr>
        <w:t>各场地</w:t>
      </w:r>
      <w:r>
        <w:rPr>
          <w:rFonts w:hint="default"/>
          <w:lang w:val="en-US" w:eastAsia="zh-CN"/>
        </w:rPr>
        <w:t>设置</w:t>
      </w:r>
      <w:r>
        <w:rPr>
          <w:rFonts w:hint="eastAsia"/>
          <w:lang w:val="en-US" w:eastAsia="zh-CN"/>
        </w:rPr>
        <w:t>雨水排水沟</w:t>
      </w:r>
      <w:r>
        <w:rPr>
          <w:rFonts w:hint="default"/>
          <w:lang w:val="en-US" w:eastAsia="zh-CN"/>
        </w:rPr>
        <w:t>、排水沟末端接入沉淀池、雨水池等</w:t>
      </w:r>
      <w:r>
        <w:rPr>
          <w:rFonts w:hint="eastAsia"/>
          <w:lang w:val="en-US" w:eastAsia="zh-CN"/>
        </w:rPr>
        <w:t>，</w:t>
      </w:r>
      <w:r>
        <w:rPr>
          <w:rFonts w:hint="default"/>
          <w:lang w:val="en-US" w:eastAsia="zh-CN"/>
        </w:rPr>
        <w:t>废水沉淀处理后全部回用不外排</w:t>
      </w:r>
      <w:r>
        <w:rPr>
          <w:rFonts w:hint="eastAsia"/>
          <w:lang w:val="en-US" w:eastAsia="zh-CN"/>
        </w:rPr>
        <w:t>。</w:t>
      </w:r>
    </w:p>
    <w:p w14:paraId="7BDC4B00">
      <w:pPr>
        <w:pStyle w:val="41"/>
        <w:bidi w:val="0"/>
        <w:rPr>
          <w:rFonts w:hint="default"/>
          <w:lang w:val="en-US" w:eastAsia="zh-CN"/>
        </w:rPr>
      </w:pPr>
      <w:r>
        <w:rPr>
          <w:rFonts w:hint="default"/>
          <w:lang w:val="en-US" w:eastAsia="zh-CN"/>
        </w:rPr>
        <w:t>③污染监控体系：设置专门的管理人员定期对环保设施进行检查，杜绝事故的发生。发现跑冒滴漏及时发现污染、及时控制。</w:t>
      </w:r>
    </w:p>
    <w:p w14:paraId="160EFCFE">
      <w:pPr>
        <w:pStyle w:val="41"/>
        <w:bidi w:val="0"/>
        <w:rPr>
          <w:rFonts w:hint="default"/>
          <w:lang w:val="en-US" w:eastAsia="zh-CN"/>
        </w:rPr>
      </w:pPr>
      <w:r>
        <w:rPr>
          <w:rFonts w:hint="default"/>
          <w:lang w:val="en-US" w:eastAsia="zh-CN"/>
        </w:rPr>
        <w:t>④应急响应措施：一旦发现污染事故，立即启动应急预案、采取应急措施控制土壤，并使污染</w:t>
      </w:r>
      <w:r>
        <w:rPr>
          <w:rFonts w:hint="eastAsia"/>
          <w:lang w:val="en-US" w:eastAsia="zh-CN"/>
        </w:rPr>
        <w:t>得</w:t>
      </w:r>
      <w:r>
        <w:rPr>
          <w:rFonts w:hint="default"/>
          <w:lang w:val="en-US" w:eastAsia="zh-CN"/>
        </w:rPr>
        <w:t>到治理。</w:t>
      </w:r>
    </w:p>
    <w:p w14:paraId="47677D5B">
      <w:pPr>
        <w:pStyle w:val="3"/>
        <w:bidi w:val="0"/>
        <w:rPr>
          <w:rFonts w:hint="default"/>
          <w:color w:val="000000" w:themeColor="text1"/>
          <w:highlight w:val="none"/>
          <w:lang w:val="en-US" w:eastAsia="zh-CN"/>
          <w14:textFill>
            <w14:solidFill>
              <w14:schemeClr w14:val="tx1"/>
            </w14:solidFill>
          </w14:textFill>
        </w:rPr>
      </w:pPr>
      <w:bookmarkStart w:id="529" w:name="_Toc6606"/>
      <w:r>
        <w:rPr>
          <w:rFonts w:hint="eastAsia"/>
          <w:color w:val="000000" w:themeColor="text1"/>
          <w:highlight w:val="none"/>
          <w:lang w:val="en-US" w:eastAsia="zh-CN"/>
          <w14:textFill>
            <w14:solidFill>
              <w14:schemeClr w14:val="tx1"/>
            </w14:solidFill>
          </w14:textFill>
        </w:rPr>
        <w:t>环境风险防范措施</w:t>
      </w:r>
      <w:bookmarkEnd w:id="529"/>
    </w:p>
    <w:p w14:paraId="6A942022">
      <w:pPr>
        <w:pStyle w:val="41"/>
        <w:bidi w:val="0"/>
        <w:rPr>
          <w:rFonts w:hint="eastAsia"/>
          <w:lang w:val="en-US" w:eastAsia="zh-CN"/>
        </w:rPr>
      </w:pPr>
      <w:r>
        <w:rPr>
          <w:rFonts w:hint="eastAsia"/>
          <w:lang w:val="en-US" w:eastAsia="zh-CN"/>
        </w:rPr>
        <w:t>（1）废机油渗漏风险防范措施：</w:t>
      </w:r>
    </w:p>
    <w:p w14:paraId="13606A12">
      <w:pPr>
        <w:pStyle w:val="41"/>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default"/>
        </w:rPr>
        <w:t>配备消防灭火器材等</w:t>
      </w:r>
      <w:r>
        <w:rPr>
          <w:rFonts w:hint="eastAsia"/>
          <w:lang w:eastAsia="zh-CN"/>
        </w:rPr>
        <w:t>，</w:t>
      </w:r>
      <w:r>
        <w:rPr>
          <w:rFonts w:hint="default"/>
        </w:rPr>
        <w:t>加强明火管理</w:t>
      </w:r>
      <w:r>
        <w:rPr>
          <w:rFonts w:hint="eastAsia"/>
          <w:lang w:eastAsia="zh-CN"/>
        </w:rPr>
        <w:t>，</w:t>
      </w:r>
      <w:r>
        <w:rPr>
          <w:rFonts w:hint="default"/>
        </w:rPr>
        <w:t>制定救援方案，组织演习，使每个职工都会使用消防器材，有效地扑救初期火灾。</w:t>
      </w:r>
    </w:p>
    <w:p w14:paraId="5FAE5291">
      <w:pPr>
        <w:pStyle w:val="41"/>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危险废物暂存间地面及裙角采用土工膜+防渗混凝土进行防渗，防渗层为至少2mm厚的其他人工材料，渗透系数≤1×10</w:t>
      </w:r>
      <w:r>
        <w:rPr>
          <w:rFonts w:hint="eastAsia"/>
          <w:lang w:eastAsia="zh-CN"/>
        </w:rPr>
        <w:t>—</w:t>
      </w:r>
      <w:r>
        <w:rPr>
          <w:rFonts w:hint="default"/>
        </w:rPr>
        <w:t>10cm/s。</w:t>
      </w:r>
    </w:p>
    <w:p w14:paraId="4800189B">
      <w:pPr>
        <w:pStyle w:val="41"/>
        <w:bidi w:val="0"/>
        <w:rPr>
          <w:rFonts w:hint="default"/>
        </w:rPr>
      </w:pPr>
      <w:r>
        <w:rPr>
          <w:rFonts w:hint="default"/>
        </w:rPr>
        <w:fldChar w:fldCharType="begin"/>
      </w:r>
      <w:r>
        <w:rPr>
          <w:rFonts w:hint="default"/>
        </w:rPr>
        <w:instrText xml:space="preserve"> = 3 \* GB3 </w:instrText>
      </w:r>
      <w:r>
        <w:rPr>
          <w:rFonts w:hint="default"/>
        </w:rPr>
        <w:fldChar w:fldCharType="separate"/>
      </w:r>
      <w:r>
        <w:rPr>
          <w:rFonts w:hint="default"/>
        </w:rPr>
        <w:t>③</w:t>
      </w:r>
      <w:r>
        <w:rPr>
          <w:rFonts w:hint="default"/>
        </w:rPr>
        <w:fldChar w:fldCharType="end"/>
      </w:r>
      <w:r>
        <w:rPr>
          <w:rFonts w:hint="default"/>
        </w:rPr>
        <w:t>强化对工作人员的安全教育、操作技能培训工作，严格遵守各类安全管理规章制度和岗位操作规程。</w:t>
      </w:r>
    </w:p>
    <w:p w14:paraId="1A9142B0">
      <w:pPr>
        <w:pStyle w:val="41"/>
        <w:bidi w:val="0"/>
        <w:rPr>
          <w:rFonts w:hint="default"/>
          <w:lang w:val="en-US" w:eastAsia="zh-CN"/>
        </w:rPr>
      </w:pPr>
      <w:r>
        <w:rPr>
          <w:rFonts w:hint="eastAsia"/>
          <w:lang w:val="en-US" w:eastAsia="zh-CN"/>
        </w:rPr>
        <w:t>④危废及时委托有资质的单位清运。</w:t>
      </w:r>
    </w:p>
    <w:p w14:paraId="1C34C300">
      <w:pPr>
        <w:pStyle w:val="41"/>
        <w:bidi w:val="0"/>
        <w:rPr>
          <w:rFonts w:hint="eastAsia"/>
          <w:lang w:val="en-US" w:eastAsia="zh-CN"/>
        </w:rPr>
      </w:pPr>
      <w:r>
        <w:rPr>
          <w:rFonts w:hint="eastAsia"/>
          <w:lang w:eastAsia="zh-CN"/>
        </w:rPr>
        <w:t>（</w:t>
      </w:r>
      <w:r>
        <w:rPr>
          <w:rFonts w:hint="eastAsia"/>
          <w:lang w:val="en-US" w:eastAsia="zh-CN"/>
        </w:rPr>
        <w:t>2）生活污水泄漏风险防范措施</w:t>
      </w:r>
    </w:p>
    <w:p w14:paraId="60936338">
      <w:pPr>
        <w:pStyle w:val="41"/>
        <w:bidi w:val="0"/>
        <w:rPr>
          <w:rFonts w:hint="default"/>
        </w:rPr>
      </w:pPr>
      <w:r>
        <w:rPr>
          <w:rFonts w:hint="default"/>
        </w:rPr>
        <w:t>①各处理池体按照一般防渗渗透系数要求进行建设，定期排查生活污水管网、</w:t>
      </w:r>
      <w:r>
        <w:rPr>
          <w:rFonts w:hint="eastAsia"/>
          <w:lang w:eastAsia="zh-CN"/>
        </w:rPr>
        <w:t>粪污收集池</w:t>
      </w:r>
      <w:r>
        <w:rPr>
          <w:rFonts w:hint="default"/>
        </w:rPr>
        <w:t>、一体化污水处理设备、收集池等设施，做好防渗、防腐、防老化维护，及时修补破损、渗漏点位。杜绝生活污水各处理水池的渗漏的发生，从源头杜绝生活污水漫流或渗漏造成的土壤污染环境风险。</w:t>
      </w:r>
    </w:p>
    <w:p w14:paraId="7F98D728">
      <w:pPr>
        <w:pStyle w:val="41"/>
        <w:bidi w:val="0"/>
        <w:rPr>
          <w:rFonts w:hint="default"/>
        </w:rPr>
      </w:pPr>
      <w:r>
        <w:rPr>
          <w:rFonts w:hint="default"/>
        </w:rPr>
        <w:t>②建立雨天、汛期专项巡查机制，防范雨水倒灌引发污水管网满溢、破裂泄漏。</w:t>
      </w:r>
    </w:p>
    <w:p w14:paraId="711078CD">
      <w:pPr>
        <w:pStyle w:val="41"/>
        <w:bidi w:val="0"/>
        <w:rPr>
          <w:rFonts w:hint="default"/>
        </w:rPr>
      </w:pPr>
      <w:r>
        <w:rPr>
          <w:rFonts w:hint="default"/>
        </w:rPr>
        <w:t>③发生泄漏第一时间关闭上下游管网阀门、停运污水泵，切断污水扩散路径，缩小污染范围。对地表泄漏污水采用沙袋、围挡、防渗膜快速围堵，防止污水流入周围土壤。对破损管网、池体临时封堵修补，避免污水持续渗漏。</w:t>
      </w:r>
    </w:p>
    <w:p w14:paraId="31FF338C">
      <w:pPr>
        <w:pStyle w:val="41"/>
        <w:bidi w:val="0"/>
        <w:rPr>
          <w:rFonts w:hint="default"/>
          <w:lang w:val="en-US" w:eastAsia="zh-CN"/>
        </w:rPr>
      </w:pPr>
      <w:r>
        <w:rPr>
          <w:rFonts w:hint="eastAsia"/>
          <w:lang w:val="en-US" w:eastAsia="zh-CN"/>
        </w:rPr>
        <w:t>（3）弃渣场突发环境风险防范措施</w:t>
      </w:r>
    </w:p>
    <w:p w14:paraId="18EC82F1">
      <w:pPr>
        <w:pStyle w:val="41"/>
        <w:bidi w:val="0"/>
        <w:rPr>
          <w:rFonts w:hint="default"/>
        </w:rPr>
      </w:pPr>
      <w:r>
        <w:rPr>
          <w:rFonts w:hint="default"/>
        </w:rPr>
        <w:fldChar w:fldCharType="begin"/>
      </w:r>
      <w:r>
        <w:rPr>
          <w:rFonts w:hint="default"/>
        </w:rPr>
        <w:instrText xml:space="preserve"> = 1 \* GB3 </w:instrText>
      </w:r>
      <w:r>
        <w:rPr>
          <w:rFonts w:hint="default"/>
        </w:rPr>
        <w:fldChar w:fldCharType="separate"/>
      </w:r>
      <w:r>
        <w:rPr>
          <w:rFonts w:hint="default"/>
        </w:rPr>
        <w:t>①</w:t>
      </w:r>
      <w:r>
        <w:rPr>
          <w:rFonts w:hint="default"/>
        </w:rPr>
        <w:fldChar w:fldCharType="end"/>
      </w:r>
      <w:r>
        <w:rPr>
          <w:rFonts w:hint="eastAsia"/>
          <w:lang w:eastAsia="zh-CN"/>
        </w:rPr>
        <w:t>弃渣场</w:t>
      </w:r>
      <w:r>
        <w:rPr>
          <w:rFonts w:hint="default"/>
        </w:rPr>
        <w:t>截</w:t>
      </w:r>
      <w:r>
        <w:rPr>
          <w:rFonts w:hint="eastAsia"/>
          <w:lang w:val="en-US" w:eastAsia="zh-CN"/>
        </w:rPr>
        <w:t>排</w:t>
      </w:r>
      <w:r>
        <w:rPr>
          <w:rFonts w:hint="default"/>
        </w:rPr>
        <w:t>水沟设计时应提高防洪标准，避免</w:t>
      </w:r>
      <w:r>
        <w:rPr>
          <w:rFonts w:hint="eastAsia"/>
          <w:lang w:eastAsia="zh-CN"/>
        </w:rPr>
        <w:t>弃渣场</w:t>
      </w:r>
      <w:r>
        <w:rPr>
          <w:rFonts w:hint="default"/>
        </w:rPr>
        <w:t>暴雨条件下泥石流灾害发生。</w:t>
      </w:r>
    </w:p>
    <w:p w14:paraId="68185767">
      <w:pPr>
        <w:pStyle w:val="41"/>
        <w:bidi w:val="0"/>
        <w:rPr>
          <w:rFonts w:hint="default"/>
        </w:rPr>
      </w:pPr>
      <w:r>
        <w:rPr>
          <w:rFonts w:hint="default"/>
        </w:rPr>
        <w:fldChar w:fldCharType="begin"/>
      </w:r>
      <w:r>
        <w:rPr>
          <w:rFonts w:hint="default"/>
        </w:rPr>
        <w:instrText xml:space="preserve"> = 2 \* GB3 </w:instrText>
      </w:r>
      <w:r>
        <w:rPr>
          <w:rFonts w:hint="default"/>
        </w:rPr>
        <w:fldChar w:fldCharType="separate"/>
      </w:r>
      <w:r>
        <w:rPr>
          <w:rFonts w:hint="default"/>
        </w:rPr>
        <w:t>②</w:t>
      </w:r>
      <w:r>
        <w:rPr>
          <w:rFonts w:hint="default"/>
        </w:rPr>
        <w:fldChar w:fldCharType="end"/>
      </w:r>
      <w:r>
        <w:rPr>
          <w:rFonts w:hint="default"/>
        </w:rPr>
        <w:t>若雨季可能引发</w:t>
      </w:r>
      <w:r>
        <w:rPr>
          <w:rFonts w:hint="eastAsia"/>
          <w:lang w:eastAsia="zh-CN"/>
        </w:rPr>
        <w:t>弃渣场</w:t>
      </w:r>
      <w:r>
        <w:rPr>
          <w:rFonts w:hint="default"/>
        </w:rPr>
        <w:t>滑坡、泥石流时，应立即向当地主管部门报告，及时采取有效措施</w:t>
      </w:r>
      <w:r>
        <w:rPr>
          <w:rFonts w:hint="eastAsia"/>
          <w:lang w:val="en-US" w:eastAsia="zh-CN"/>
        </w:rPr>
        <w:t>防止生态破坏</w:t>
      </w:r>
      <w:r>
        <w:rPr>
          <w:rFonts w:hint="default"/>
        </w:rPr>
        <w:t>。</w:t>
      </w:r>
    </w:p>
    <w:p w14:paraId="45614DB9">
      <w:pPr>
        <w:pStyle w:val="41"/>
        <w:bidi w:val="0"/>
        <w:rPr>
          <w:rFonts w:hint="default"/>
        </w:rPr>
      </w:pPr>
      <w:r>
        <w:rPr>
          <w:rFonts w:hint="default"/>
        </w:rPr>
        <w:fldChar w:fldCharType="begin"/>
      </w:r>
      <w:r>
        <w:rPr>
          <w:rFonts w:hint="default"/>
        </w:rPr>
        <w:instrText xml:space="preserve"> = 3 \* GB3 </w:instrText>
      </w:r>
      <w:r>
        <w:rPr>
          <w:rFonts w:hint="default"/>
        </w:rPr>
        <w:fldChar w:fldCharType="separate"/>
      </w:r>
      <w:r>
        <w:rPr>
          <w:rFonts w:hint="default"/>
        </w:rPr>
        <w:t>③</w:t>
      </w:r>
      <w:r>
        <w:rPr>
          <w:rFonts w:hint="default"/>
        </w:rPr>
        <w:fldChar w:fldCharType="end"/>
      </w:r>
      <w:r>
        <w:rPr>
          <w:rFonts w:hint="default"/>
        </w:rPr>
        <w:t>若</w:t>
      </w:r>
      <w:r>
        <w:rPr>
          <w:rFonts w:hint="eastAsia"/>
          <w:lang w:eastAsia="zh-CN"/>
        </w:rPr>
        <w:t>弃渣场</w:t>
      </w:r>
      <w:r>
        <w:rPr>
          <w:rFonts w:hint="default"/>
        </w:rPr>
        <w:t>排水系统毁坏或堵塞，应及时疏通修复。一方面应立即向当地政府报告，组织专业人员抢险。</w:t>
      </w:r>
    </w:p>
    <w:p w14:paraId="740CB2A2">
      <w:pPr>
        <w:pStyle w:val="41"/>
        <w:bidi w:val="0"/>
        <w:rPr>
          <w:rFonts w:hint="default"/>
          <w:lang w:eastAsia="zh-CN"/>
        </w:rPr>
        <w:sectPr>
          <w:headerReference r:id="rId11" w:type="default"/>
          <w:footerReference r:id="rId12" w:type="default"/>
          <w:pgSz w:w="11907" w:h="16840"/>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default"/>
        </w:rPr>
        <w:fldChar w:fldCharType="begin"/>
      </w:r>
      <w:r>
        <w:rPr>
          <w:rFonts w:hint="default"/>
        </w:rPr>
        <w:instrText xml:space="preserve"> = 4 \* GB3 </w:instrText>
      </w:r>
      <w:r>
        <w:rPr>
          <w:rFonts w:hint="default"/>
        </w:rPr>
        <w:fldChar w:fldCharType="separate"/>
      </w:r>
      <w:r>
        <w:rPr>
          <w:rFonts w:hint="default"/>
        </w:rPr>
        <w:t>④</w:t>
      </w:r>
      <w:r>
        <w:rPr>
          <w:rFonts w:hint="default"/>
        </w:rPr>
        <w:fldChar w:fldCharType="end"/>
      </w:r>
      <w:r>
        <w:rPr>
          <w:rFonts w:hint="default"/>
        </w:rPr>
        <w:t>雨季定期检查截排水设施、挡土墙，发现问题及时修理</w:t>
      </w:r>
      <w:r>
        <w:rPr>
          <w:rFonts w:hint="default"/>
          <w:lang w:eastAsia="zh-CN"/>
        </w:rPr>
        <w:t>。</w:t>
      </w:r>
    </w:p>
    <w:p w14:paraId="644B9C41">
      <w:pPr>
        <w:pStyle w:val="2"/>
        <w:bidi w:val="0"/>
        <w:rPr>
          <w:rFonts w:hint="default"/>
        </w:rPr>
      </w:pPr>
      <w:bookmarkStart w:id="530" w:name="_Toc31593"/>
      <w:r>
        <w:rPr>
          <w:rFonts w:hint="default"/>
        </w:rPr>
        <w:t>产业政策、环保政策及</w:t>
      </w:r>
      <w:r>
        <w:rPr>
          <w:rFonts w:hint="eastAsia"/>
          <w:lang w:val="en-US" w:eastAsia="zh-CN"/>
        </w:rPr>
        <w:t>规划</w:t>
      </w:r>
      <w:r>
        <w:rPr>
          <w:rFonts w:hint="default"/>
        </w:rPr>
        <w:t>符合性分析</w:t>
      </w:r>
      <w:bookmarkEnd w:id="530"/>
    </w:p>
    <w:p w14:paraId="1560EE83">
      <w:pPr>
        <w:pStyle w:val="3"/>
        <w:keepNext/>
        <w:pageBreakBefore w:val="0"/>
        <w:kinsoku/>
        <w:overflowPunct/>
        <w:topLinePunct w:val="0"/>
        <w:bidi w:val="0"/>
        <w:rPr>
          <w:rFonts w:hint="eastAsia"/>
          <w:color w:val="000000" w:themeColor="text1"/>
          <w:highlight w:val="none"/>
          <w14:textFill>
            <w14:solidFill>
              <w14:schemeClr w14:val="tx1"/>
            </w14:solidFill>
          </w14:textFill>
        </w:rPr>
      </w:pPr>
      <w:bookmarkStart w:id="531" w:name="_Toc2644"/>
      <w:bookmarkStart w:id="532" w:name="_Toc8533"/>
      <w:r>
        <w:rPr>
          <w:rFonts w:hint="eastAsia"/>
          <w:color w:val="000000" w:themeColor="text1"/>
          <w:highlight w:val="none"/>
          <w14:textFill>
            <w14:solidFill>
              <w14:schemeClr w14:val="tx1"/>
            </w14:solidFill>
          </w14:textFill>
        </w:rPr>
        <w:t>与产业政策符合性</w:t>
      </w:r>
      <w:bookmarkEnd w:id="531"/>
      <w:bookmarkEnd w:id="532"/>
    </w:p>
    <w:p w14:paraId="13109ACC">
      <w:pPr>
        <w:pStyle w:val="41"/>
        <w:bidi w:val="0"/>
        <w:rPr>
          <w:rFonts w:hint="default"/>
          <w:lang w:val="en-US" w:eastAsia="zh-CN"/>
        </w:rPr>
      </w:pPr>
      <w:r>
        <w:rPr>
          <w:rFonts w:hint="default"/>
          <w:lang w:val="en-US" w:eastAsia="zh-CN"/>
        </w:rPr>
        <w:t>本项目属于</w:t>
      </w:r>
      <w:r>
        <w:rPr>
          <w:rFonts w:hint="eastAsia"/>
          <w:lang w:val="en-US" w:eastAsia="zh-CN"/>
        </w:rPr>
        <w:t>《</w:t>
      </w:r>
      <w:r>
        <w:rPr>
          <w:rFonts w:hint="default"/>
          <w:lang w:val="en-US" w:eastAsia="zh-CN"/>
        </w:rPr>
        <w:t>国民经济行业与代码》中建筑装饰用石开采（B1012）。项目未在</w:t>
      </w:r>
      <w:r>
        <w:rPr>
          <w:rFonts w:hint="eastAsia"/>
          <w:lang w:val="en-US" w:eastAsia="zh-CN"/>
        </w:rPr>
        <w:t>《</w:t>
      </w:r>
      <w:r>
        <w:rPr>
          <w:rFonts w:hint="default"/>
          <w:lang w:val="en-US" w:eastAsia="zh-CN"/>
        </w:rPr>
        <w:t>产业结构调整指导目录（2024年本）》鼓励类、限制类和淘汰类所列具体类别中，根据国务院</w:t>
      </w:r>
      <w:r>
        <w:rPr>
          <w:rFonts w:hint="eastAsia"/>
          <w:lang w:val="en-US" w:eastAsia="zh-CN"/>
        </w:rPr>
        <w:t>《</w:t>
      </w:r>
      <w:r>
        <w:rPr>
          <w:rFonts w:hint="default"/>
          <w:lang w:val="en-US" w:eastAsia="zh-CN"/>
        </w:rPr>
        <w:t>促进产业结构调整暂行规定》（国发〔2005〕40号）第十三条</w:t>
      </w:r>
      <w:r>
        <w:rPr>
          <w:rFonts w:hint="eastAsia"/>
          <w:lang w:val="en-US" w:eastAsia="zh-CN"/>
        </w:rPr>
        <w:t>“</w:t>
      </w:r>
      <w:r>
        <w:rPr>
          <w:rFonts w:hint="default"/>
          <w:lang w:val="en-US" w:eastAsia="zh-CN"/>
        </w:rPr>
        <w:t>不属于鼓励类、限制类及淘汰类，且符合国家有关</w:t>
      </w:r>
      <w:r>
        <w:rPr>
          <w:rFonts w:hint="eastAsia"/>
          <w:lang w:val="en-US" w:eastAsia="zh-CN"/>
        </w:rPr>
        <w:t>法律法规</w:t>
      </w:r>
      <w:r>
        <w:rPr>
          <w:rFonts w:hint="default"/>
          <w:lang w:val="en-US" w:eastAsia="zh-CN"/>
        </w:rPr>
        <w:t>和政策规定的，可视为允许类</w:t>
      </w:r>
      <w:r>
        <w:rPr>
          <w:rFonts w:hint="eastAsia"/>
          <w:lang w:val="en-US" w:eastAsia="zh-CN"/>
        </w:rPr>
        <w:t>”</w:t>
      </w:r>
      <w:r>
        <w:rPr>
          <w:rFonts w:hint="default"/>
          <w:lang w:val="en-US" w:eastAsia="zh-CN"/>
        </w:rPr>
        <w:t>。</w:t>
      </w:r>
    </w:p>
    <w:p w14:paraId="1B9357DC">
      <w:pPr>
        <w:pStyle w:val="41"/>
        <w:bidi w:val="0"/>
        <w:rPr>
          <w:rFonts w:hint="eastAsia"/>
        </w:rPr>
      </w:pPr>
      <w:r>
        <w:rPr>
          <w:rFonts w:hint="default"/>
          <w:lang w:val="en-US" w:eastAsia="zh-CN"/>
        </w:rPr>
        <w:t>项目生产设备、工艺及产品不在</w:t>
      </w:r>
      <w:r>
        <w:rPr>
          <w:rFonts w:hint="eastAsia"/>
          <w:lang w:val="en-US" w:eastAsia="zh-CN"/>
        </w:rPr>
        <w:t>《</w:t>
      </w:r>
      <w:r>
        <w:rPr>
          <w:rFonts w:hint="default"/>
          <w:lang w:val="en-US" w:eastAsia="zh-CN"/>
        </w:rPr>
        <w:t>部分工业行业淘汰落后生产工艺装备和产品指导目录（2010年本）》名录内；对照</w:t>
      </w:r>
      <w:r>
        <w:rPr>
          <w:rFonts w:hint="eastAsia"/>
          <w:lang w:val="en-US" w:eastAsia="zh-CN"/>
        </w:rPr>
        <w:t>《</w:t>
      </w:r>
      <w:r>
        <w:rPr>
          <w:rFonts w:hint="default"/>
          <w:lang w:val="en-US" w:eastAsia="zh-CN"/>
        </w:rPr>
        <w:t>云南省工业产业结构调整指导目录》（2014年本）内容，项目不属于该指导目录中的限制类、淘汰类。项目于2025年9月4日取得云南省固定资产投资项目备案证（项目代码：2509-532928-04-01-969112）。综上所述，项目符合国家及地方产业政策</w:t>
      </w:r>
      <w:r>
        <w:rPr>
          <w:rFonts w:hint="eastAsia"/>
          <w:lang w:val="zh-CN" w:eastAsia="zh-CN"/>
        </w:rPr>
        <w:t>。</w:t>
      </w:r>
    </w:p>
    <w:p w14:paraId="157F9A2C">
      <w:pPr>
        <w:pStyle w:val="3"/>
        <w:keepNext/>
        <w:pageBreakBefore w:val="0"/>
        <w:kinsoku/>
        <w:overflowPunct/>
        <w:topLinePunct w:val="0"/>
        <w:bidi w:val="0"/>
        <w:rPr>
          <w:rFonts w:hint="eastAsia"/>
          <w:color w:val="000000" w:themeColor="text1"/>
          <w:highlight w:val="none"/>
          <w14:textFill>
            <w14:solidFill>
              <w14:schemeClr w14:val="tx1"/>
            </w14:solidFill>
          </w14:textFill>
        </w:rPr>
      </w:pPr>
      <w:bookmarkStart w:id="533" w:name="_Toc475"/>
      <w:bookmarkStart w:id="534" w:name="_Toc19597"/>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三线一单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符合性分析</w:t>
      </w:r>
      <w:bookmarkEnd w:id="533"/>
      <w:bookmarkEnd w:id="534"/>
    </w:p>
    <w:p w14:paraId="3F0ED5BE">
      <w:pPr>
        <w:pStyle w:val="41"/>
        <w:bidi w:val="0"/>
        <w:rPr>
          <w:rFonts w:hint="eastAsia"/>
          <w:lang w:val="en-US" w:eastAsia="zh-CN"/>
        </w:rPr>
      </w:pPr>
      <w:r>
        <w:rPr>
          <w:rFonts w:hint="default"/>
          <w:lang w:val="en-US" w:eastAsia="zh-CN"/>
        </w:rPr>
        <w:t>项目位于</w:t>
      </w:r>
      <w:r>
        <w:rPr>
          <w:rFonts w:hint="eastAsia"/>
          <w:lang w:val="en-US" w:eastAsia="zh-CN"/>
        </w:rPr>
        <w:t>云南省文山州砚山县江那镇铳卡石门坎，</w:t>
      </w:r>
      <w:r>
        <w:rPr>
          <w:rFonts w:hint="default"/>
          <w:lang w:val="en-US" w:eastAsia="zh-CN"/>
        </w:rPr>
        <w:t>根据</w:t>
      </w:r>
      <w:r>
        <w:rPr>
          <w:rFonts w:hint="eastAsia"/>
          <w:lang w:val="en-US" w:eastAsia="zh-CN"/>
        </w:rPr>
        <w:t>“</w:t>
      </w:r>
      <w:r>
        <w:t>文山州人民政府《关于印发文山州生态环境分区管控动态更新方案（2023年）的通知》（文政发〔2024〕18号）</w:t>
      </w:r>
      <w:r>
        <w:rPr>
          <w:rFonts w:hint="eastAsia"/>
          <w:lang w:val="en-US" w:eastAsia="zh-CN"/>
        </w:rPr>
        <w:t>”</w:t>
      </w:r>
      <w:r>
        <w:rPr>
          <w:rFonts w:hint="default"/>
          <w:lang w:val="en-US" w:eastAsia="zh-CN"/>
        </w:rPr>
        <w:t>及云南省生态环境分区管控公共服务查询平台查询，项目位于</w:t>
      </w:r>
      <w:r>
        <w:t>砚山县矿产资源重点管控单元</w:t>
      </w:r>
      <w:r>
        <w:rPr>
          <w:rFonts w:hint="eastAsia"/>
          <w:lang w:val="en-US" w:eastAsia="zh-CN"/>
        </w:rPr>
        <w:t>（</w:t>
      </w:r>
      <w:r>
        <w:t>ZH53262220003</w:t>
      </w:r>
      <w:r>
        <w:rPr>
          <w:rFonts w:hint="eastAsia"/>
          <w:lang w:val="en-US" w:eastAsia="zh-CN"/>
        </w:rPr>
        <w:t>）、</w:t>
      </w:r>
      <w:r>
        <w:t>砚山县一般管控单元</w:t>
      </w:r>
      <w:r>
        <w:rPr>
          <w:rFonts w:hint="eastAsia"/>
          <w:lang w:eastAsia="zh-CN"/>
        </w:rPr>
        <w:t>（</w:t>
      </w:r>
      <w:r>
        <w:t>ZH53262230001</w:t>
      </w:r>
      <w:r>
        <w:rPr>
          <w:rFonts w:hint="eastAsia"/>
          <w:lang w:eastAsia="zh-CN"/>
        </w:rPr>
        <w:t>）</w:t>
      </w:r>
      <w:r>
        <w:rPr>
          <w:rFonts w:hint="eastAsia"/>
          <w:lang w:val="en-US" w:eastAsia="zh-CN"/>
        </w:rPr>
        <w:t>。</w:t>
      </w:r>
    </w:p>
    <w:p w14:paraId="30B0DDDB">
      <w:pPr>
        <w:keepNext/>
        <w:pageBreakBefore w:val="0"/>
        <w:kinsoku/>
        <w:overflowPunct/>
        <w:topLinePunct w:val="0"/>
        <w:bidi w:val="0"/>
        <w:ind w:left="0" w:leftChars="0" w:firstLine="0" w:firstLineChars="0"/>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drawing>
          <wp:inline distT="0" distB="0" distL="114300" distR="114300">
            <wp:extent cx="5276215" cy="5224145"/>
            <wp:effectExtent l="0" t="0" r="12065" b="3175"/>
            <wp:docPr id="132" name="图片 132" descr="管控单元截图2026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管控单元截图20260602"/>
                    <pic:cNvPicPr>
                      <a:picLocks noChangeAspect="1"/>
                    </pic:cNvPicPr>
                  </pic:nvPicPr>
                  <pic:blipFill>
                    <a:blip r:embed="rId41"/>
                    <a:stretch>
                      <a:fillRect/>
                    </a:stretch>
                  </pic:blipFill>
                  <pic:spPr>
                    <a:xfrm>
                      <a:off x="0" y="0"/>
                      <a:ext cx="5276215" cy="5224145"/>
                    </a:xfrm>
                    <a:prstGeom prst="rect">
                      <a:avLst/>
                    </a:prstGeom>
                  </pic:spPr>
                </pic:pic>
              </a:graphicData>
            </a:graphic>
          </wp:inline>
        </w:drawing>
      </w:r>
    </w:p>
    <w:p w14:paraId="77381E40">
      <w:pPr>
        <w:pStyle w:val="45"/>
        <w:bidi w:val="0"/>
        <w:rPr>
          <w:rFonts w:hint="default"/>
          <w:lang w:val="en-US" w:eastAsia="zh-CN"/>
        </w:rPr>
      </w:pPr>
      <w:r>
        <w:rPr>
          <w:rFonts w:hint="eastAsia"/>
          <w:lang w:val="en-US" w:eastAsia="zh-CN"/>
        </w:rPr>
        <w:t>图9.2-1  项目所处生态环境分区管控位置示意图</w:t>
      </w:r>
    </w:p>
    <w:p w14:paraId="61D4B311">
      <w:pPr>
        <w:pStyle w:val="41"/>
        <w:bidi w:val="0"/>
        <w:rPr>
          <w:rFonts w:hint="eastAsia"/>
          <w:lang w:val="en-US" w:eastAsia="zh-CN"/>
        </w:rPr>
      </w:pPr>
      <w:r>
        <w:rPr>
          <w:rFonts w:hint="default"/>
          <w:lang w:val="en-US" w:eastAsia="zh-CN"/>
        </w:rPr>
        <w:t>项目与</w:t>
      </w:r>
      <w:r>
        <w:rPr>
          <w:rFonts w:hint="eastAsia"/>
          <w:lang w:val="en-US" w:eastAsia="zh-CN"/>
        </w:rPr>
        <w:t>《</w:t>
      </w:r>
      <w:r>
        <w:t>文山州生态环境分区管控动态更新方案</w:t>
      </w:r>
      <w:r>
        <w:rPr>
          <w:rFonts w:hint="eastAsia"/>
          <w:lang w:val="en-US" w:eastAsia="zh-CN"/>
        </w:rPr>
        <w:t>（2023年）》</w:t>
      </w:r>
      <w:r>
        <w:rPr>
          <w:rFonts w:hint="default"/>
          <w:lang w:val="en-US" w:eastAsia="zh-CN"/>
        </w:rPr>
        <w:t>符合性分析见下表。</w:t>
      </w:r>
    </w:p>
    <w:p w14:paraId="40C008BA">
      <w:pPr>
        <w:pStyle w:val="45"/>
        <w:bidi w:val="0"/>
        <w:rPr>
          <w:rFonts w:hint="default"/>
        </w:rPr>
      </w:pPr>
      <w:r>
        <w:rPr>
          <w:rFonts w:hint="eastAsia"/>
        </w:rPr>
        <w:t>表</w:t>
      </w:r>
      <w:r>
        <w:rPr>
          <w:rFonts w:hint="eastAsia"/>
          <w:lang w:val="en-US" w:eastAsia="zh-CN"/>
        </w:rPr>
        <w:t>9.2-1</w:t>
      </w:r>
      <w:r>
        <w:rPr>
          <w:rFonts w:hint="default"/>
        </w:rPr>
        <w:t xml:space="preserve">  </w:t>
      </w:r>
      <w:r>
        <w:rPr>
          <w:rFonts w:hint="eastAsia"/>
        </w:rPr>
        <w:t>项目与</w:t>
      </w:r>
      <w:r>
        <w:rPr>
          <w:rFonts w:hint="eastAsia"/>
          <w:lang w:eastAsia="zh-CN"/>
        </w:rPr>
        <w:t>“</w:t>
      </w:r>
      <w:r>
        <w:rPr>
          <w:rFonts w:hint="eastAsia"/>
        </w:rPr>
        <w:t>三线一单</w:t>
      </w:r>
      <w:r>
        <w:rPr>
          <w:rFonts w:hint="eastAsia"/>
          <w:lang w:eastAsia="zh-CN"/>
        </w:rPr>
        <w:t>”</w:t>
      </w:r>
      <w:r>
        <w:rPr>
          <w:rFonts w:hint="eastAsia"/>
        </w:rPr>
        <w:t>符合性分析</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7"/>
        <w:gridCol w:w="4882"/>
        <w:gridCol w:w="1830"/>
        <w:gridCol w:w="963"/>
      </w:tblGrid>
      <w:tr w14:paraId="0A78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21395B08">
            <w:pPr>
              <w:pStyle w:val="43"/>
              <w:bidi w:val="0"/>
              <w:jc w:val="center"/>
              <w:rPr>
                <w:b/>
                <w:bCs/>
              </w:rPr>
            </w:pPr>
            <w:r>
              <w:rPr>
                <w:b/>
                <w:bCs/>
              </w:rPr>
              <w:t>序号</w:t>
            </w:r>
          </w:p>
        </w:tc>
        <w:tc>
          <w:tcPr>
            <w:tcW w:w="427" w:type="dxa"/>
            <w:vAlign w:val="center"/>
          </w:tcPr>
          <w:p w14:paraId="1F71C5D4">
            <w:pPr>
              <w:pStyle w:val="43"/>
              <w:bidi w:val="0"/>
              <w:jc w:val="center"/>
              <w:rPr>
                <w:b/>
                <w:bCs/>
              </w:rPr>
            </w:pPr>
            <w:r>
              <w:rPr>
                <w:b/>
                <w:bCs/>
              </w:rPr>
              <w:t>区域</w:t>
            </w:r>
          </w:p>
        </w:tc>
        <w:tc>
          <w:tcPr>
            <w:tcW w:w="4882" w:type="dxa"/>
            <w:vAlign w:val="center"/>
          </w:tcPr>
          <w:p w14:paraId="103D6CF2">
            <w:pPr>
              <w:pStyle w:val="43"/>
              <w:bidi w:val="0"/>
              <w:jc w:val="center"/>
              <w:rPr>
                <w:b/>
                <w:bCs/>
              </w:rPr>
            </w:pPr>
            <w:r>
              <w:rPr>
                <w:b/>
                <w:bCs/>
              </w:rPr>
              <w:t>准入要求</w:t>
            </w:r>
          </w:p>
        </w:tc>
        <w:tc>
          <w:tcPr>
            <w:tcW w:w="1830" w:type="dxa"/>
            <w:vAlign w:val="center"/>
          </w:tcPr>
          <w:p w14:paraId="1D57573F">
            <w:pPr>
              <w:pStyle w:val="43"/>
              <w:bidi w:val="0"/>
              <w:jc w:val="center"/>
              <w:rPr>
                <w:rFonts w:hint="default" w:eastAsia="宋体"/>
                <w:b/>
                <w:bCs/>
                <w:lang w:val="en-US" w:eastAsia="zh-CN"/>
              </w:rPr>
            </w:pPr>
            <w:r>
              <w:rPr>
                <w:rFonts w:hint="eastAsia"/>
                <w:b/>
                <w:bCs/>
                <w:lang w:val="en-US" w:eastAsia="zh-CN"/>
              </w:rPr>
              <w:t>项目情况</w:t>
            </w:r>
          </w:p>
        </w:tc>
        <w:tc>
          <w:tcPr>
            <w:tcW w:w="963" w:type="dxa"/>
            <w:vAlign w:val="center"/>
          </w:tcPr>
          <w:p w14:paraId="1A8FC5BD">
            <w:pPr>
              <w:pStyle w:val="43"/>
              <w:bidi w:val="0"/>
              <w:jc w:val="center"/>
              <w:rPr>
                <w:rFonts w:hint="default" w:eastAsia="宋体"/>
                <w:b/>
                <w:bCs/>
                <w:lang w:val="en-US" w:eastAsia="zh-CN"/>
              </w:rPr>
            </w:pPr>
            <w:r>
              <w:rPr>
                <w:rFonts w:hint="eastAsia"/>
                <w:b/>
                <w:bCs/>
                <w:lang w:val="en-US" w:eastAsia="zh-CN"/>
              </w:rPr>
              <w:t>相符性分析</w:t>
            </w:r>
          </w:p>
        </w:tc>
      </w:tr>
      <w:tr w14:paraId="53AF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3666E7FF">
            <w:pPr>
              <w:pStyle w:val="43"/>
              <w:bidi w:val="0"/>
              <w:jc w:val="center"/>
            </w:pPr>
            <w:r>
              <w:t>1</w:t>
            </w:r>
          </w:p>
        </w:tc>
        <w:tc>
          <w:tcPr>
            <w:tcW w:w="427" w:type="dxa"/>
            <w:vAlign w:val="center"/>
          </w:tcPr>
          <w:p w14:paraId="332DE699">
            <w:pPr>
              <w:pStyle w:val="43"/>
              <w:bidi w:val="0"/>
              <w:jc w:val="center"/>
            </w:pPr>
            <w:r>
              <w:t>文山壮族苗族自治州</w:t>
            </w:r>
          </w:p>
        </w:tc>
        <w:tc>
          <w:tcPr>
            <w:tcW w:w="4882" w:type="dxa"/>
            <w:vAlign w:val="center"/>
          </w:tcPr>
          <w:p w14:paraId="46630802">
            <w:pPr>
              <w:pStyle w:val="44"/>
              <w:bidi w:val="0"/>
            </w:pPr>
            <w:r>
              <w:t>（一）空间布局约束</w:t>
            </w:r>
            <w:r>
              <w:br w:type="textWrapping"/>
            </w:r>
            <w:r>
              <w:t>1.严格落实国家产业政策、国家产业结构调整指导目录、《云南省发展和改革委员会关于印发云南省第一批国家重点生态功能区产业准入负面清单通知》（云发改〔2018〕271号</w:t>
            </w:r>
            <w:r>
              <w:rPr>
                <w:rFonts w:hint="eastAsia"/>
                <w:lang w:eastAsia="zh-CN"/>
              </w:rPr>
              <w:t>）和</w:t>
            </w:r>
            <w:r>
              <w:t>《云南省长江经济带发展负面清单指南实施细则（试行）2022版》等相关要求。将资源承载能力、生态环境容量作为承接产业转移的基础和前提，合理确定承接产业转移重点，禁止引进环境污染大、资源消耗高、技术落后的生产能力。严禁以任何名义、任何方式核准或备案产能严重过剩行业的增加产能项目（产能置换项目除外）。</w:t>
            </w:r>
            <w:r>
              <w:br w:type="textWrapping"/>
            </w:r>
            <w:r>
              <w:t>2.坚决遏制高耗能、高排放、低水平项目盲目发展，项目审批严格落实国家和云南省相关政策要求。严格落实钢铁、水泥、平板玻璃、电解铝等行业产能置换相关政策，严管严控新增电解铝和工业硅产能。</w:t>
            </w:r>
            <w:r>
              <w:br w:type="textWrapping"/>
            </w:r>
            <w:r>
              <w:t>3.新建旅游景区禁止破坏生态环境，限制在生态脆弱地区布局。根据景区承载能力进行功能分区管理，确定游客容量上限。</w:t>
            </w:r>
            <w:r>
              <w:br w:type="textWrapping"/>
            </w:r>
            <w:r>
              <w:t>4.严格环境准入，新建项目必须符合国家规定的准入条件、清洁生产标准和排放标准，已无环境容量的区域，禁止新建增加污染物排放的项目；限制石化、有机化工等高VOCs排放建设项目。</w:t>
            </w:r>
            <w:r>
              <w:br w:type="textWrapping"/>
            </w:r>
            <w:r>
              <w:t>5.严格控制高排放项目建设，禁止引入不符合产业政策和园区发展规划的项目。</w:t>
            </w:r>
            <w:r>
              <w:br w:type="textWrapping"/>
            </w:r>
            <w:r>
              <w:t>6.禁止在合规园区外新建、扩建钢铁、石化、化工、焦化、建材、有色、制浆造纸行业中的高污染项目。禁止新建、扩建不符合国家石化、现代煤化工等产业布局规划的项目。禁止列入《云南省城镇人口密集区危险化学品生产企业搬迁改造名单》的搬迁改造企业在原址新建、扩建危险化学品生产项目。</w:t>
            </w:r>
            <w:r>
              <w:br w:type="textWrapping"/>
            </w:r>
            <w:r>
              <w:t>7.加强河湖水域岸线空间管控，严格落实盘龙河文山段、普者黑相关管控要求，合理安排河湖管理保护控制地带，加强对河湖周边房地产、工矿企业、化工园区等“贴线”开发管控。</w:t>
            </w:r>
            <w:r>
              <w:br w:type="textWrapping"/>
            </w:r>
            <w:r>
              <w:t>8.落实云南省碳达峰碳中和相关要求，处理好发展和减排、整体和局部、长远目标和短期目标、政府和市场的关系，坚定不移走生态优先、绿色低碳的高质量发展道路。</w:t>
            </w:r>
            <w:r>
              <w:br w:type="textWrapping"/>
            </w:r>
            <w:r>
              <w:t>（二）污染物排放管控</w:t>
            </w:r>
            <w:r>
              <w:br w:type="textWrapping"/>
            </w:r>
            <w:r>
              <w:t>1.优化城镇排污设施布局，推进城镇污水管网和污水处理厂等设施建设，实施以县城和乡镇为重点的污水管网补短板工程，加快推进农村生活污水治理，提高城镇、乡村生活污水收集率和处理能力，城镇生活污水集中处理率、农村生活污水处理率完成上级下达指标。积极推进农田科学施肥、轮作制度及生态种植模式，实现化肥减量增效工作目标，大幅度降低农田污染。</w:t>
            </w:r>
            <w:r>
              <w:br w:type="textWrapping"/>
            </w:r>
            <w:r>
              <w:t>2.严格保护城乡饮用水水源地，整治饮用水源保护区内的污染源，确保饮水安全。实现城乡生活污水、垃圾处理设施全覆盖和稳定运行。推进</w:t>
            </w:r>
            <w:r>
              <w:rPr>
                <w:rFonts w:hint="eastAsia"/>
                <w:lang w:eastAsia="zh-CN"/>
              </w:rPr>
              <w:t>农业面源污染</w:t>
            </w:r>
            <w:r>
              <w:t>治理。推进工业集中区、工矿企业污水处理设施全覆盖和利用效率最大化，污水处理设施出水须满足相应标准要求。</w:t>
            </w:r>
            <w:r>
              <w:br w:type="textWrapping"/>
            </w:r>
            <w:r>
              <w:t>3.加大环境污染物减排力度，到2025年，全州实现氮氧化物减排量0.112万吨、挥发性有机物减排量0.331万吨、化学需氧量减排量4411吨、氨氮减排量294吨。</w:t>
            </w:r>
            <w:r>
              <w:br w:type="textWrapping"/>
            </w:r>
            <w:r>
              <w:t>4.合理规划污染地块用途，从严管控农药、化工、有色金属等行业企业重度污染地块开发利用。对列入建设用地土壤污染风险管控和修复名录的地块不得作为住宅、公共管理与公共服务用地；不得办理土地征收、收回、收购、土地供应以及改变土地用途等手续。</w:t>
            </w:r>
            <w:r>
              <w:br w:type="textWrapping"/>
            </w:r>
            <w:r>
              <w:t>5.深入推进重金属污染防治，严格重点行业企业准入管理，加大产业结构调整力度，优化重点行业企业布局，推动涉重金属产业集中优化发展，合理布局新建有色冶炼项目，新建、扩建重有色金属冶炼、电镀、制革企业优先选择布设在依法合规的开发区。完善涉重金属重点行业企业清单、加强重金属污染物减排、推动涉重金属排污许可总量控制。</w:t>
            </w:r>
            <w:r>
              <w:br w:type="textWrapping"/>
            </w:r>
            <w:r>
              <w:t>6.加强固体废物污染防治，建立固体废物部门联动监管长效机制，提高固体废物规范化管理水平，遏制固体废物特别是危险废物非法转移、倾倒、处置。</w:t>
            </w:r>
            <w:r>
              <w:br w:type="textWrapping"/>
            </w:r>
            <w:r>
              <w:t>7.以“一湖一河”为重点，持续推进普者黑、盘龙河等重要河湖水生态保护与修复；开展集镇和临湖、临河村庄生活污水收集处理、农业面源末端拦截及循环利用工程、入湖河流水质提升工程等控源截污和水环境治理工程，城乡统筹供水、农业节水减排等工程，植树造林、入湖口湿地、环湖生态廊道等生态修复工程，完善监测体系、管理平台等智慧流域管控工程等。</w:t>
            </w:r>
            <w:r>
              <w:br w:type="textWrapping"/>
            </w:r>
            <w:r>
              <w:t>（三）环境风险防控</w:t>
            </w:r>
            <w:r>
              <w:br w:type="textWrapping"/>
            </w:r>
            <w:r>
              <w:t>1.严格控制盘龙河流域石化、化工、有色金属冶炼等项目环境风险，合理布局生产装置及危险化学品仓储等设施。</w:t>
            </w:r>
            <w:r>
              <w:br w:type="textWrapping"/>
            </w:r>
            <w:r>
              <w:t>2.加强环境风险防控和应急管理，制定和完善突发环境事件应急预案，加强风险防控和突发环境事件应急处理处置能力。</w:t>
            </w:r>
            <w:r>
              <w:br w:type="textWrapping"/>
            </w:r>
            <w:r>
              <w:t>3.深入开展</w:t>
            </w:r>
            <w:r>
              <w:rPr>
                <w:rFonts w:hint="eastAsia"/>
                <w:lang w:eastAsia="zh-CN"/>
              </w:rPr>
              <w:t>历史遗留废弃矿山生态修复</w:t>
            </w:r>
            <w:r>
              <w:t>、工矿场地、固体废物和尾矿库污染防治，实施重金属污染治理和污染地块环境治理，降低土壤污染风险。</w:t>
            </w:r>
            <w:r>
              <w:br w:type="textWrapping"/>
            </w:r>
            <w:r>
              <w:t>4.严格尾矿库建设项目准入，严控环境污染风险，加快建立健全尾矿库建设污染防治的长效机制。</w:t>
            </w:r>
            <w:r>
              <w:br w:type="textWrapping"/>
            </w:r>
            <w:r>
              <w:t>（四）资源开发效率要求</w:t>
            </w:r>
            <w:r>
              <w:br w:type="textWrapping"/>
            </w:r>
            <w:r>
              <w:t>1.降低水、土地、能源、矿产资源消耗强度，强化约束性指标管理。</w:t>
            </w:r>
            <w:r>
              <w:br w:type="textWrapping"/>
            </w:r>
            <w:r>
              <w:t>2.实行最严格的水资源管理制度，严格用水总量、强度指标管理，严格取水管控，建立重点监控取水单位名录，强化重点监控取水单位管理。到2025年，全州用水总量11.5亿</w:t>
            </w:r>
            <w:r>
              <w:rPr>
                <w:rFonts w:hint="eastAsia"/>
                <w:lang w:eastAsia="zh-CN"/>
              </w:rPr>
              <w:t>m</w:t>
            </w:r>
            <w:r>
              <w:rPr>
                <w:rFonts w:hint="eastAsia"/>
                <w:vertAlign w:val="superscript"/>
                <w:lang w:eastAsia="zh-CN"/>
              </w:rPr>
              <w:t>3</w:t>
            </w:r>
            <w:r>
              <w:t>以内，万元工业增加值用水量比2020年下降18%以上。</w:t>
            </w:r>
            <w:r>
              <w:br w:type="textWrapping"/>
            </w:r>
            <w:r>
              <w:t>3.坚持最严格的耕地保护制度，守住耕地保护红线。坚持节约用地，严格执行耕地占补平衡等制度，提高土地投资强度和单位面积产出水平。</w:t>
            </w:r>
            <w:r>
              <w:br w:type="textWrapping"/>
            </w:r>
            <w:r>
              <w:t>4.到2025年，全州单位地区生产总值能源消耗力争比2020年下降13%以上，能源消费总量得到合理控制，非化石能源消费占一次能源消费比重达到46%以上。</w:t>
            </w:r>
          </w:p>
        </w:tc>
        <w:tc>
          <w:tcPr>
            <w:tcW w:w="1830" w:type="dxa"/>
            <w:vAlign w:val="center"/>
          </w:tcPr>
          <w:p w14:paraId="2C99D686">
            <w:pPr>
              <w:pStyle w:val="44"/>
              <w:bidi w:val="0"/>
              <w:rPr>
                <w:rFonts w:hint="eastAsia"/>
                <w:lang w:val="en-US" w:eastAsia="zh-CN"/>
              </w:rPr>
            </w:pPr>
            <w:r>
              <w:rPr>
                <w:rFonts w:hint="eastAsia"/>
                <w:lang w:val="en-US" w:eastAsia="zh-CN"/>
              </w:rPr>
              <w:t>1.项目建设与</w:t>
            </w:r>
            <w:r>
              <w:t>国家产业政策、国家产业结构调整指导目录、《云南省发展和改革委员会关于印发云南省第一批国家重点生态功能区产业准入负面清单通知》（云发改〔2018〕271号）《云南省长江经济带发展负面清单指南实施细则（试行）2022版》等相关要求</w:t>
            </w:r>
            <w:r>
              <w:rPr>
                <w:rFonts w:hint="eastAsia"/>
                <w:lang w:val="en-US" w:eastAsia="zh-CN"/>
              </w:rPr>
              <w:t>相符。</w:t>
            </w:r>
          </w:p>
          <w:p w14:paraId="23409AB3">
            <w:pPr>
              <w:pStyle w:val="44"/>
              <w:bidi w:val="0"/>
              <w:rPr>
                <w:rFonts w:hint="eastAsia"/>
                <w:lang w:eastAsia="zh-CN"/>
              </w:rPr>
            </w:pPr>
            <w:r>
              <w:rPr>
                <w:rFonts w:hint="eastAsia"/>
                <w:lang w:val="en-US" w:eastAsia="zh-CN"/>
              </w:rPr>
              <w:t>2.项目不属于</w:t>
            </w:r>
            <w:r>
              <w:t>高耗能、高排放、低水平项目</w:t>
            </w:r>
            <w:r>
              <w:rPr>
                <w:rFonts w:hint="eastAsia"/>
                <w:lang w:eastAsia="zh-CN"/>
              </w:rPr>
              <w:t>，</w:t>
            </w:r>
            <w:r>
              <w:rPr>
                <w:rFonts w:hint="eastAsia"/>
                <w:lang w:val="en-US" w:eastAsia="zh-CN"/>
              </w:rPr>
              <w:t>不属于</w:t>
            </w:r>
            <w:r>
              <w:t>钢铁、水泥、平板玻璃、电解铝等行业</w:t>
            </w:r>
            <w:r>
              <w:rPr>
                <w:rFonts w:hint="eastAsia"/>
                <w:lang w:eastAsia="zh-CN"/>
              </w:rPr>
              <w:t>。</w:t>
            </w:r>
          </w:p>
          <w:p w14:paraId="26A0C962">
            <w:pPr>
              <w:pStyle w:val="44"/>
              <w:bidi w:val="0"/>
              <w:rPr>
                <w:rFonts w:hint="eastAsia"/>
                <w:lang w:eastAsia="zh-CN"/>
              </w:rPr>
            </w:pPr>
            <w:r>
              <w:rPr>
                <w:rFonts w:hint="eastAsia"/>
                <w:lang w:val="en-US" w:eastAsia="zh-CN"/>
              </w:rPr>
              <w:t>3.项目不属于</w:t>
            </w:r>
            <w:r>
              <w:t>新建旅游景区</w:t>
            </w:r>
            <w:r>
              <w:rPr>
                <w:rFonts w:hint="eastAsia"/>
                <w:lang w:eastAsia="zh-CN"/>
              </w:rPr>
              <w:t>。</w:t>
            </w:r>
          </w:p>
          <w:p w14:paraId="7CCAF981">
            <w:pPr>
              <w:pStyle w:val="44"/>
              <w:bidi w:val="0"/>
              <w:rPr>
                <w:rFonts w:hint="eastAsia"/>
                <w:lang w:val="en-US" w:eastAsia="zh-CN"/>
              </w:rPr>
            </w:pPr>
            <w:r>
              <w:rPr>
                <w:rFonts w:hint="eastAsia"/>
                <w:lang w:val="en-US" w:eastAsia="zh-CN"/>
              </w:rPr>
              <w:t>4.项目属于改扩建项目，不属于新建项目。</w:t>
            </w:r>
          </w:p>
          <w:p w14:paraId="2C2980BC">
            <w:pPr>
              <w:pStyle w:val="44"/>
              <w:bidi w:val="0"/>
              <w:rPr>
                <w:rFonts w:hint="eastAsia"/>
                <w:lang w:val="en-US" w:eastAsia="zh-CN"/>
              </w:rPr>
            </w:pPr>
            <w:r>
              <w:rPr>
                <w:rFonts w:hint="eastAsia"/>
                <w:lang w:val="en-US" w:eastAsia="zh-CN"/>
              </w:rPr>
              <w:t>5.项目不属于高排放项目，不属于不符合产业政策的项目。</w:t>
            </w:r>
          </w:p>
          <w:p w14:paraId="591CDFA0">
            <w:pPr>
              <w:pStyle w:val="44"/>
              <w:bidi w:val="0"/>
              <w:rPr>
                <w:rFonts w:hint="eastAsia"/>
                <w:lang w:eastAsia="zh-CN"/>
              </w:rPr>
            </w:pPr>
            <w:r>
              <w:rPr>
                <w:rFonts w:hint="eastAsia"/>
                <w:lang w:val="en-US" w:eastAsia="zh-CN"/>
              </w:rPr>
              <w:t>6.项目不属于</w:t>
            </w:r>
            <w:r>
              <w:t>钢铁、石化、化工、焦化、建材、有色、制浆造纸行业中</w:t>
            </w:r>
            <w:r>
              <w:rPr>
                <w:rFonts w:hint="eastAsia"/>
                <w:lang w:val="en-US" w:eastAsia="zh-CN"/>
              </w:rPr>
              <w:t>等</w:t>
            </w:r>
            <w:r>
              <w:t>高污染项目</w:t>
            </w:r>
            <w:r>
              <w:rPr>
                <w:rFonts w:hint="eastAsia"/>
                <w:lang w:eastAsia="zh-CN"/>
              </w:rPr>
              <w:t>。</w:t>
            </w:r>
          </w:p>
          <w:p w14:paraId="68DF74F1">
            <w:pPr>
              <w:pStyle w:val="44"/>
              <w:bidi w:val="0"/>
              <w:rPr>
                <w:rFonts w:hint="eastAsia"/>
                <w:lang w:val="en-US" w:eastAsia="zh-CN"/>
              </w:rPr>
            </w:pPr>
            <w:r>
              <w:rPr>
                <w:rFonts w:hint="eastAsia"/>
                <w:lang w:val="en-US" w:eastAsia="zh-CN"/>
              </w:rPr>
              <w:t>7.项目不涉及。</w:t>
            </w:r>
          </w:p>
          <w:p w14:paraId="1F406304">
            <w:pPr>
              <w:pStyle w:val="44"/>
              <w:bidi w:val="0"/>
              <w:rPr>
                <w:rFonts w:hint="eastAsia"/>
                <w:lang w:val="en-US" w:eastAsia="zh-CN"/>
              </w:rPr>
            </w:pPr>
            <w:r>
              <w:rPr>
                <w:rFonts w:hint="eastAsia"/>
                <w:lang w:val="en-US" w:eastAsia="zh-CN"/>
              </w:rPr>
              <w:t>8.项目不涉及。</w:t>
            </w:r>
          </w:p>
          <w:p w14:paraId="41CBB886">
            <w:pPr>
              <w:pStyle w:val="44"/>
              <w:bidi w:val="0"/>
              <w:rPr>
                <w:rFonts w:hint="eastAsia"/>
                <w:lang w:val="en-US" w:eastAsia="zh-CN"/>
              </w:rPr>
            </w:pPr>
            <w:r>
              <w:rPr>
                <w:rFonts w:hint="eastAsia"/>
                <w:lang w:val="en-US" w:eastAsia="zh-CN"/>
              </w:rPr>
              <w:t>（二）</w:t>
            </w:r>
          </w:p>
          <w:p w14:paraId="143563D9">
            <w:pPr>
              <w:pStyle w:val="44"/>
              <w:numPr>
                <w:ilvl w:val="0"/>
                <w:numId w:val="7"/>
              </w:numPr>
              <w:bidi w:val="0"/>
              <w:rPr>
                <w:rFonts w:hint="eastAsia"/>
                <w:lang w:val="en-US" w:eastAsia="zh-CN"/>
              </w:rPr>
            </w:pPr>
            <w:r>
              <w:rPr>
                <w:rFonts w:hint="eastAsia"/>
                <w:lang w:val="en-US" w:eastAsia="zh-CN"/>
              </w:rPr>
              <w:t>项目不涉及。</w:t>
            </w:r>
          </w:p>
          <w:p w14:paraId="1E227302">
            <w:pPr>
              <w:pStyle w:val="44"/>
              <w:numPr>
                <w:ilvl w:val="0"/>
                <w:numId w:val="7"/>
              </w:numPr>
              <w:bidi w:val="0"/>
              <w:rPr>
                <w:rFonts w:hint="default"/>
                <w:lang w:val="en-US" w:eastAsia="zh-CN"/>
              </w:rPr>
            </w:pPr>
            <w:r>
              <w:rPr>
                <w:rFonts w:hint="eastAsia"/>
                <w:lang w:val="en-US" w:eastAsia="zh-CN"/>
              </w:rPr>
              <w:t>项目在建设及运行过程中严格落实水土保持、大气污染防治等防治措施，对红舍克水库饮用水源保护区影响较小。</w:t>
            </w:r>
          </w:p>
          <w:p w14:paraId="71CD73A3">
            <w:pPr>
              <w:pStyle w:val="44"/>
              <w:numPr>
                <w:ilvl w:val="0"/>
                <w:numId w:val="7"/>
              </w:numPr>
              <w:bidi w:val="0"/>
              <w:rPr>
                <w:rFonts w:hint="default"/>
                <w:lang w:val="en-US" w:eastAsia="zh-CN"/>
              </w:rPr>
            </w:pPr>
            <w:r>
              <w:rPr>
                <w:rFonts w:hint="eastAsia"/>
                <w:lang w:val="en-US" w:eastAsia="zh-CN"/>
              </w:rPr>
              <w:t>项目不涉及。</w:t>
            </w:r>
          </w:p>
          <w:p w14:paraId="49AF97A6">
            <w:pPr>
              <w:pStyle w:val="44"/>
              <w:numPr>
                <w:ilvl w:val="0"/>
                <w:numId w:val="7"/>
              </w:numPr>
              <w:bidi w:val="0"/>
              <w:rPr>
                <w:rFonts w:hint="default"/>
                <w:lang w:val="en-US" w:eastAsia="zh-CN"/>
              </w:rPr>
            </w:pPr>
            <w:r>
              <w:rPr>
                <w:rFonts w:hint="eastAsia"/>
                <w:lang w:val="en-US" w:eastAsia="zh-CN"/>
              </w:rPr>
              <w:t>项目用地主要为工矿用地，不涉及污染地块。</w:t>
            </w:r>
          </w:p>
          <w:p w14:paraId="37A9AD62">
            <w:pPr>
              <w:pStyle w:val="44"/>
              <w:numPr>
                <w:ilvl w:val="0"/>
                <w:numId w:val="7"/>
              </w:numPr>
              <w:bidi w:val="0"/>
              <w:rPr>
                <w:rFonts w:hint="default"/>
                <w:lang w:val="en-US" w:eastAsia="zh-CN"/>
              </w:rPr>
            </w:pPr>
            <w:r>
              <w:rPr>
                <w:rFonts w:hint="eastAsia"/>
                <w:lang w:val="en-US" w:eastAsia="zh-CN"/>
              </w:rPr>
              <w:t>项目不属于涉重企业，不属于</w:t>
            </w:r>
            <w:r>
              <w:t>重有色金属冶炼、电镀、制革企业</w:t>
            </w:r>
            <w:r>
              <w:rPr>
                <w:rFonts w:hint="eastAsia"/>
                <w:lang w:eastAsia="zh-CN"/>
              </w:rPr>
              <w:t>。</w:t>
            </w:r>
          </w:p>
          <w:p w14:paraId="6C14B5FB">
            <w:pPr>
              <w:pStyle w:val="44"/>
              <w:numPr>
                <w:ilvl w:val="0"/>
                <w:numId w:val="7"/>
              </w:numPr>
              <w:bidi w:val="0"/>
              <w:rPr>
                <w:rFonts w:hint="default"/>
                <w:lang w:val="en-US" w:eastAsia="zh-CN"/>
              </w:rPr>
            </w:pPr>
            <w:r>
              <w:rPr>
                <w:rFonts w:hint="eastAsia"/>
                <w:lang w:val="en-US" w:eastAsia="zh-CN"/>
              </w:rPr>
              <w:t>项目固废100%处置，不涉及不合规转移、排放等。</w:t>
            </w:r>
          </w:p>
          <w:p w14:paraId="5CFC92F3">
            <w:pPr>
              <w:pStyle w:val="44"/>
              <w:numPr>
                <w:ilvl w:val="0"/>
                <w:numId w:val="7"/>
              </w:numPr>
              <w:bidi w:val="0"/>
              <w:rPr>
                <w:rFonts w:hint="default"/>
                <w:lang w:val="en-US" w:eastAsia="zh-CN"/>
              </w:rPr>
            </w:pPr>
            <w:r>
              <w:rPr>
                <w:rFonts w:hint="eastAsia"/>
                <w:lang w:val="en-US" w:eastAsia="zh-CN"/>
              </w:rPr>
              <w:t>项目不涉及。</w:t>
            </w:r>
          </w:p>
          <w:p w14:paraId="67E74CDC">
            <w:pPr>
              <w:pStyle w:val="44"/>
              <w:numPr>
                <w:ilvl w:val="0"/>
                <w:numId w:val="0"/>
              </w:numPr>
              <w:bidi w:val="0"/>
              <w:rPr>
                <w:rFonts w:hint="eastAsia"/>
                <w:lang w:val="en-US" w:eastAsia="zh-CN"/>
              </w:rPr>
            </w:pPr>
            <w:r>
              <w:rPr>
                <w:rFonts w:hint="eastAsia"/>
                <w:lang w:val="en-US" w:eastAsia="zh-CN"/>
              </w:rPr>
              <w:t>（三）</w:t>
            </w:r>
          </w:p>
          <w:p w14:paraId="35DF59DC">
            <w:pPr>
              <w:pStyle w:val="44"/>
              <w:numPr>
                <w:ilvl w:val="0"/>
                <w:numId w:val="8"/>
              </w:numPr>
              <w:bidi w:val="0"/>
              <w:rPr>
                <w:rFonts w:hint="eastAsia"/>
                <w:lang w:val="en-US" w:eastAsia="zh-CN"/>
              </w:rPr>
            </w:pPr>
            <w:r>
              <w:rPr>
                <w:rFonts w:hint="eastAsia"/>
                <w:lang w:val="en-US" w:eastAsia="zh-CN"/>
              </w:rPr>
              <w:t>项目不涉及。</w:t>
            </w:r>
          </w:p>
          <w:p w14:paraId="5E55AD2A">
            <w:pPr>
              <w:pStyle w:val="44"/>
              <w:numPr>
                <w:ilvl w:val="0"/>
                <w:numId w:val="8"/>
              </w:numPr>
              <w:bidi w:val="0"/>
              <w:rPr>
                <w:rFonts w:hint="default"/>
                <w:lang w:val="en-US" w:eastAsia="zh-CN"/>
              </w:rPr>
            </w:pPr>
            <w:r>
              <w:rPr>
                <w:rFonts w:hint="eastAsia"/>
                <w:lang w:val="en-US" w:eastAsia="zh-CN"/>
              </w:rPr>
              <w:t>项目已编制环境事件应急预案，项目扩建后将及时进行修编。</w:t>
            </w:r>
          </w:p>
          <w:p w14:paraId="5904B6B0">
            <w:pPr>
              <w:pStyle w:val="44"/>
              <w:numPr>
                <w:ilvl w:val="0"/>
                <w:numId w:val="8"/>
              </w:numPr>
              <w:bidi w:val="0"/>
              <w:rPr>
                <w:rFonts w:hint="default"/>
                <w:lang w:val="en-US" w:eastAsia="zh-CN"/>
              </w:rPr>
            </w:pPr>
            <w:r>
              <w:rPr>
                <w:rFonts w:hint="eastAsia"/>
                <w:lang w:val="en-US" w:eastAsia="zh-CN"/>
              </w:rPr>
              <w:t>项目为开采多年的矿山，已按要求进行生态恢复方案，后期将继续加强生态恢复工作。</w:t>
            </w:r>
          </w:p>
          <w:p w14:paraId="7211F655">
            <w:pPr>
              <w:pStyle w:val="44"/>
              <w:numPr>
                <w:ilvl w:val="0"/>
                <w:numId w:val="8"/>
              </w:numPr>
              <w:bidi w:val="0"/>
              <w:rPr>
                <w:rFonts w:hint="default"/>
                <w:lang w:val="en-US" w:eastAsia="zh-CN"/>
              </w:rPr>
            </w:pPr>
            <w:r>
              <w:rPr>
                <w:rFonts w:hint="eastAsia"/>
                <w:lang w:val="en-US" w:eastAsia="zh-CN"/>
              </w:rPr>
              <w:t>项目不涉及尾矿库。</w:t>
            </w:r>
          </w:p>
          <w:p w14:paraId="50FBF37E">
            <w:pPr>
              <w:pStyle w:val="44"/>
              <w:numPr>
                <w:ilvl w:val="0"/>
                <w:numId w:val="0"/>
              </w:numPr>
              <w:bidi w:val="0"/>
              <w:rPr>
                <w:rFonts w:hint="eastAsia"/>
                <w:lang w:val="en-US" w:eastAsia="zh-CN"/>
              </w:rPr>
            </w:pPr>
            <w:r>
              <w:rPr>
                <w:rFonts w:hint="eastAsia"/>
                <w:lang w:val="en-US" w:eastAsia="zh-CN"/>
              </w:rPr>
              <w:t>（四）</w:t>
            </w:r>
          </w:p>
          <w:p w14:paraId="00DA7EC6">
            <w:pPr>
              <w:pStyle w:val="44"/>
              <w:numPr>
                <w:ilvl w:val="0"/>
                <w:numId w:val="9"/>
              </w:numPr>
              <w:bidi w:val="0"/>
              <w:rPr>
                <w:rFonts w:hint="eastAsia"/>
                <w:lang w:val="en-US" w:eastAsia="zh-CN"/>
              </w:rPr>
            </w:pPr>
            <w:r>
              <w:rPr>
                <w:rFonts w:hint="eastAsia"/>
                <w:lang w:val="en-US" w:eastAsia="zh-CN"/>
              </w:rPr>
              <w:t>项目用水量不大，本次扩建后随着矿区缩小，对土地资源消耗强度降低。</w:t>
            </w:r>
          </w:p>
          <w:p w14:paraId="202F0B44">
            <w:pPr>
              <w:pStyle w:val="44"/>
              <w:numPr>
                <w:ilvl w:val="0"/>
                <w:numId w:val="9"/>
              </w:numPr>
              <w:bidi w:val="0"/>
              <w:rPr>
                <w:rFonts w:hint="default"/>
                <w:lang w:val="en-US" w:eastAsia="zh-CN"/>
              </w:rPr>
            </w:pPr>
            <w:r>
              <w:rPr>
                <w:rFonts w:hint="eastAsia"/>
                <w:lang w:val="en-US" w:eastAsia="zh-CN"/>
              </w:rPr>
              <w:t>项目生产不用水，用水主要为降尘废水。</w:t>
            </w:r>
          </w:p>
          <w:p w14:paraId="7BE226C4">
            <w:pPr>
              <w:pStyle w:val="44"/>
              <w:numPr>
                <w:ilvl w:val="0"/>
                <w:numId w:val="9"/>
              </w:numPr>
              <w:bidi w:val="0"/>
              <w:rPr>
                <w:rFonts w:hint="default"/>
                <w:lang w:val="en-US" w:eastAsia="zh-CN"/>
              </w:rPr>
            </w:pPr>
            <w:r>
              <w:rPr>
                <w:rFonts w:hint="eastAsia"/>
                <w:lang w:val="en-US" w:eastAsia="zh-CN"/>
              </w:rPr>
              <w:t>项目不涉及占用耕地。</w:t>
            </w:r>
          </w:p>
          <w:p w14:paraId="1EF2647A">
            <w:pPr>
              <w:pStyle w:val="44"/>
              <w:numPr>
                <w:ilvl w:val="0"/>
                <w:numId w:val="9"/>
              </w:numPr>
              <w:bidi w:val="0"/>
              <w:rPr>
                <w:rFonts w:hint="default"/>
                <w:lang w:val="en-US" w:eastAsia="zh-CN"/>
              </w:rPr>
            </w:pPr>
            <w:r>
              <w:rPr>
                <w:rFonts w:hint="eastAsia"/>
                <w:lang w:val="en-US" w:eastAsia="zh-CN"/>
              </w:rPr>
              <w:t>项目不涉及</w:t>
            </w:r>
          </w:p>
        </w:tc>
        <w:tc>
          <w:tcPr>
            <w:tcW w:w="963" w:type="dxa"/>
            <w:vAlign w:val="center"/>
          </w:tcPr>
          <w:p w14:paraId="66989AB6">
            <w:pPr>
              <w:pStyle w:val="43"/>
              <w:bidi w:val="0"/>
              <w:rPr>
                <w:rFonts w:hint="eastAsia" w:eastAsia="宋体"/>
                <w:lang w:val="en-US" w:eastAsia="zh-CN"/>
              </w:rPr>
            </w:pPr>
            <w:r>
              <w:rPr>
                <w:rFonts w:hint="eastAsia"/>
                <w:lang w:val="en-US" w:eastAsia="zh-CN"/>
              </w:rPr>
              <w:t>相符</w:t>
            </w:r>
          </w:p>
        </w:tc>
      </w:tr>
    </w:tbl>
    <w:p w14:paraId="6B63332D">
      <w:pPr>
        <w:pStyle w:val="45"/>
        <w:bidi w:val="0"/>
        <w:rPr>
          <w:rFonts w:hint="default"/>
          <w:lang w:val="en-US" w:eastAsia="zh-CN"/>
        </w:rPr>
      </w:pPr>
      <w:r>
        <w:rPr>
          <w:rFonts w:hint="eastAsia"/>
          <w:lang w:val="en-US" w:eastAsia="zh-CN"/>
        </w:rPr>
        <w:t>表9.2-2 项目与</w:t>
      </w:r>
      <w:r>
        <w:t>环境管控单元准入要求</w:t>
      </w:r>
      <w:r>
        <w:rPr>
          <w:rFonts w:hint="eastAsia"/>
          <w:lang w:val="en-US" w:eastAsia="zh-CN"/>
        </w:rPr>
        <w:t>相符性分析</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86"/>
        <w:gridCol w:w="1065"/>
        <w:gridCol w:w="3255"/>
        <w:gridCol w:w="1905"/>
        <w:gridCol w:w="990"/>
      </w:tblGrid>
      <w:tr w14:paraId="59AC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Align w:val="center"/>
          </w:tcPr>
          <w:p w14:paraId="530B016E">
            <w:pPr>
              <w:pStyle w:val="43"/>
              <w:bidi w:val="0"/>
              <w:jc w:val="center"/>
              <w:rPr>
                <w:b/>
                <w:bCs/>
              </w:rPr>
            </w:pPr>
            <w:r>
              <w:rPr>
                <w:b/>
                <w:bCs/>
              </w:rPr>
              <w:t>序号</w:t>
            </w:r>
          </w:p>
        </w:tc>
        <w:tc>
          <w:tcPr>
            <w:tcW w:w="519" w:type="pct"/>
            <w:vAlign w:val="center"/>
          </w:tcPr>
          <w:p w14:paraId="5B4DC06E">
            <w:pPr>
              <w:pStyle w:val="43"/>
              <w:bidi w:val="0"/>
              <w:jc w:val="center"/>
              <w:rPr>
                <w:b/>
                <w:bCs/>
              </w:rPr>
            </w:pPr>
            <w:r>
              <w:rPr>
                <w:b/>
                <w:bCs/>
              </w:rPr>
              <w:t>管控单元编码</w:t>
            </w:r>
          </w:p>
        </w:tc>
        <w:tc>
          <w:tcPr>
            <w:tcW w:w="624" w:type="pct"/>
            <w:vAlign w:val="center"/>
          </w:tcPr>
          <w:p w14:paraId="3D708B7A">
            <w:pPr>
              <w:pStyle w:val="43"/>
              <w:bidi w:val="0"/>
              <w:jc w:val="center"/>
              <w:rPr>
                <w:b/>
                <w:bCs/>
              </w:rPr>
            </w:pPr>
            <w:r>
              <w:rPr>
                <w:b/>
                <w:bCs/>
              </w:rPr>
              <w:t>管控单元名称</w:t>
            </w:r>
          </w:p>
        </w:tc>
        <w:tc>
          <w:tcPr>
            <w:tcW w:w="1908" w:type="pct"/>
            <w:vAlign w:val="center"/>
          </w:tcPr>
          <w:p w14:paraId="22972988">
            <w:pPr>
              <w:pStyle w:val="43"/>
              <w:bidi w:val="0"/>
              <w:jc w:val="center"/>
              <w:rPr>
                <w:b/>
                <w:bCs/>
              </w:rPr>
            </w:pPr>
            <w:r>
              <w:rPr>
                <w:b/>
                <w:bCs/>
              </w:rPr>
              <w:t>准入要求</w:t>
            </w:r>
          </w:p>
        </w:tc>
        <w:tc>
          <w:tcPr>
            <w:tcW w:w="1117" w:type="pct"/>
            <w:vAlign w:val="center"/>
          </w:tcPr>
          <w:p w14:paraId="1578C53C">
            <w:pPr>
              <w:pStyle w:val="43"/>
              <w:bidi w:val="0"/>
              <w:jc w:val="center"/>
              <w:rPr>
                <w:rFonts w:hint="default" w:eastAsia="宋体"/>
                <w:b/>
                <w:bCs/>
                <w:lang w:val="en-US" w:eastAsia="zh-CN"/>
              </w:rPr>
            </w:pPr>
            <w:r>
              <w:rPr>
                <w:rFonts w:hint="eastAsia"/>
                <w:b/>
                <w:bCs/>
                <w:lang w:val="en-US" w:eastAsia="zh-CN"/>
              </w:rPr>
              <w:t>项目情况</w:t>
            </w:r>
          </w:p>
        </w:tc>
        <w:tc>
          <w:tcPr>
            <w:tcW w:w="580" w:type="pct"/>
            <w:vAlign w:val="center"/>
          </w:tcPr>
          <w:p w14:paraId="146208FB">
            <w:pPr>
              <w:pStyle w:val="43"/>
              <w:bidi w:val="0"/>
              <w:jc w:val="center"/>
              <w:rPr>
                <w:rFonts w:hint="eastAsia" w:eastAsia="宋体"/>
                <w:b/>
                <w:bCs/>
                <w:lang w:val="en-US" w:eastAsia="zh-CN"/>
              </w:rPr>
            </w:pPr>
            <w:r>
              <w:rPr>
                <w:rFonts w:hint="eastAsia"/>
                <w:b/>
                <w:bCs/>
                <w:lang w:val="en-US" w:eastAsia="zh-CN"/>
              </w:rPr>
              <w:t>相符性</w:t>
            </w:r>
          </w:p>
        </w:tc>
      </w:tr>
      <w:tr w14:paraId="635F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Align w:val="center"/>
          </w:tcPr>
          <w:p w14:paraId="77A5474A">
            <w:pPr>
              <w:pStyle w:val="43"/>
              <w:bidi w:val="0"/>
              <w:jc w:val="center"/>
            </w:pPr>
            <w:r>
              <w:t>1</w:t>
            </w:r>
          </w:p>
        </w:tc>
        <w:tc>
          <w:tcPr>
            <w:tcW w:w="519" w:type="pct"/>
            <w:vAlign w:val="center"/>
          </w:tcPr>
          <w:p w14:paraId="743BB166">
            <w:pPr>
              <w:pStyle w:val="43"/>
              <w:bidi w:val="0"/>
              <w:jc w:val="center"/>
            </w:pPr>
            <w:r>
              <w:t>ZH53262220003</w:t>
            </w:r>
          </w:p>
        </w:tc>
        <w:tc>
          <w:tcPr>
            <w:tcW w:w="624" w:type="pct"/>
            <w:vAlign w:val="center"/>
          </w:tcPr>
          <w:p w14:paraId="725FE4B0">
            <w:pPr>
              <w:pStyle w:val="43"/>
              <w:bidi w:val="0"/>
              <w:jc w:val="center"/>
            </w:pPr>
            <w:r>
              <w:t>砚山县矿产资源重点管控单元</w:t>
            </w:r>
          </w:p>
        </w:tc>
        <w:tc>
          <w:tcPr>
            <w:tcW w:w="1908" w:type="pct"/>
            <w:vAlign w:val="center"/>
          </w:tcPr>
          <w:p w14:paraId="3888007A">
            <w:pPr>
              <w:pStyle w:val="44"/>
              <w:bidi w:val="0"/>
            </w:pPr>
            <w:r>
              <w:t>（一）空间布局约束</w:t>
            </w:r>
            <w:r>
              <w:br w:type="textWrapping"/>
            </w:r>
            <w:r>
              <w:t>1.开展矿山生态修复工程，加快推进</w:t>
            </w:r>
            <w:r>
              <w:rPr>
                <w:rFonts w:hint="eastAsia"/>
                <w:lang w:eastAsia="zh-CN"/>
              </w:rPr>
              <w:t>历史遗留废弃矿山生态修复</w:t>
            </w:r>
            <w:r>
              <w:t>，采取地质环境治理、地形重塑、土壤重构、植被重建等综合治理措施，恢复矿山生态环境，增加林草覆盖，提升区域水土保持和水源涵养能力。</w:t>
            </w:r>
            <w:r>
              <w:br w:type="textWrapping"/>
            </w:r>
            <w:r>
              <w:t>2.严格执行禁止开采区规定，新建矿山严格控制最低开采规模和最低服务年限。</w:t>
            </w:r>
            <w:r>
              <w:br w:type="textWrapping"/>
            </w:r>
            <w:r>
              <w:t>3.严格尾矿库建设项目准入，严控新增环境污染风险。</w:t>
            </w:r>
            <w:r>
              <w:br w:type="textWrapping"/>
            </w:r>
            <w:r>
              <w:t>4.严格控制涉及生物多样性保护优先区域、国家重点生态功能区、水土流失重点防治区等具有重要生态功能区域矿产勘查开采活动，并采取有针对性的保护措施，防止对区域生态功能产生不良环境影响。</w:t>
            </w:r>
            <w:r>
              <w:br w:type="textWrapping"/>
            </w:r>
            <w:r>
              <w:t>5.限制开采高硫、高灰、高砷、高氟煤炭和湿地泥炭，以及砂金、砂铁等重砂矿物。</w:t>
            </w:r>
            <w:r>
              <w:br w:type="textWrapping"/>
            </w:r>
            <w:r>
              <w:t>（二）污染物排放管控</w:t>
            </w:r>
            <w:r>
              <w:br w:type="textWrapping"/>
            </w:r>
            <w:r>
              <w:t>1.推行清洁生产工艺，严格矿产资源开发的污染物排放。</w:t>
            </w:r>
            <w:r>
              <w:br w:type="textWrapping"/>
            </w:r>
            <w:r>
              <w:t>2.对原有矿业进行技术改造，淘汰污染严重、资源利用率低的落后设备与工艺。</w:t>
            </w:r>
            <w:r>
              <w:br w:type="textWrapping"/>
            </w:r>
            <w:r>
              <w:t>3.加强绿色勘查开采新技术、新方法和新工艺研发与推广，积极推进绿色勘查与开发。</w:t>
            </w:r>
            <w:r>
              <w:br w:type="textWrapping"/>
            </w:r>
            <w:r>
              <w:t>4.加快老矿山改造升级，推进绿色矿山建设，完善尾矿库污染防治措施，严格排污许可证制度。</w:t>
            </w:r>
            <w:r>
              <w:br w:type="textWrapping"/>
            </w:r>
            <w:r>
              <w:t>5.严格控制涉重金属行业污染物排放。污染重点监管单位因地制宜采用管道化、密闭化改造，重点区域、重点设施设备防腐蚀防渗漏改造，以及物料、污水、废气管线架空建设改造。</w:t>
            </w:r>
            <w:r>
              <w:br w:type="textWrapping"/>
            </w:r>
            <w:r>
              <w:t>（三）环境风险防控</w:t>
            </w:r>
            <w:r>
              <w:br w:type="textWrapping"/>
            </w:r>
            <w:r>
              <w:t>1.矿山采选区、废水处理设施、固体废物储存场所等应配备完善的防扬散、防流失、防渗漏措施，严防对水体和土壤造成污染。</w:t>
            </w:r>
            <w:r>
              <w:br w:type="textWrapping"/>
            </w:r>
            <w:r>
              <w:t>2.对尾矿库、废石堆通过平整、覆土、种植等措施开展复垦还绿，严防重金属污染。</w:t>
            </w:r>
            <w:r>
              <w:br w:type="textWrapping"/>
            </w:r>
            <w:r>
              <w:t>3.建立尾矿库环境污染问题清单，开展深入治理，着力提升尾矿库污染防治设施运行和管理水平，加强尾矿库特征污染物及周边环境敏感点监测监控，提高尾矿库环境污染监测能力，健全尾矿库环境预警监测体系。</w:t>
            </w:r>
            <w:r>
              <w:br w:type="textWrapping"/>
            </w:r>
            <w:r>
              <w:t>（四）资源开发效率要求</w:t>
            </w:r>
            <w:r>
              <w:br w:type="textWrapping"/>
            </w:r>
            <w:r>
              <w:t>1.从源头减少废水产生，实施清污分流，充分利用矿井水、循环利用选矿水。</w:t>
            </w:r>
            <w:r>
              <w:br w:type="textWrapping"/>
            </w:r>
            <w:r>
              <w:t>2.提高矿产资源回采率和综合回收率，大力开展炉渣、冶炼废渣、尾矿等资源化利用。</w:t>
            </w:r>
          </w:p>
        </w:tc>
        <w:tc>
          <w:tcPr>
            <w:tcW w:w="1117" w:type="pct"/>
            <w:vAlign w:val="center"/>
          </w:tcPr>
          <w:p w14:paraId="0BE3583C">
            <w:pPr>
              <w:pStyle w:val="43"/>
              <w:bidi w:val="0"/>
              <w:jc w:val="center"/>
              <w:rPr>
                <w:rFonts w:hint="eastAsia"/>
                <w:lang w:val="en-US" w:eastAsia="zh-CN"/>
              </w:rPr>
            </w:pPr>
            <w:r>
              <w:rPr>
                <w:rFonts w:hint="eastAsia"/>
                <w:lang w:val="en-US" w:eastAsia="zh-CN"/>
              </w:rPr>
              <w:t>（一）</w:t>
            </w:r>
          </w:p>
          <w:p w14:paraId="3BA4206F">
            <w:pPr>
              <w:pStyle w:val="43"/>
              <w:bidi w:val="0"/>
              <w:jc w:val="center"/>
              <w:rPr>
                <w:rFonts w:hint="eastAsia"/>
                <w:lang w:val="en-US" w:eastAsia="zh-CN"/>
              </w:rPr>
            </w:pPr>
            <w:r>
              <w:rPr>
                <w:rFonts w:hint="eastAsia"/>
                <w:lang w:val="en-US" w:eastAsia="zh-CN"/>
              </w:rPr>
              <w:t>1.项目正在编制</w:t>
            </w:r>
            <w:r>
              <w:t>矿山生态修复</w:t>
            </w:r>
            <w:r>
              <w:rPr>
                <w:rFonts w:hint="eastAsia"/>
                <w:lang w:val="en-US" w:eastAsia="zh-CN"/>
              </w:rPr>
              <w:t>方案，后期按要求开展生态恢复工作。</w:t>
            </w:r>
          </w:p>
          <w:p w14:paraId="67E09005">
            <w:r>
              <w:rPr>
                <w:rFonts w:hint="eastAsia"/>
                <w:lang w:val="en-US" w:eastAsia="zh-CN"/>
              </w:rPr>
              <w:t>2.项目开采年限为35.1年，开采规模为50万吨/年，符合现有矿山</w:t>
            </w:r>
            <w:r>
              <w:t>最低开采规模和最低服务年限</w:t>
            </w:r>
            <w:r>
              <w:rPr>
                <w:rFonts w:hint="eastAsia"/>
                <w:lang w:val="en-US" w:eastAsia="zh-CN"/>
              </w:rPr>
              <w:t>要求</w:t>
            </w:r>
            <w:r>
              <w:t>。</w:t>
            </w:r>
          </w:p>
          <w:p w14:paraId="58F32A48">
            <w:pPr>
              <w:rPr>
                <w:rFonts w:hint="eastAsia"/>
                <w:lang w:val="en-US" w:eastAsia="zh-CN"/>
              </w:rPr>
            </w:pPr>
            <w:r>
              <w:rPr>
                <w:rFonts w:hint="eastAsia"/>
                <w:lang w:val="en-US" w:eastAsia="zh-CN"/>
              </w:rPr>
              <w:t>3.项目不涉及尾矿库。</w:t>
            </w:r>
          </w:p>
          <w:p w14:paraId="0E5B4B7D">
            <w:pPr>
              <w:rPr>
                <w:rFonts w:hint="eastAsia"/>
                <w:lang w:val="en-US" w:eastAsia="zh-CN"/>
              </w:rPr>
            </w:pPr>
            <w:r>
              <w:rPr>
                <w:rFonts w:hint="eastAsia"/>
                <w:lang w:val="en-US" w:eastAsia="zh-CN"/>
              </w:rPr>
              <w:t>4.项目不涉及这些区域。</w:t>
            </w:r>
          </w:p>
          <w:p w14:paraId="3AD2A44C">
            <w:pPr>
              <w:rPr>
                <w:rFonts w:hint="eastAsia"/>
                <w:lang w:val="en-US" w:eastAsia="zh-CN"/>
              </w:rPr>
            </w:pPr>
            <w:r>
              <w:rPr>
                <w:rFonts w:hint="eastAsia"/>
                <w:lang w:val="en-US" w:eastAsia="zh-CN"/>
              </w:rPr>
              <w:t>5.项目开采矿种为石灰岩，不涉及重砂矿物。</w:t>
            </w:r>
          </w:p>
          <w:p w14:paraId="646264AF">
            <w:pPr>
              <w:rPr>
                <w:rFonts w:hint="eastAsia"/>
                <w:lang w:val="en-US" w:eastAsia="zh-CN"/>
              </w:rPr>
            </w:pPr>
            <w:r>
              <w:rPr>
                <w:rFonts w:hint="eastAsia"/>
                <w:lang w:val="en-US" w:eastAsia="zh-CN"/>
              </w:rPr>
              <w:t>（二）</w:t>
            </w:r>
          </w:p>
          <w:p w14:paraId="3FC80A2F">
            <w:pPr>
              <w:numPr>
                <w:ilvl w:val="0"/>
                <w:numId w:val="10"/>
              </w:numPr>
              <w:rPr>
                <w:rFonts w:hint="eastAsia"/>
                <w:lang w:val="en-US" w:eastAsia="zh-CN"/>
              </w:rPr>
            </w:pPr>
            <w:r>
              <w:rPr>
                <w:rFonts w:hint="eastAsia"/>
                <w:lang w:val="en-US" w:eastAsia="zh-CN"/>
              </w:rPr>
              <w:t>项目减少及运行符合清洁生产工艺。</w:t>
            </w:r>
          </w:p>
          <w:p w14:paraId="18170865">
            <w:pPr>
              <w:numPr>
                <w:ilvl w:val="0"/>
                <w:numId w:val="10"/>
              </w:numPr>
              <w:rPr>
                <w:rFonts w:hint="default"/>
                <w:lang w:val="en-US" w:eastAsia="zh-CN"/>
              </w:rPr>
            </w:pPr>
            <w:r>
              <w:rPr>
                <w:rFonts w:hint="eastAsia"/>
                <w:lang w:val="en-US" w:eastAsia="zh-CN"/>
              </w:rPr>
              <w:t>项目属于改扩建设备，扩建后采用的设备均不属于落后设备。</w:t>
            </w:r>
          </w:p>
          <w:p w14:paraId="22953043">
            <w:pPr>
              <w:numPr>
                <w:ilvl w:val="0"/>
                <w:numId w:val="10"/>
              </w:numPr>
              <w:rPr>
                <w:rFonts w:hint="default"/>
                <w:lang w:val="en-US" w:eastAsia="zh-CN"/>
              </w:rPr>
            </w:pPr>
            <w:r>
              <w:rPr>
                <w:rFonts w:hint="eastAsia"/>
                <w:lang w:val="en-US" w:eastAsia="zh-CN"/>
              </w:rPr>
              <w:t>项目不涉及。</w:t>
            </w:r>
          </w:p>
          <w:p w14:paraId="139BD59F">
            <w:pPr>
              <w:numPr>
                <w:ilvl w:val="0"/>
                <w:numId w:val="10"/>
              </w:numPr>
              <w:rPr>
                <w:rFonts w:hint="default"/>
                <w:lang w:val="en-US" w:eastAsia="zh-CN"/>
              </w:rPr>
            </w:pPr>
            <w:r>
              <w:rPr>
                <w:rFonts w:hint="eastAsia"/>
                <w:lang w:val="en-US" w:eastAsia="zh-CN"/>
              </w:rPr>
              <w:t>项目扩建中严格落实绿色矿山建设。</w:t>
            </w:r>
          </w:p>
          <w:p w14:paraId="42EA09D9">
            <w:pPr>
              <w:numPr>
                <w:ilvl w:val="0"/>
                <w:numId w:val="10"/>
              </w:numPr>
              <w:rPr>
                <w:rFonts w:hint="default"/>
                <w:lang w:val="en-US" w:eastAsia="zh-CN"/>
              </w:rPr>
            </w:pPr>
            <w:r>
              <w:rPr>
                <w:rFonts w:hint="eastAsia"/>
                <w:lang w:val="en-US" w:eastAsia="zh-CN"/>
              </w:rPr>
              <w:t>项目不属于涉重金属行业。</w:t>
            </w:r>
          </w:p>
          <w:p w14:paraId="50E6A62E">
            <w:pPr>
              <w:numPr>
                <w:ilvl w:val="0"/>
                <w:numId w:val="0"/>
              </w:numPr>
              <w:rPr>
                <w:rFonts w:hint="eastAsia"/>
                <w:lang w:val="en-US" w:eastAsia="zh-CN"/>
              </w:rPr>
            </w:pPr>
            <w:r>
              <w:rPr>
                <w:rFonts w:hint="eastAsia"/>
                <w:lang w:val="en-US" w:eastAsia="zh-CN"/>
              </w:rPr>
              <w:t>（三）</w:t>
            </w:r>
          </w:p>
          <w:p w14:paraId="2BA10283">
            <w:pPr>
              <w:numPr>
                <w:ilvl w:val="0"/>
                <w:numId w:val="0"/>
              </w:numPr>
              <w:rPr>
                <w:rFonts w:hint="default"/>
                <w:lang w:val="en-US" w:eastAsia="zh-CN"/>
              </w:rPr>
            </w:pPr>
          </w:p>
        </w:tc>
        <w:tc>
          <w:tcPr>
            <w:tcW w:w="580" w:type="pct"/>
            <w:vAlign w:val="center"/>
          </w:tcPr>
          <w:p w14:paraId="6929AF9D">
            <w:pPr>
              <w:pStyle w:val="43"/>
              <w:bidi w:val="0"/>
              <w:jc w:val="center"/>
            </w:pPr>
          </w:p>
        </w:tc>
      </w:tr>
      <w:tr w14:paraId="24B3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Align w:val="center"/>
          </w:tcPr>
          <w:p w14:paraId="4CC72203">
            <w:pPr>
              <w:pStyle w:val="43"/>
              <w:bidi w:val="0"/>
              <w:jc w:val="center"/>
            </w:pPr>
            <w:r>
              <w:t>2</w:t>
            </w:r>
          </w:p>
        </w:tc>
        <w:tc>
          <w:tcPr>
            <w:tcW w:w="519" w:type="pct"/>
            <w:vAlign w:val="center"/>
          </w:tcPr>
          <w:p w14:paraId="3CF6DF3C">
            <w:pPr>
              <w:pStyle w:val="43"/>
              <w:bidi w:val="0"/>
              <w:jc w:val="center"/>
            </w:pPr>
            <w:r>
              <w:t>ZH53262230001</w:t>
            </w:r>
          </w:p>
        </w:tc>
        <w:tc>
          <w:tcPr>
            <w:tcW w:w="624" w:type="pct"/>
            <w:vAlign w:val="center"/>
          </w:tcPr>
          <w:p w14:paraId="160320B7">
            <w:pPr>
              <w:pStyle w:val="43"/>
              <w:bidi w:val="0"/>
              <w:jc w:val="center"/>
            </w:pPr>
            <w:r>
              <w:t>砚山县一般管控单元</w:t>
            </w:r>
          </w:p>
        </w:tc>
        <w:tc>
          <w:tcPr>
            <w:tcW w:w="1908" w:type="pct"/>
            <w:vAlign w:val="center"/>
          </w:tcPr>
          <w:p w14:paraId="17C10544">
            <w:pPr>
              <w:pStyle w:val="44"/>
              <w:bidi w:val="0"/>
            </w:pPr>
            <w:r>
              <w:t>（一）空间布局约束</w:t>
            </w:r>
            <w:r>
              <w:br w:type="textWrapping"/>
            </w:r>
            <w:r>
              <w:t>落实生态环境保护基本要求，项目建设和运行应满足产业准入、污染物削减、污染物排放标准等管理规定和国家法律法规要求。</w:t>
            </w:r>
            <w:r>
              <w:br w:type="textWrapping"/>
            </w:r>
            <w:r>
              <w:t>（二）污染物排放管控</w:t>
            </w:r>
            <w:r>
              <w:br w:type="textWrapping"/>
            </w:r>
            <w:r>
              <w:t>——</w:t>
            </w:r>
            <w:r>
              <w:br w:type="textWrapping"/>
            </w:r>
            <w:r>
              <w:t>（三）环境风险防控</w:t>
            </w:r>
            <w:r>
              <w:br w:type="textWrapping"/>
            </w:r>
            <w:r>
              <w:t>——</w:t>
            </w:r>
            <w:r>
              <w:br w:type="textWrapping"/>
            </w:r>
            <w:r>
              <w:t>（四）资源开发效率要求</w:t>
            </w:r>
            <w:r>
              <w:br w:type="textWrapping"/>
            </w:r>
            <w:r>
              <w:t>——</w:t>
            </w:r>
          </w:p>
        </w:tc>
        <w:tc>
          <w:tcPr>
            <w:tcW w:w="1117" w:type="pct"/>
            <w:vAlign w:val="center"/>
          </w:tcPr>
          <w:p w14:paraId="12116239">
            <w:pPr>
              <w:pStyle w:val="43"/>
              <w:bidi w:val="0"/>
              <w:jc w:val="center"/>
            </w:pPr>
            <w:r>
              <w:rPr>
                <w:rFonts w:hint="eastAsia"/>
                <w:color w:val="000000" w:themeColor="text1"/>
                <w:sz w:val="21"/>
                <w:szCs w:val="21"/>
                <w:highlight w:val="none"/>
                <w:lang w:val="en-US" w:eastAsia="zh-CN" w:bidi="ar-SA"/>
                <w14:textFill>
                  <w14:solidFill>
                    <w14:schemeClr w14:val="tx1"/>
                  </w14:solidFill>
                </w14:textFill>
              </w:rPr>
              <w:t>根据分析，评价根据相关法律法规、行业政策、技术规范等提出有针对性的环保措施；项目符合国家及地方产业政策要求；各类污染物可达标排放。</w:t>
            </w:r>
          </w:p>
        </w:tc>
        <w:tc>
          <w:tcPr>
            <w:tcW w:w="580" w:type="pct"/>
            <w:vAlign w:val="center"/>
          </w:tcPr>
          <w:p w14:paraId="05928FAA">
            <w:pPr>
              <w:pStyle w:val="43"/>
              <w:bidi w:val="0"/>
              <w:jc w:val="center"/>
              <w:rPr>
                <w:rFonts w:hint="default"/>
                <w:color w:val="000000" w:themeColor="text1"/>
                <w:sz w:val="21"/>
                <w:szCs w:val="21"/>
                <w:highlight w:val="none"/>
                <w:lang w:val="en-US" w:eastAsia="zh-CN" w:bidi="ar-SA"/>
                <w14:textFill>
                  <w14:solidFill>
                    <w14:schemeClr w14:val="tx1"/>
                  </w14:solidFill>
                </w14:textFill>
              </w:rPr>
            </w:pPr>
            <w:r>
              <w:rPr>
                <w:rFonts w:hint="eastAsia"/>
                <w:color w:val="000000" w:themeColor="text1"/>
                <w:sz w:val="21"/>
                <w:szCs w:val="21"/>
                <w:highlight w:val="none"/>
                <w:lang w:val="en-US" w:eastAsia="zh-CN" w:bidi="ar-SA"/>
                <w14:textFill>
                  <w14:solidFill>
                    <w14:schemeClr w14:val="tx1"/>
                  </w14:solidFill>
                </w14:textFill>
              </w:rPr>
              <w:t>相符</w:t>
            </w:r>
          </w:p>
        </w:tc>
      </w:tr>
    </w:tbl>
    <w:p w14:paraId="4EC0EDA5">
      <w:pPr>
        <w:pStyle w:val="41"/>
        <w:bidi w:val="0"/>
        <w:rPr>
          <w:rFonts w:hint="eastAsia"/>
          <w:lang w:val="en-US" w:eastAsia="zh-CN"/>
        </w:rPr>
      </w:pPr>
      <w:r>
        <w:rPr>
          <w:rFonts w:hint="eastAsia"/>
          <w:lang w:val="en-US" w:eastAsia="zh-CN"/>
        </w:rPr>
        <w:t>综上所述，项目符合《文山州生态环境分区管控动态更新调整方案（2023年）》中的要求。</w:t>
      </w:r>
    </w:p>
    <w:p w14:paraId="5263E7DB">
      <w:pPr>
        <w:pStyle w:val="3"/>
        <w:keepNext/>
        <w:pageBreakBefore w:val="0"/>
        <w:kinsoku/>
        <w:overflowPunct/>
        <w:topLinePunct w:val="0"/>
        <w:bidi w:val="0"/>
        <w:rPr>
          <w:rFonts w:hint="default"/>
          <w:color w:val="000000" w:themeColor="text1"/>
          <w:highlight w:val="none"/>
          <w:lang w:val="en-US" w:eastAsia="zh-CN"/>
          <w14:textFill>
            <w14:solidFill>
              <w14:schemeClr w14:val="tx1"/>
            </w14:solidFill>
          </w14:textFill>
        </w:rPr>
      </w:pPr>
      <w:bookmarkStart w:id="535" w:name="_Toc23141"/>
      <w:bookmarkStart w:id="536" w:name="_Toc16880"/>
      <w:r>
        <w:rPr>
          <w:rFonts w:hint="eastAsia"/>
          <w:color w:val="000000" w:themeColor="text1"/>
          <w:highlight w:val="none"/>
          <w:lang w:val="en-US" w:eastAsia="zh-CN"/>
          <w14:textFill>
            <w14:solidFill>
              <w14:schemeClr w14:val="tx1"/>
            </w14:solidFill>
          </w14:textFill>
        </w:rPr>
        <w:t>与相关法律法规、政策符合性分析</w:t>
      </w:r>
      <w:bookmarkEnd w:id="535"/>
      <w:bookmarkEnd w:id="536"/>
    </w:p>
    <w:p w14:paraId="2EAED894">
      <w:pPr>
        <w:pStyle w:val="4"/>
        <w:bidi w:val="0"/>
        <w:rPr>
          <w:rFonts w:hint="default"/>
          <w:lang w:val="en-US" w:eastAsia="zh-CN"/>
        </w:rPr>
      </w:pPr>
      <w:bookmarkStart w:id="537" w:name="_Toc3844"/>
      <w:bookmarkStart w:id="538" w:name="_Toc1310"/>
      <w:r>
        <w:rPr>
          <w:rFonts w:hint="eastAsia"/>
          <w:lang w:val="en-US" w:eastAsia="zh-CN"/>
        </w:rPr>
        <w:t>与</w:t>
      </w:r>
      <w:r>
        <w:rPr>
          <w:rFonts w:hint="eastAsia"/>
          <w:lang w:eastAsia="zh-CN"/>
        </w:rPr>
        <w:t>《</w:t>
      </w:r>
      <w:r>
        <w:rPr>
          <w:rFonts w:hint="default"/>
          <w:lang w:val="en-US" w:eastAsia="zh-CN"/>
        </w:rPr>
        <w:t>中华人民共和国生态环境法典》</w:t>
      </w:r>
      <w:r>
        <w:rPr>
          <w:rFonts w:hint="eastAsia"/>
          <w:lang w:val="en-US" w:eastAsia="zh-CN"/>
        </w:rPr>
        <w:t>相关污染防治内容符合性分析</w:t>
      </w:r>
      <w:bookmarkEnd w:id="537"/>
    </w:p>
    <w:p w14:paraId="43BC94EB">
      <w:pPr>
        <w:pStyle w:val="41"/>
        <w:bidi w:val="0"/>
        <w:rPr>
          <w:rFonts w:hint="default"/>
          <w:lang w:val="en-US" w:eastAsia="zh-CN"/>
        </w:rPr>
      </w:pPr>
      <w:r>
        <w:rPr>
          <w:rFonts w:hint="eastAsia"/>
          <w:lang w:eastAsia="zh-CN"/>
        </w:rPr>
        <w:t>《</w:t>
      </w:r>
      <w:r>
        <w:rPr>
          <w:rFonts w:hint="default"/>
          <w:lang w:val="en-US" w:eastAsia="zh-CN"/>
        </w:rPr>
        <w:t>中华人民共和国生态环境法典》</w:t>
      </w:r>
      <w:r>
        <w:rPr>
          <w:rFonts w:hint="eastAsia"/>
          <w:lang w:val="en-US" w:eastAsia="zh-CN"/>
        </w:rPr>
        <w:t>于</w:t>
      </w:r>
      <w:r>
        <w:rPr>
          <w:rFonts w:hint="default"/>
          <w:lang w:val="en-US" w:eastAsia="zh-CN"/>
        </w:rPr>
        <w:t>2026年3月12日第十四届全国人民代表大会第四次会议通过</w:t>
      </w:r>
      <w:r>
        <w:rPr>
          <w:rFonts w:hint="eastAsia"/>
          <w:lang w:val="en-US" w:eastAsia="zh-CN"/>
        </w:rPr>
        <w:t>。本项目与法典相关污染防治内容符合性分析如下：</w:t>
      </w:r>
    </w:p>
    <w:p w14:paraId="0C44CE80">
      <w:pPr>
        <w:pStyle w:val="45"/>
        <w:bidi w:val="0"/>
        <w:rPr>
          <w:rFonts w:hint="default"/>
          <w:lang w:val="en-US" w:eastAsia="zh-CN"/>
        </w:rPr>
      </w:pPr>
      <w:r>
        <w:rPr>
          <w:rFonts w:hint="eastAsia"/>
          <w:lang w:val="en-US" w:eastAsia="zh-CN"/>
        </w:rPr>
        <w:t>表9.3-1  本项目与</w:t>
      </w:r>
      <w:r>
        <w:rPr>
          <w:rFonts w:hint="eastAsia"/>
          <w:lang w:eastAsia="zh-CN"/>
        </w:rPr>
        <w:t>《</w:t>
      </w:r>
      <w:r>
        <w:rPr>
          <w:rFonts w:hint="default"/>
          <w:lang w:val="en-US" w:eastAsia="zh-CN"/>
        </w:rPr>
        <w:t>中华人民共和国生态环境法典》</w:t>
      </w:r>
      <w:r>
        <w:rPr>
          <w:rFonts w:hint="eastAsia"/>
          <w:lang w:val="en-US" w:eastAsia="zh-CN"/>
        </w:rPr>
        <w:t>相关污染防治内容符合性分析</w:t>
      </w:r>
    </w:p>
    <w:tbl>
      <w:tblPr>
        <w:tblStyle w:val="3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795"/>
        <w:gridCol w:w="643"/>
        <w:gridCol w:w="2774"/>
        <w:gridCol w:w="3659"/>
        <w:gridCol w:w="655"/>
      </w:tblGrid>
      <w:tr w14:paraId="778DA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tblHeader/>
          <w:jc w:val="center"/>
        </w:trPr>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14:paraId="271FC702">
            <w:pPr>
              <w:pStyle w:val="43"/>
              <w:bidi w:val="0"/>
              <w:rPr>
                <w:rFonts w:hint="default"/>
                <w:b/>
                <w:bCs/>
              </w:rPr>
            </w:pPr>
            <w:r>
              <w:rPr>
                <w:rFonts w:hint="eastAsia"/>
                <w:b/>
                <w:bCs/>
                <w:lang w:val="en-US" w:eastAsia="zh-CN"/>
              </w:rPr>
              <w:t>文件</w:t>
            </w:r>
          </w:p>
        </w:tc>
        <w:tc>
          <w:tcPr>
            <w:tcW w:w="2003" w:type="pct"/>
            <w:gridSpan w:val="2"/>
            <w:tcBorders>
              <w:top w:val="single" w:color="auto" w:sz="4" w:space="0"/>
              <w:left w:val="nil"/>
              <w:bottom w:val="single" w:color="auto" w:sz="4" w:space="0"/>
              <w:right w:val="single" w:color="auto" w:sz="4" w:space="0"/>
            </w:tcBorders>
            <w:shd w:val="clear" w:color="auto" w:fill="auto"/>
            <w:vAlign w:val="center"/>
          </w:tcPr>
          <w:p w14:paraId="7E5D1D0F">
            <w:pPr>
              <w:pStyle w:val="43"/>
              <w:bidi w:val="0"/>
              <w:rPr>
                <w:rFonts w:hint="default"/>
                <w:b/>
                <w:bCs/>
                <w:lang w:val="en-US"/>
              </w:rPr>
            </w:pPr>
            <w:r>
              <w:rPr>
                <w:rFonts w:hint="eastAsia"/>
                <w:b/>
                <w:bCs/>
                <w:lang w:val="en-US" w:eastAsia="zh-CN"/>
              </w:rPr>
              <w:t>相关要求</w:t>
            </w:r>
          </w:p>
        </w:tc>
        <w:tc>
          <w:tcPr>
            <w:tcW w:w="2145" w:type="pct"/>
            <w:tcBorders>
              <w:top w:val="single" w:color="auto" w:sz="4" w:space="0"/>
              <w:left w:val="nil"/>
              <w:bottom w:val="single" w:color="auto" w:sz="4" w:space="0"/>
              <w:right w:val="single" w:color="auto" w:sz="4" w:space="0"/>
            </w:tcBorders>
            <w:shd w:val="clear" w:color="auto" w:fill="auto"/>
            <w:vAlign w:val="center"/>
          </w:tcPr>
          <w:p w14:paraId="3A620E15">
            <w:pPr>
              <w:pStyle w:val="43"/>
              <w:bidi w:val="0"/>
              <w:rPr>
                <w:rFonts w:hint="default"/>
                <w:b/>
                <w:bCs/>
              </w:rPr>
            </w:pPr>
            <w:r>
              <w:rPr>
                <w:rFonts w:hint="eastAsia"/>
                <w:b/>
                <w:bCs/>
                <w:lang w:val="en-US" w:eastAsia="zh-CN"/>
              </w:rPr>
              <w:t>项目情况</w:t>
            </w:r>
          </w:p>
        </w:tc>
        <w:tc>
          <w:tcPr>
            <w:tcW w:w="384" w:type="pct"/>
            <w:tcBorders>
              <w:top w:val="single" w:color="auto" w:sz="4" w:space="0"/>
              <w:left w:val="nil"/>
              <w:bottom w:val="single" w:color="auto" w:sz="4" w:space="0"/>
              <w:right w:val="single" w:color="auto" w:sz="4" w:space="0"/>
            </w:tcBorders>
            <w:shd w:val="clear" w:color="auto" w:fill="auto"/>
            <w:vAlign w:val="center"/>
          </w:tcPr>
          <w:p w14:paraId="3AA41DDC">
            <w:pPr>
              <w:pStyle w:val="43"/>
              <w:bidi w:val="0"/>
              <w:rPr>
                <w:rFonts w:hint="default"/>
                <w:b/>
                <w:bCs/>
              </w:rPr>
            </w:pPr>
            <w:r>
              <w:rPr>
                <w:rFonts w:hint="eastAsia"/>
                <w:b/>
                <w:bCs/>
                <w:lang w:val="en-US" w:eastAsia="zh-CN"/>
              </w:rPr>
              <w:t>符合性</w:t>
            </w:r>
          </w:p>
        </w:tc>
      </w:tr>
      <w:tr w14:paraId="769F97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restart"/>
            <w:tcBorders>
              <w:top w:val="single" w:color="auto" w:sz="4" w:space="0"/>
              <w:left w:val="single" w:color="auto" w:sz="4" w:space="0"/>
              <w:right w:val="single" w:color="auto" w:sz="4" w:space="0"/>
            </w:tcBorders>
            <w:shd w:val="clear" w:color="auto" w:fill="auto"/>
            <w:vAlign w:val="center"/>
          </w:tcPr>
          <w:p w14:paraId="7918C4FB">
            <w:pPr>
              <w:pStyle w:val="43"/>
              <w:bidi w:val="0"/>
              <w:rPr>
                <w:rFonts w:hint="default"/>
              </w:rPr>
            </w:pPr>
            <w:r>
              <w:rPr>
                <w:rFonts w:hint="default"/>
              </w:rPr>
              <w:t>《中华人民共和国生态环境法典》</w:t>
            </w:r>
          </w:p>
        </w:tc>
        <w:tc>
          <w:tcPr>
            <w:tcW w:w="377" w:type="pct"/>
            <w:vMerge w:val="restart"/>
            <w:tcBorders>
              <w:top w:val="single" w:color="auto" w:sz="4" w:space="0"/>
              <w:left w:val="nil"/>
              <w:right w:val="single" w:color="auto" w:sz="4" w:space="0"/>
            </w:tcBorders>
            <w:shd w:val="clear" w:color="auto" w:fill="auto"/>
            <w:vAlign w:val="center"/>
          </w:tcPr>
          <w:p w14:paraId="170E0F02">
            <w:pPr>
              <w:pStyle w:val="43"/>
              <w:bidi w:val="0"/>
              <w:rPr>
                <w:rFonts w:hint="default"/>
                <w:lang w:val="en-US" w:eastAsia="zh-CN"/>
              </w:rPr>
            </w:pPr>
            <w:r>
              <w:rPr>
                <w:rFonts w:hint="eastAsia"/>
                <w:lang w:val="en-US" w:eastAsia="zh-CN"/>
              </w:rPr>
              <w:t>大气污染防治</w:t>
            </w:r>
          </w:p>
        </w:tc>
        <w:tc>
          <w:tcPr>
            <w:tcW w:w="1626" w:type="pct"/>
            <w:tcBorders>
              <w:top w:val="single" w:color="auto" w:sz="4" w:space="0"/>
              <w:left w:val="nil"/>
              <w:bottom w:val="single" w:color="auto" w:sz="4" w:space="0"/>
              <w:right w:val="single" w:color="auto" w:sz="4" w:space="0"/>
            </w:tcBorders>
            <w:shd w:val="clear" w:color="auto" w:fill="auto"/>
            <w:vAlign w:val="center"/>
          </w:tcPr>
          <w:p w14:paraId="25C5DDC6">
            <w:pPr>
              <w:pStyle w:val="43"/>
              <w:bidi w:val="0"/>
              <w:rPr>
                <w:rFonts w:hint="default"/>
              </w:rPr>
            </w:pPr>
            <w:r>
              <w:rPr>
                <w:rFonts w:hint="default"/>
              </w:rPr>
              <w:t>第二百一十七条</w:t>
            </w:r>
            <w:r>
              <w:rPr>
                <w:rFonts w:hint="eastAsia"/>
                <w:lang w:val="en-US" w:eastAsia="zh-CN"/>
              </w:rPr>
              <w:t xml:space="preserve"> </w:t>
            </w:r>
            <w:r>
              <w:rPr>
                <w:rFonts w:hint="default"/>
              </w:rPr>
              <w:t>钢铁、建材、有色金属、石油、化工、制药、矿产开采企业和其他工业生产企业，应当加强精细化管理，采取集中收集处理等措施，严格控制粉尘和气态污染物的排放。</w:t>
            </w:r>
          </w:p>
          <w:p w14:paraId="7F149FE3">
            <w:pPr>
              <w:pStyle w:val="43"/>
              <w:bidi w:val="0"/>
              <w:rPr>
                <w:rFonts w:hint="default"/>
              </w:rPr>
            </w:pPr>
            <w:r>
              <w:rPr>
                <w:rFonts w:hint="default"/>
              </w:rPr>
              <w:t>工业生产企业应当采取密闭、围挡、遮盖、清扫、洒水等措施，减少内部物料的堆存、传输、装卸等环节产生的粉尘和气态污染物的排放。</w:t>
            </w:r>
          </w:p>
        </w:tc>
        <w:tc>
          <w:tcPr>
            <w:tcW w:w="2145" w:type="pct"/>
            <w:tcBorders>
              <w:top w:val="single" w:color="auto" w:sz="4" w:space="0"/>
              <w:left w:val="nil"/>
              <w:bottom w:val="single" w:color="auto" w:sz="4" w:space="0"/>
              <w:right w:val="single" w:color="auto" w:sz="4" w:space="0"/>
            </w:tcBorders>
            <w:shd w:val="clear" w:color="auto" w:fill="auto"/>
            <w:vAlign w:val="center"/>
          </w:tcPr>
          <w:p w14:paraId="1FD6E03C">
            <w:pPr>
              <w:pStyle w:val="43"/>
              <w:bidi w:val="0"/>
              <w:rPr>
                <w:rFonts w:hint="default"/>
                <w:lang w:val="en-US" w:eastAsia="zh-CN"/>
              </w:rPr>
            </w:pPr>
            <w:r>
              <w:rPr>
                <w:rFonts w:hint="eastAsia"/>
                <w:lang w:val="en-US" w:eastAsia="zh-CN"/>
              </w:rPr>
              <w:t>项目加强精细化管理，加工区及产品堆场设置封闭式钢制厂房，产尘较大的工段（破碎、筛分、制砂）工段设置粉尘收集系统，收集后经高效布袋除尘器处理后通过DA001排气筒达标有组织排放。厂房顶部设置喷雾系统，对未被布袋除尘系统收集的粉尘在厂房内得到有效洒水沉降。项目露天采场、表土堆场、原料堆场、运输道路等区域采用雾炮机+洒水车结合的洒水降尘方式进行粉尘、扬尘控制，经过大气环境影响预测章节，项目排放的各类污染物均能达标排放，落地浓度符合环境空气质量标准要求。</w:t>
            </w:r>
          </w:p>
        </w:tc>
        <w:tc>
          <w:tcPr>
            <w:tcW w:w="384" w:type="pct"/>
            <w:tcBorders>
              <w:top w:val="single" w:color="auto" w:sz="4" w:space="0"/>
              <w:left w:val="nil"/>
              <w:bottom w:val="single" w:color="auto" w:sz="4" w:space="0"/>
              <w:right w:val="single" w:color="auto" w:sz="4" w:space="0"/>
            </w:tcBorders>
            <w:shd w:val="clear" w:color="auto" w:fill="auto"/>
            <w:vAlign w:val="center"/>
          </w:tcPr>
          <w:p w14:paraId="301C077B">
            <w:pPr>
              <w:pStyle w:val="43"/>
              <w:bidi w:val="0"/>
              <w:rPr>
                <w:rFonts w:hint="default"/>
              </w:rPr>
            </w:pPr>
            <w:r>
              <w:rPr>
                <w:rFonts w:hint="eastAsia"/>
                <w:lang w:val="en-US" w:eastAsia="zh-CN"/>
              </w:rPr>
              <w:t>符合</w:t>
            </w:r>
          </w:p>
        </w:tc>
      </w:tr>
      <w:tr w14:paraId="32793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1AA4B2A7">
            <w:pPr>
              <w:pStyle w:val="43"/>
              <w:bidi w:val="0"/>
              <w:rPr>
                <w:rFonts w:hint="default"/>
              </w:rPr>
            </w:pPr>
          </w:p>
        </w:tc>
        <w:tc>
          <w:tcPr>
            <w:tcW w:w="377" w:type="pct"/>
            <w:vMerge w:val="continue"/>
            <w:tcBorders>
              <w:left w:val="nil"/>
              <w:right w:val="single" w:color="auto" w:sz="4" w:space="0"/>
            </w:tcBorders>
            <w:shd w:val="clear" w:color="auto" w:fill="auto"/>
            <w:vAlign w:val="center"/>
          </w:tcPr>
          <w:p w14:paraId="6B2721F0">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5838AC8F">
            <w:pPr>
              <w:pStyle w:val="43"/>
              <w:bidi w:val="0"/>
              <w:rPr>
                <w:rFonts w:hint="default"/>
              </w:rPr>
            </w:pPr>
            <w:r>
              <w:rPr>
                <w:rFonts w:hint="default"/>
              </w:rPr>
              <w:t>第二百四十条</w:t>
            </w:r>
            <w:r>
              <w:rPr>
                <w:rFonts w:hint="eastAsia"/>
                <w:lang w:val="en-US" w:eastAsia="zh-CN"/>
              </w:rPr>
              <w:t xml:space="preserve"> </w:t>
            </w:r>
            <w:r>
              <w:rPr>
                <w:rFonts w:hint="default"/>
              </w:rPr>
              <w:t>建设单位应当将扬尘污染防治费用列入工程造价，在施工合同中明确施工单位的扬尘污染防治责任。施工单位应当制定具体的施工扬尘污染</w:t>
            </w:r>
          </w:p>
          <w:p w14:paraId="12FA316C">
            <w:pPr>
              <w:pStyle w:val="43"/>
              <w:bidi w:val="0"/>
              <w:rPr>
                <w:rFonts w:hint="default"/>
              </w:rPr>
            </w:pPr>
            <w:r>
              <w:rPr>
                <w:rFonts w:hint="default"/>
              </w:rPr>
              <w:t>防治实施方案。</w:t>
            </w:r>
          </w:p>
          <w:p w14:paraId="4CBBDC3A">
            <w:pPr>
              <w:pStyle w:val="43"/>
              <w:bidi w:val="0"/>
              <w:rPr>
                <w:rFonts w:hint="default"/>
              </w:rPr>
            </w:pPr>
            <w:r>
              <w:rPr>
                <w:rFonts w:hint="default"/>
              </w:rPr>
              <w:t>从事房屋建筑、市政基础设施建设、河道整治以及建筑物拆除等施工单位，应当报负有扬尘污染防治监督管理职责的部门备案。</w:t>
            </w:r>
          </w:p>
          <w:p w14:paraId="36D896DC">
            <w:pPr>
              <w:pStyle w:val="43"/>
              <w:bidi w:val="0"/>
              <w:rPr>
                <w:rFonts w:hint="default"/>
              </w:rPr>
            </w:pPr>
            <w:r>
              <w:rPr>
                <w:rFonts w:hint="default"/>
              </w:rPr>
              <w:t>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2B1EBC56">
            <w:pPr>
              <w:pStyle w:val="43"/>
              <w:bidi w:val="0"/>
              <w:rPr>
                <w:rFonts w:hint="default"/>
              </w:rPr>
            </w:pPr>
            <w:r>
              <w:rPr>
                <w:rFonts w:hint="default"/>
              </w:rPr>
              <w:t>施工单位应当在施工工地公示扬尘污染防治措施、负责人、监督管理部门等信息。</w:t>
            </w:r>
          </w:p>
          <w:p w14:paraId="58C0F139">
            <w:pPr>
              <w:pStyle w:val="43"/>
              <w:bidi w:val="0"/>
              <w:rPr>
                <w:rFonts w:hint="default"/>
              </w:rPr>
            </w:pPr>
            <w:r>
              <w:rPr>
                <w:rFonts w:hint="default"/>
              </w:rPr>
              <w:t>暂时不能开工的建设用地，建设单位应当对裸露地面进行覆盖；超过三个月的，应当进行绿化、铺装或者遮盖。</w:t>
            </w:r>
          </w:p>
        </w:tc>
        <w:tc>
          <w:tcPr>
            <w:tcW w:w="2145" w:type="pct"/>
            <w:tcBorders>
              <w:top w:val="single" w:color="auto" w:sz="4" w:space="0"/>
              <w:left w:val="nil"/>
              <w:bottom w:val="single" w:color="auto" w:sz="4" w:space="0"/>
              <w:right w:val="single" w:color="auto" w:sz="4" w:space="0"/>
            </w:tcBorders>
            <w:shd w:val="clear" w:color="auto" w:fill="auto"/>
            <w:vAlign w:val="center"/>
          </w:tcPr>
          <w:p w14:paraId="40C6B15C">
            <w:pPr>
              <w:pStyle w:val="43"/>
              <w:bidi w:val="0"/>
              <w:rPr>
                <w:rFonts w:hint="eastAsia"/>
                <w:lang w:eastAsia="zh-CN"/>
              </w:rPr>
            </w:pPr>
            <w:r>
              <w:rPr>
                <w:rFonts w:hint="eastAsia"/>
                <w:lang w:val="en-US" w:eastAsia="zh-CN"/>
              </w:rPr>
              <w:t>评价要求建设单位应当将</w:t>
            </w:r>
            <w:r>
              <w:rPr>
                <w:rFonts w:hint="default"/>
              </w:rPr>
              <w:t>扬尘污染防治费用列入工程造价，在施工合同中明确施工单位的扬尘污染防治责任。施工单位应当制定具体的施工扬尘污染防治实施方案</w:t>
            </w:r>
            <w:r>
              <w:rPr>
                <w:rFonts w:hint="eastAsia"/>
                <w:lang w:eastAsia="zh-CN"/>
              </w:rPr>
              <w:t>。</w:t>
            </w:r>
          </w:p>
          <w:p w14:paraId="5E16A868">
            <w:pPr>
              <w:pStyle w:val="43"/>
              <w:bidi w:val="0"/>
              <w:rPr>
                <w:rFonts w:hint="eastAsia"/>
                <w:lang w:eastAsia="zh-CN"/>
              </w:rPr>
            </w:pPr>
            <w:r>
              <w:rPr>
                <w:rFonts w:hint="eastAsia"/>
                <w:lang w:val="en-US" w:eastAsia="zh-CN"/>
              </w:rPr>
              <w:t>项目不属于</w:t>
            </w:r>
            <w:r>
              <w:rPr>
                <w:rFonts w:hint="default"/>
              </w:rPr>
              <w:t>市政基础设施建设、河道整治以及建筑物拆除等施工</w:t>
            </w:r>
            <w:r>
              <w:rPr>
                <w:rFonts w:hint="eastAsia"/>
                <w:lang w:eastAsia="zh-CN"/>
              </w:rPr>
              <w:t>。</w:t>
            </w:r>
            <w:r>
              <w:rPr>
                <w:rFonts w:hint="eastAsia"/>
                <w:lang w:val="en-US" w:eastAsia="zh-CN"/>
              </w:rPr>
              <w:t>场地开工建设过程报</w:t>
            </w:r>
            <w:r>
              <w:rPr>
                <w:rFonts w:hint="default"/>
              </w:rPr>
              <w:t>有扬尘污染防治监督管理职责的部门备案</w:t>
            </w:r>
            <w:r>
              <w:rPr>
                <w:rFonts w:hint="eastAsia"/>
                <w:lang w:eastAsia="zh-CN"/>
              </w:rPr>
              <w:t>。</w:t>
            </w:r>
          </w:p>
          <w:p w14:paraId="279EFDEE">
            <w:pPr>
              <w:pStyle w:val="43"/>
              <w:bidi w:val="0"/>
              <w:rPr>
                <w:rFonts w:hint="eastAsia"/>
                <w:lang w:val="en-US" w:eastAsia="zh-CN"/>
              </w:rPr>
            </w:pPr>
            <w:r>
              <w:rPr>
                <w:rFonts w:hint="eastAsia"/>
                <w:lang w:val="en-US" w:eastAsia="zh-CN"/>
              </w:rPr>
              <w:t>评价要求加工区及厂房、生活区建设过程应设置铁质围挡并于晴天辅以洒水降尘措施，进场道路及运输道路施工应该分段作业，基础开挖待回填土石方应进行覆盖，不可利用建筑垃圾应及时清运。遇到干燥、易起尘的土方工程作业时，应辅以洒水抑尘，尽量缩短起尘操作时间。四级或四级以上大风天气，应停止土方作业。运输车辆进入施工场地要限速行驶，谨防运输车辆装载过满，并采取遮盖、密闭措施，防止或减少其沿途抛洒，车辆及各类设备工具应定期清洁，运输道路定时洒水抑尘，减少运输过程中的扬尘。对暂时未动工的裸露地面区域应进行绿化、铺装或者遮盖。</w:t>
            </w:r>
          </w:p>
          <w:p w14:paraId="11ED94DA">
            <w:pPr>
              <w:pStyle w:val="43"/>
              <w:bidi w:val="0"/>
              <w:rPr>
                <w:rFonts w:hint="eastAsia"/>
                <w:lang w:val="en-US" w:eastAsia="zh-CN"/>
              </w:rPr>
            </w:pPr>
            <w:r>
              <w:rPr>
                <w:rFonts w:hint="eastAsia"/>
                <w:lang w:val="en-US" w:eastAsia="zh-CN"/>
              </w:rPr>
              <w:t>对施工现场进行科学管理，易产生扬尘的物料应统一堆放，尽量减少搬运环节，搬运时轻举轻放，防止包装袋破裂。</w:t>
            </w:r>
          </w:p>
          <w:p w14:paraId="27D7BA17">
            <w:pPr>
              <w:pStyle w:val="43"/>
              <w:bidi w:val="0"/>
              <w:rPr>
                <w:rFonts w:hint="default"/>
                <w:lang w:val="en-US" w:eastAsia="zh-CN"/>
              </w:rPr>
            </w:pPr>
            <w:r>
              <w:rPr>
                <w:rFonts w:hint="eastAsia"/>
                <w:lang w:val="en-US" w:eastAsia="zh-CN"/>
              </w:rPr>
              <w:t>加强对机械、车辆的维修保养，禁止以柴油为燃料的施工机械超负荷工作，减少烟尘和颗粒物的排放。</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4D3975AD">
            <w:pPr>
              <w:pStyle w:val="43"/>
              <w:bidi w:val="0"/>
              <w:rPr>
                <w:rFonts w:hint="default"/>
              </w:rPr>
            </w:pPr>
            <w:r>
              <w:rPr>
                <w:rFonts w:hint="eastAsia"/>
                <w:lang w:val="en-US" w:eastAsia="zh-CN"/>
              </w:rPr>
              <w:t>符合</w:t>
            </w:r>
          </w:p>
        </w:tc>
      </w:tr>
      <w:tr w14:paraId="69B017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164EA35A">
            <w:pPr>
              <w:pStyle w:val="43"/>
              <w:bidi w:val="0"/>
              <w:rPr>
                <w:rFonts w:hint="default"/>
              </w:rPr>
            </w:pPr>
          </w:p>
        </w:tc>
        <w:tc>
          <w:tcPr>
            <w:tcW w:w="377" w:type="pct"/>
            <w:vMerge w:val="continue"/>
            <w:tcBorders>
              <w:left w:val="nil"/>
              <w:right w:val="single" w:color="auto" w:sz="4" w:space="0"/>
            </w:tcBorders>
            <w:shd w:val="clear" w:color="auto" w:fill="auto"/>
            <w:vAlign w:val="center"/>
          </w:tcPr>
          <w:p w14:paraId="18186F36">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34632A62">
            <w:pPr>
              <w:pStyle w:val="43"/>
              <w:bidi w:val="0"/>
              <w:rPr>
                <w:rFonts w:hint="default"/>
              </w:rPr>
            </w:pPr>
            <w:r>
              <w:rPr>
                <w:rFonts w:hint="default"/>
              </w:rPr>
              <w:t>第二百四十一条</w:t>
            </w:r>
            <w:r>
              <w:rPr>
                <w:rFonts w:hint="eastAsia"/>
                <w:lang w:val="en-US" w:eastAsia="zh-CN"/>
              </w:rPr>
              <w:t xml:space="preserve"> </w:t>
            </w:r>
            <w:r>
              <w:rPr>
                <w:rFonts w:hint="default"/>
              </w:rPr>
              <w:t>运输煤炭、垃圾、渣土、砂石、土方、灰浆等散装、流体</w:t>
            </w:r>
          </w:p>
          <w:p w14:paraId="58E34758">
            <w:pPr>
              <w:pStyle w:val="43"/>
              <w:bidi w:val="0"/>
              <w:rPr>
                <w:rFonts w:hint="default"/>
              </w:rPr>
            </w:pPr>
            <w:r>
              <w:rPr>
                <w:rFonts w:hint="default"/>
              </w:rPr>
              <w:t>物料的车辆和船舶应当采取密闭或者其他有效措施防止物料遗撒造成扬尘污染，并按照规定路线行驶。</w:t>
            </w:r>
          </w:p>
          <w:p w14:paraId="1BBE0165">
            <w:pPr>
              <w:pStyle w:val="43"/>
              <w:bidi w:val="0"/>
              <w:rPr>
                <w:rFonts w:hint="default"/>
              </w:rPr>
            </w:pPr>
            <w:r>
              <w:rPr>
                <w:rFonts w:hint="default"/>
              </w:rPr>
              <w:t>装卸物料应当采取密闭或者喷淋等方式防治扬尘污染。</w:t>
            </w:r>
          </w:p>
        </w:tc>
        <w:tc>
          <w:tcPr>
            <w:tcW w:w="2145" w:type="pct"/>
            <w:tcBorders>
              <w:top w:val="single" w:color="auto" w:sz="4" w:space="0"/>
              <w:left w:val="nil"/>
              <w:bottom w:val="single" w:color="auto" w:sz="4" w:space="0"/>
              <w:right w:val="single" w:color="auto" w:sz="4" w:space="0"/>
            </w:tcBorders>
            <w:shd w:val="clear" w:color="auto" w:fill="auto"/>
            <w:vAlign w:val="center"/>
          </w:tcPr>
          <w:p w14:paraId="7848D9DD">
            <w:pPr>
              <w:pStyle w:val="43"/>
              <w:bidi w:val="0"/>
              <w:rPr>
                <w:rFonts w:hint="default"/>
              </w:rPr>
            </w:pPr>
            <w:r>
              <w:rPr>
                <w:rFonts w:hint="eastAsia"/>
                <w:lang w:val="en-US" w:eastAsia="zh-CN"/>
              </w:rPr>
              <w:t>项目运输土石的车辆按小于核定载荷量装载</w:t>
            </w:r>
            <w:r>
              <w:rPr>
                <w:rFonts w:hint="eastAsia"/>
                <w:lang w:eastAsia="zh-CN"/>
              </w:rPr>
              <w:t>，</w:t>
            </w:r>
            <w:r>
              <w:rPr>
                <w:rFonts w:hint="default"/>
              </w:rPr>
              <w:t>防止物料</w:t>
            </w:r>
            <w:r>
              <w:rPr>
                <w:rFonts w:hint="eastAsia"/>
                <w:lang w:val="en-US" w:eastAsia="zh-CN"/>
              </w:rPr>
              <w:t>超载满载</w:t>
            </w:r>
            <w:r>
              <w:rPr>
                <w:rFonts w:hint="default"/>
              </w:rPr>
              <w:t>遗撒造成扬尘污染，并按照规定路线行驶。</w:t>
            </w:r>
          </w:p>
          <w:p w14:paraId="0AEF7C53">
            <w:pPr>
              <w:pStyle w:val="43"/>
              <w:bidi w:val="0"/>
              <w:rPr>
                <w:rFonts w:hint="default"/>
                <w:lang w:val="en-US" w:eastAsia="zh-CN"/>
              </w:rPr>
            </w:pPr>
            <w:r>
              <w:rPr>
                <w:rFonts w:hint="eastAsia"/>
                <w:lang w:val="en-US" w:eastAsia="zh-CN"/>
              </w:rPr>
              <w:t>露天采场矿石装车、堆料场卸料等区域采取雾炮机+洒水车结合的方式进行洒水降尘</w:t>
            </w:r>
            <w:r>
              <w:rPr>
                <w:rFonts w:hint="default"/>
              </w:rPr>
              <w:t>。</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7EA7EC11">
            <w:pPr>
              <w:pStyle w:val="43"/>
              <w:bidi w:val="0"/>
              <w:rPr>
                <w:rFonts w:hint="default"/>
              </w:rPr>
            </w:pPr>
            <w:r>
              <w:rPr>
                <w:rFonts w:hint="eastAsia"/>
                <w:lang w:val="en-US" w:eastAsia="zh-CN"/>
              </w:rPr>
              <w:t>符合</w:t>
            </w:r>
          </w:p>
        </w:tc>
      </w:tr>
      <w:tr w14:paraId="1A0F9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6FA573A6">
            <w:pPr>
              <w:pStyle w:val="43"/>
              <w:bidi w:val="0"/>
              <w:rPr>
                <w:rFonts w:hint="default"/>
              </w:rPr>
            </w:pPr>
          </w:p>
        </w:tc>
        <w:tc>
          <w:tcPr>
            <w:tcW w:w="377" w:type="pct"/>
            <w:vMerge w:val="continue"/>
            <w:tcBorders>
              <w:left w:val="nil"/>
              <w:bottom w:val="single" w:color="auto" w:sz="4" w:space="0"/>
              <w:right w:val="single" w:color="auto" w:sz="4" w:space="0"/>
            </w:tcBorders>
            <w:shd w:val="clear" w:color="auto" w:fill="auto"/>
            <w:vAlign w:val="center"/>
          </w:tcPr>
          <w:p w14:paraId="4A814E21">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316E5A15">
            <w:pPr>
              <w:pStyle w:val="43"/>
              <w:bidi w:val="0"/>
              <w:rPr>
                <w:rFonts w:hint="default"/>
              </w:rPr>
            </w:pPr>
            <w:r>
              <w:rPr>
                <w:rFonts w:hint="default"/>
              </w:rPr>
              <w:t>第二百四十三条</w:t>
            </w:r>
            <w:r>
              <w:rPr>
                <w:rFonts w:hint="eastAsia"/>
                <w:lang w:val="en-US" w:eastAsia="zh-CN"/>
              </w:rPr>
              <w:t xml:space="preserve"> </w:t>
            </w:r>
            <w:r>
              <w:rPr>
                <w:rFonts w:hint="default"/>
              </w:rPr>
              <w:t>贮存煤炭、煤矸石、煤渣、煤灰、水泥、石灰、石膏、砂土、铁矿石等易产生扬尘的物料应当密闭；不能密闭的，应当设置不低于堆放物高度的严密围挡，并采取有效覆盖措施防治扬尘污染。</w:t>
            </w:r>
          </w:p>
          <w:p w14:paraId="4B705040">
            <w:pPr>
              <w:pStyle w:val="43"/>
              <w:bidi w:val="0"/>
              <w:rPr>
                <w:rFonts w:hint="default"/>
              </w:rPr>
            </w:pPr>
            <w:r>
              <w:rPr>
                <w:rFonts w:hint="default"/>
              </w:rPr>
              <w:t>码头、矿山、填埋场和消纳场应当实施分区作业，并采取有效措施防治扬尘</w:t>
            </w:r>
          </w:p>
          <w:p w14:paraId="506C9550">
            <w:pPr>
              <w:pStyle w:val="43"/>
              <w:bidi w:val="0"/>
              <w:rPr>
                <w:rFonts w:hint="default"/>
              </w:rPr>
            </w:pPr>
            <w:r>
              <w:rPr>
                <w:rFonts w:hint="default"/>
              </w:rPr>
              <w:t>污染。</w:t>
            </w:r>
          </w:p>
        </w:tc>
        <w:tc>
          <w:tcPr>
            <w:tcW w:w="2145" w:type="pct"/>
            <w:tcBorders>
              <w:top w:val="single" w:color="auto" w:sz="4" w:space="0"/>
              <w:left w:val="nil"/>
              <w:bottom w:val="single" w:color="auto" w:sz="4" w:space="0"/>
              <w:right w:val="single" w:color="auto" w:sz="4" w:space="0"/>
            </w:tcBorders>
            <w:shd w:val="clear" w:color="auto" w:fill="auto"/>
            <w:vAlign w:val="center"/>
          </w:tcPr>
          <w:p w14:paraId="34E5DB44">
            <w:pPr>
              <w:pStyle w:val="43"/>
              <w:bidi w:val="0"/>
              <w:rPr>
                <w:rFonts w:hint="eastAsia"/>
                <w:lang w:eastAsia="zh-CN"/>
              </w:rPr>
            </w:pPr>
            <w:r>
              <w:rPr>
                <w:rFonts w:hint="eastAsia"/>
                <w:lang w:val="en-US" w:eastAsia="zh-CN"/>
              </w:rPr>
              <w:t>表土堆场设置在矿区内缓坡处，四周有高于堆放高度的山体、灌草木林等天然围挡，且定期进行洒水降尘</w:t>
            </w:r>
            <w:r>
              <w:rPr>
                <w:rFonts w:hint="default"/>
              </w:rPr>
              <w:t>防治扬尘污染</w:t>
            </w:r>
            <w:r>
              <w:rPr>
                <w:rFonts w:hint="eastAsia"/>
                <w:lang w:eastAsia="zh-CN"/>
              </w:rPr>
              <w:t>。</w:t>
            </w:r>
          </w:p>
          <w:p w14:paraId="248FACE9">
            <w:pPr>
              <w:pStyle w:val="43"/>
              <w:bidi w:val="0"/>
              <w:rPr>
                <w:rFonts w:hint="eastAsia"/>
                <w:lang w:val="en-US" w:eastAsia="zh-CN"/>
              </w:rPr>
            </w:pPr>
            <w:r>
              <w:rPr>
                <w:rFonts w:hint="eastAsia"/>
                <w:lang w:val="en-US" w:eastAsia="zh-CN"/>
              </w:rPr>
              <w:t>项目矿山分层开挖，边开挖边治理，且定期进行洒水降尘</w:t>
            </w:r>
            <w:r>
              <w:rPr>
                <w:rFonts w:hint="default"/>
              </w:rPr>
              <w:t>防治扬尘污染</w:t>
            </w:r>
            <w:r>
              <w:rPr>
                <w:rFonts w:hint="eastAsia"/>
                <w:lang w:eastAsia="zh-CN"/>
              </w:rPr>
              <w:t>。</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1E2FAC1C">
            <w:pPr>
              <w:pStyle w:val="43"/>
              <w:bidi w:val="0"/>
              <w:rPr>
                <w:rFonts w:hint="default"/>
              </w:rPr>
            </w:pPr>
            <w:r>
              <w:rPr>
                <w:rFonts w:hint="eastAsia"/>
                <w:lang w:val="en-US" w:eastAsia="zh-CN"/>
              </w:rPr>
              <w:t>符合</w:t>
            </w:r>
          </w:p>
        </w:tc>
      </w:tr>
      <w:tr w14:paraId="54C3DB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04ABFF68">
            <w:pPr>
              <w:pStyle w:val="43"/>
              <w:bidi w:val="0"/>
              <w:rPr>
                <w:rFonts w:hint="default"/>
              </w:rPr>
            </w:pPr>
          </w:p>
        </w:tc>
        <w:tc>
          <w:tcPr>
            <w:tcW w:w="377" w:type="pct"/>
            <w:vMerge w:val="restart"/>
            <w:tcBorders>
              <w:top w:val="single" w:color="auto" w:sz="4" w:space="0"/>
              <w:left w:val="nil"/>
              <w:right w:val="single" w:color="auto" w:sz="4" w:space="0"/>
            </w:tcBorders>
            <w:shd w:val="clear" w:color="auto" w:fill="auto"/>
            <w:vAlign w:val="center"/>
          </w:tcPr>
          <w:p w14:paraId="4F8A8E86">
            <w:pPr>
              <w:pStyle w:val="43"/>
              <w:bidi w:val="0"/>
              <w:rPr>
                <w:rFonts w:hint="default"/>
                <w:lang w:val="en-US" w:eastAsia="zh-CN"/>
              </w:rPr>
            </w:pPr>
            <w:r>
              <w:rPr>
                <w:rFonts w:hint="eastAsia"/>
                <w:lang w:val="en-US" w:eastAsia="zh-CN"/>
              </w:rPr>
              <w:t>水污染防治</w:t>
            </w:r>
          </w:p>
        </w:tc>
        <w:tc>
          <w:tcPr>
            <w:tcW w:w="1626" w:type="pct"/>
            <w:tcBorders>
              <w:top w:val="single" w:color="auto" w:sz="4" w:space="0"/>
              <w:left w:val="nil"/>
              <w:bottom w:val="single" w:color="auto" w:sz="4" w:space="0"/>
              <w:right w:val="single" w:color="auto" w:sz="4" w:space="0"/>
            </w:tcBorders>
            <w:shd w:val="clear" w:color="auto" w:fill="auto"/>
            <w:vAlign w:val="center"/>
          </w:tcPr>
          <w:p w14:paraId="4A506F7D">
            <w:pPr>
              <w:pStyle w:val="43"/>
              <w:bidi w:val="0"/>
              <w:rPr>
                <w:rFonts w:hint="default"/>
              </w:rPr>
            </w:pPr>
            <w:r>
              <w:rPr>
                <w:rFonts w:hint="default"/>
              </w:rPr>
              <w:t>第二百七十九条 禁止向水体排放油类、酸液、碱液、剧毒废液。禁止在水</w:t>
            </w:r>
          </w:p>
          <w:p w14:paraId="5F5F3B01">
            <w:pPr>
              <w:pStyle w:val="43"/>
              <w:bidi w:val="0"/>
              <w:rPr>
                <w:rFonts w:hint="default"/>
              </w:rPr>
            </w:pPr>
            <w:r>
              <w:rPr>
                <w:rFonts w:hint="default"/>
              </w:rPr>
              <w:t>体清洗装贮过油类或者有毒有害污染物的车辆和容器。</w:t>
            </w:r>
          </w:p>
          <w:p w14:paraId="6B126408">
            <w:pPr>
              <w:pStyle w:val="43"/>
              <w:bidi w:val="0"/>
              <w:rPr>
                <w:rFonts w:hint="default"/>
              </w:rPr>
            </w:pPr>
            <w:r>
              <w:rPr>
                <w:rFonts w:hint="default"/>
              </w:rPr>
              <w:t>禁止向水体排放、倾倒放射性固体废物或者含有高放射性和中放射性物质的</w:t>
            </w:r>
          </w:p>
          <w:p w14:paraId="5EE84F87">
            <w:pPr>
              <w:pStyle w:val="43"/>
              <w:bidi w:val="0"/>
              <w:rPr>
                <w:rFonts w:hint="default"/>
              </w:rPr>
            </w:pPr>
            <w:r>
              <w:rPr>
                <w:rFonts w:hint="default"/>
              </w:rPr>
              <w:t>废水。向水体排放含低放射性物质的废水，应当符合国家有关放射性污染防治的</w:t>
            </w:r>
          </w:p>
          <w:p w14:paraId="4D2BF126">
            <w:pPr>
              <w:pStyle w:val="43"/>
              <w:bidi w:val="0"/>
              <w:rPr>
                <w:rFonts w:hint="default"/>
              </w:rPr>
            </w:pPr>
            <w:r>
              <w:rPr>
                <w:rFonts w:hint="default"/>
              </w:rPr>
              <w:t>规定和标准。</w:t>
            </w:r>
          </w:p>
        </w:tc>
        <w:tc>
          <w:tcPr>
            <w:tcW w:w="2145" w:type="pct"/>
            <w:tcBorders>
              <w:top w:val="single" w:color="auto" w:sz="4" w:space="0"/>
              <w:left w:val="nil"/>
              <w:bottom w:val="single" w:color="auto" w:sz="4" w:space="0"/>
              <w:right w:val="single" w:color="auto" w:sz="4" w:space="0"/>
            </w:tcBorders>
            <w:shd w:val="clear" w:color="auto" w:fill="auto"/>
            <w:vAlign w:val="center"/>
          </w:tcPr>
          <w:p w14:paraId="01BDC7BB">
            <w:pPr>
              <w:pStyle w:val="43"/>
              <w:bidi w:val="0"/>
              <w:rPr>
                <w:rFonts w:hint="eastAsia"/>
                <w:lang w:val="en-US" w:eastAsia="zh-CN"/>
              </w:rPr>
            </w:pPr>
            <w:r>
              <w:rPr>
                <w:rFonts w:hint="eastAsia"/>
                <w:lang w:val="en-US" w:eastAsia="zh-CN"/>
              </w:rPr>
              <w:t>项目施工期、运营期无废水外排，不涉及</w:t>
            </w:r>
            <w:r>
              <w:rPr>
                <w:rFonts w:hint="default"/>
              </w:rPr>
              <w:t>向水体排放油类、酸液、碱液、剧毒废液</w:t>
            </w:r>
            <w:r>
              <w:rPr>
                <w:rFonts w:hint="eastAsia"/>
                <w:lang w:val="en-US" w:eastAsia="zh-CN"/>
              </w:rPr>
              <w:t>行为</w:t>
            </w:r>
            <w:r>
              <w:rPr>
                <w:rFonts w:hint="eastAsia"/>
                <w:lang w:eastAsia="zh-CN"/>
              </w:rPr>
              <w:t>，</w:t>
            </w:r>
            <w:r>
              <w:rPr>
                <w:rFonts w:hint="eastAsia"/>
                <w:lang w:val="en-US" w:eastAsia="zh-CN"/>
              </w:rPr>
              <w:t>不涉及</w:t>
            </w:r>
            <w:r>
              <w:rPr>
                <w:rFonts w:hint="default"/>
              </w:rPr>
              <w:t>在水体清洗装贮过油类或者有毒有害污染物的车辆和容器</w:t>
            </w:r>
            <w:r>
              <w:rPr>
                <w:rFonts w:hint="eastAsia"/>
                <w:lang w:val="en-US" w:eastAsia="zh-CN"/>
              </w:rPr>
              <w:t>行为。</w:t>
            </w:r>
          </w:p>
          <w:p w14:paraId="257017C6">
            <w:pPr>
              <w:pStyle w:val="43"/>
              <w:bidi w:val="0"/>
              <w:rPr>
                <w:rFonts w:hint="default"/>
                <w:lang w:val="en-US" w:eastAsia="zh-CN"/>
              </w:rPr>
            </w:pPr>
            <w:r>
              <w:rPr>
                <w:rFonts w:hint="eastAsia"/>
                <w:lang w:val="en-US" w:eastAsia="zh-CN"/>
              </w:rPr>
              <w:t>项目废土石不含放射性，且项目固体废物100%合理处置。</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36000C62">
            <w:pPr>
              <w:pStyle w:val="43"/>
              <w:bidi w:val="0"/>
              <w:rPr>
                <w:rFonts w:hint="default"/>
              </w:rPr>
            </w:pPr>
            <w:r>
              <w:rPr>
                <w:rFonts w:hint="eastAsia"/>
                <w:lang w:val="en-US" w:eastAsia="zh-CN"/>
              </w:rPr>
              <w:t>符合</w:t>
            </w:r>
          </w:p>
        </w:tc>
      </w:tr>
      <w:tr w14:paraId="1812C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1047D36E">
            <w:pPr>
              <w:pStyle w:val="43"/>
              <w:bidi w:val="0"/>
              <w:rPr>
                <w:rFonts w:hint="default"/>
              </w:rPr>
            </w:pPr>
          </w:p>
        </w:tc>
        <w:tc>
          <w:tcPr>
            <w:tcW w:w="377" w:type="pct"/>
            <w:vMerge w:val="continue"/>
            <w:tcBorders>
              <w:left w:val="nil"/>
              <w:right w:val="single" w:color="auto" w:sz="4" w:space="0"/>
            </w:tcBorders>
            <w:shd w:val="clear" w:color="auto" w:fill="auto"/>
            <w:vAlign w:val="center"/>
          </w:tcPr>
          <w:p w14:paraId="0C3875A3">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04BDBECD">
            <w:pPr>
              <w:pStyle w:val="43"/>
              <w:bidi w:val="0"/>
              <w:rPr>
                <w:rFonts w:hint="default"/>
              </w:rPr>
            </w:pPr>
            <w:r>
              <w:rPr>
                <w:rFonts w:hint="default"/>
              </w:rPr>
              <w:t>第二百八十二条 禁止向水体排放、倾倒工业废渣、城镇垃圾和其他废弃物。</w:t>
            </w:r>
          </w:p>
          <w:p w14:paraId="73B799F6">
            <w:pPr>
              <w:pStyle w:val="43"/>
              <w:bidi w:val="0"/>
              <w:rPr>
                <w:rFonts w:hint="default"/>
              </w:rPr>
            </w:pPr>
            <w:r>
              <w:rPr>
                <w:rFonts w:hint="default"/>
              </w:rPr>
              <w:t>禁止将含有汞、镉、砷、铬、铅、氰化物、黄磷等的可溶性剧毒废渣向水体排放、倾倒或者直接埋入地下。</w:t>
            </w:r>
          </w:p>
          <w:p w14:paraId="631DA10F">
            <w:pPr>
              <w:pStyle w:val="43"/>
              <w:bidi w:val="0"/>
              <w:rPr>
                <w:rFonts w:hint="default"/>
              </w:rPr>
            </w:pPr>
            <w:r>
              <w:rPr>
                <w:rFonts w:hint="default"/>
              </w:rPr>
              <w:t>存放可溶性剧毒废渣的场所，应当采取防水、防渗漏、防流失的措施。</w:t>
            </w:r>
          </w:p>
        </w:tc>
        <w:tc>
          <w:tcPr>
            <w:tcW w:w="2145" w:type="pct"/>
            <w:tcBorders>
              <w:top w:val="single" w:color="auto" w:sz="4" w:space="0"/>
              <w:left w:val="nil"/>
              <w:bottom w:val="single" w:color="auto" w:sz="4" w:space="0"/>
              <w:right w:val="single" w:color="auto" w:sz="4" w:space="0"/>
            </w:tcBorders>
            <w:shd w:val="clear" w:color="auto" w:fill="auto"/>
            <w:vAlign w:val="center"/>
          </w:tcPr>
          <w:p w14:paraId="030CC59A">
            <w:pPr>
              <w:pStyle w:val="43"/>
              <w:bidi w:val="0"/>
              <w:rPr>
                <w:rFonts w:hint="eastAsia"/>
                <w:lang w:val="en-US" w:eastAsia="zh-CN"/>
              </w:rPr>
            </w:pPr>
            <w:r>
              <w:rPr>
                <w:rFonts w:hint="eastAsia"/>
                <w:lang w:val="en-US" w:eastAsia="zh-CN"/>
              </w:rPr>
              <w:t>项目剥离表土暂存于表土堆场用于后续复垦，经固废章节分析，表土堆场选址可行，设置合理。不涉及向水体倾倒工业废渣行为。</w:t>
            </w:r>
          </w:p>
          <w:p w14:paraId="4E17F8FF">
            <w:pPr>
              <w:pStyle w:val="43"/>
              <w:bidi w:val="0"/>
              <w:rPr>
                <w:rFonts w:hint="eastAsia"/>
                <w:lang w:val="en-US" w:eastAsia="zh-CN"/>
              </w:rPr>
            </w:pPr>
            <w:r>
              <w:rPr>
                <w:rFonts w:hint="eastAsia"/>
                <w:lang w:val="en-US" w:eastAsia="zh-CN"/>
              </w:rPr>
              <w:t>项目为灰岩矿开采加工，弃渣不含</w:t>
            </w:r>
            <w:r>
              <w:rPr>
                <w:rFonts w:hint="default"/>
              </w:rPr>
              <w:t>汞、镉、砷、铬、铅、氰化物、黄磷等</w:t>
            </w:r>
            <w:r>
              <w:rPr>
                <w:rFonts w:hint="eastAsia"/>
                <w:lang w:eastAsia="zh-CN"/>
              </w:rPr>
              <w:t>，</w:t>
            </w:r>
            <w:r>
              <w:rPr>
                <w:rFonts w:hint="eastAsia"/>
                <w:lang w:val="en-US" w:eastAsia="zh-CN"/>
              </w:rPr>
              <w:t>弃渣不属于</w:t>
            </w:r>
            <w:r>
              <w:rPr>
                <w:rFonts w:hint="default"/>
              </w:rPr>
              <w:t>可溶性剧毒废渣</w:t>
            </w:r>
            <w:r>
              <w:rPr>
                <w:rFonts w:hint="eastAsia"/>
                <w:lang w:eastAsia="zh-CN"/>
              </w:rPr>
              <w:t>。</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71BA77A7">
            <w:pPr>
              <w:pStyle w:val="43"/>
              <w:bidi w:val="0"/>
              <w:rPr>
                <w:rFonts w:hint="default"/>
              </w:rPr>
            </w:pPr>
            <w:r>
              <w:rPr>
                <w:rFonts w:hint="eastAsia"/>
                <w:lang w:val="en-US" w:eastAsia="zh-CN"/>
              </w:rPr>
              <w:t>符合</w:t>
            </w:r>
          </w:p>
        </w:tc>
      </w:tr>
      <w:tr w14:paraId="3CBEC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08D3D1FD">
            <w:pPr>
              <w:pStyle w:val="43"/>
              <w:bidi w:val="0"/>
              <w:rPr>
                <w:rFonts w:hint="default"/>
              </w:rPr>
            </w:pPr>
          </w:p>
        </w:tc>
        <w:tc>
          <w:tcPr>
            <w:tcW w:w="377" w:type="pct"/>
            <w:vMerge w:val="continue"/>
            <w:tcBorders>
              <w:left w:val="nil"/>
              <w:bottom w:val="single" w:color="auto" w:sz="4" w:space="0"/>
              <w:right w:val="single" w:color="auto" w:sz="4" w:space="0"/>
            </w:tcBorders>
            <w:shd w:val="clear" w:color="auto" w:fill="auto"/>
            <w:vAlign w:val="center"/>
          </w:tcPr>
          <w:p w14:paraId="161F4752">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2503D089">
            <w:pPr>
              <w:pStyle w:val="43"/>
              <w:bidi w:val="0"/>
              <w:rPr>
                <w:rFonts w:hint="default"/>
              </w:rPr>
            </w:pPr>
            <w:r>
              <w:rPr>
                <w:rFonts w:hint="default"/>
              </w:rPr>
              <w:t>第二百八十七条 化工园区和化工项目、矿山开采区、尾矿库、危险废物处置场、垃圾填埋场等的运营、管理单位，应当采取防渗漏等措施，并建设地下水水质监测井进行监测，防止地下水污染。</w:t>
            </w:r>
          </w:p>
        </w:tc>
        <w:tc>
          <w:tcPr>
            <w:tcW w:w="2145" w:type="pct"/>
            <w:tcBorders>
              <w:top w:val="single" w:color="auto" w:sz="4" w:space="0"/>
              <w:left w:val="nil"/>
              <w:bottom w:val="single" w:color="auto" w:sz="4" w:space="0"/>
              <w:right w:val="single" w:color="auto" w:sz="4" w:space="0"/>
            </w:tcBorders>
            <w:shd w:val="clear" w:color="auto" w:fill="auto"/>
            <w:vAlign w:val="center"/>
          </w:tcPr>
          <w:p w14:paraId="6CB35A76">
            <w:pPr>
              <w:pStyle w:val="43"/>
              <w:bidi w:val="0"/>
              <w:rPr>
                <w:rFonts w:hint="eastAsia"/>
                <w:lang w:val="en-US" w:eastAsia="zh-CN"/>
              </w:rPr>
            </w:pPr>
            <w:r>
              <w:rPr>
                <w:rFonts w:hint="eastAsia"/>
                <w:lang w:val="en-US" w:eastAsia="zh-CN"/>
              </w:rPr>
              <w:t>项目依托的危废间按照重点防渗区要求进行防渗、各类废水收集池体按照一般防渗区要求防渗，通过地下水环境影响分析，本项目对地下水环境影响可接受。按照HJ 610-2016，本次不用设置地下水跟踪监测井，在地下水环境保护措施中，评价已提出若发现地下水污染事故应采取应急处置措施，</w:t>
            </w:r>
            <w:r>
              <w:rPr>
                <w:rFonts w:hint="default"/>
                <w:lang w:val="en-US" w:eastAsia="zh-CN"/>
              </w:rPr>
              <w:t>若有必要，</w:t>
            </w:r>
            <w:r>
              <w:rPr>
                <w:rFonts w:hint="default"/>
              </w:rPr>
              <w:t>对项目区地下水进行监测，确定水质是否受到影响</w:t>
            </w:r>
            <w:r>
              <w:rPr>
                <w:rFonts w:hint="eastAsia"/>
                <w:lang w:eastAsia="zh-CN"/>
              </w:rPr>
              <w:t>。</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2E51989F">
            <w:pPr>
              <w:pStyle w:val="43"/>
              <w:bidi w:val="0"/>
              <w:rPr>
                <w:rFonts w:hint="default"/>
              </w:rPr>
            </w:pPr>
            <w:r>
              <w:rPr>
                <w:rFonts w:hint="eastAsia"/>
                <w:lang w:val="en-US" w:eastAsia="zh-CN"/>
              </w:rPr>
              <w:t>符合</w:t>
            </w:r>
          </w:p>
        </w:tc>
      </w:tr>
      <w:tr w14:paraId="77373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4EEF2A87">
            <w:pPr>
              <w:pStyle w:val="43"/>
              <w:bidi w:val="0"/>
              <w:rPr>
                <w:rFonts w:hint="default"/>
              </w:rPr>
            </w:pPr>
          </w:p>
        </w:tc>
        <w:tc>
          <w:tcPr>
            <w:tcW w:w="377" w:type="pct"/>
            <w:vMerge w:val="restart"/>
            <w:tcBorders>
              <w:top w:val="single" w:color="auto" w:sz="4" w:space="0"/>
              <w:left w:val="nil"/>
              <w:right w:val="single" w:color="auto" w:sz="4" w:space="0"/>
            </w:tcBorders>
            <w:shd w:val="clear" w:color="auto" w:fill="auto"/>
            <w:vAlign w:val="center"/>
          </w:tcPr>
          <w:p w14:paraId="7AAB7FF0">
            <w:pPr>
              <w:pStyle w:val="43"/>
              <w:bidi w:val="0"/>
              <w:rPr>
                <w:rFonts w:hint="default"/>
                <w:lang w:val="en-US" w:eastAsia="zh-CN"/>
              </w:rPr>
            </w:pPr>
            <w:r>
              <w:rPr>
                <w:rFonts w:hint="eastAsia"/>
                <w:lang w:val="en-US" w:eastAsia="zh-CN"/>
              </w:rPr>
              <w:t>土壤污染防治</w:t>
            </w:r>
          </w:p>
        </w:tc>
        <w:tc>
          <w:tcPr>
            <w:tcW w:w="1626" w:type="pct"/>
            <w:tcBorders>
              <w:top w:val="single" w:color="auto" w:sz="4" w:space="0"/>
              <w:left w:val="nil"/>
              <w:bottom w:val="single" w:color="auto" w:sz="4" w:space="0"/>
              <w:right w:val="single" w:color="auto" w:sz="4" w:space="0"/>
            </w:tcBorders>
            <w:shd w:val="clear" w:color="auto" w:fill="auto"/>
            <w:vAlign w:val="center"/>
          </w:tcPr>
          <w:p w14:paraId="33179BC7">
            <w:pPr>
              <w:pStyle w:val="43"/>
              <w:bidi w:val="0"/>
              <w:rPr>
                <w:rFonts w:hint="default"/>
              </w:rPr>
            </w:pPr>
            <w:r>
              <w:rPr>
                <w:rFonts w:hint="default"/>
              </w:rPr>
              <w:t>第四百一十二条 生产、贮存、运输、使用、回收、处置、排放有毒有害物质的单位和个人，应当采取有效措施，防止有毒有害物质渗漏、流失、扬散，避免土壤受到污染。</w:t>
            </w:r>
          </w:p>
        </w:tc>
        <w:tc>
          <w:tcPr>
            <w:tcW w:w="2145" w:type="pct"/>
            <w:tcBorders>
              <w:top w:val="single" w:color="auto" w:sz="4" w:space="0"/>
              <w:left w:val="nil"/>
              <w:bottom w:val="single" w:color="auto" w:sz="4" w:space="0"/>
              <w:right w:val="single" w:color="auto" w:sz="4" w:space="0"/>
            </w:tcBorders>
            <w:shd w:val="clear" w:color="auto" w:fill="auto"/>
            <w:vAlign w:val="center"/>
          </w:tcPr>
          <w:p w14:paraId="2AF1C8F0">
            <w:pPr>
              <w:pStyle w:val="43"/>
              <w:bidi w:val="0"/>
              <w:rPr>
                <w:rFonts w:hint="default"/>
                <w:lang w:val="en-US" w:eastAsia="zh-CN"/>
              </w:rPr>
            </w:pPr>
            <w:r>
              <w:rPr>
                <w:rFonts w:hint="eastAsia"/>
                <w:lang w:val="en-US" w:eastAsia="zh-CN"/>
              </w:rPr>
              <w:t>根据工程分析，本项目表土、布袋收集粉尘、生活垃圾等均不含有毒有害物质，经分析，项目固体废物100%合理处置。项目机修废物属于危险废物，在危废间对其进行收集暂存，暂存间设置要求满足《危险废物贮存污染控制标准》（GB 18597-2023）中的要求，定期委托有资质的单位清运处置。</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1B2FE446">
            <w:pPr>
              <w:pStyle w:val="43"/>
              <w:bidi w:val="0"/>
              <w:rPr>
                <w:rFonts w:hint="default"/>
              </w:rPr>
            </w:pPr>
            <w:r>
              <w:rPr>
                <w:rFonts w:hint="eastAsia"/>
                <w:lang w:val="en-US" w:eastAsia="zh-CN"/>
              </w:rPr>
              <w:t>符合</w:t>
            </w:r>
          </w:p>
        </w:tc>
      </w:tr>
      <w:tr w14:paraId="5161D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72241A7A">
            <w:pPr>
              <w:pStyle w:val="43"/>
              <w:bidi w:val="0"/>
              <w:rPr>
                <w:rFonts w:hint="default"/>
              </w:rPr>
            </w:pPr>
          </w:p>
        </w:tc>
        <w:tc>
          <w:tcPr>
            <w:tcW w:w="377" w:type="pct"/>
            <w:vMerge w:val="continue"/>
            <w:tcBorders>
              <w:left w:val="nil"/>
              <w:right w:val="single" w:color="auto" w:sz="4" w:space="0"/>
            </w:tcBorders>
            <w:shd w:val="clear" w:color="auto" w:fill="auto"/>
            <w:vAlign w:val="center"/>
          </w:tcPr>
          <w:p w14:paraId="77F6581A">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2D9FC274">
            <w:pPr>
              <w:pStyle w:val="43"/>
              <w:bidi w:val="0"/>
              <w:rPr>
                <w:rFonts w:hint="default"/>
              </w:rPr>
            </w:pPr>
            <w:r>
              <w:rPr>
                <w:rFonts w:hint="default"/>
              </w:rPr>
              <w:t>第四百二十二条 禁止向耕地、林地、草地等农用地排放重金属或者其他有毒有害物质含量超标的污水、污泥，以及可能造成土壤污染的清淤底泥、尾矿、矿渣等。</w:t>
            </w:r>
          </w:p>
        </w:tc>
        <w:tc>
          <w:tcPr>
            <w:tcW w:w="2145" w:type="pct"/>
            <w:tcBorders>
              <w:top w:val="single" w:color="auto" w:sz="4" w:space="0"/>
              <w:left w:val="nil"/>
              <w:bottom w:val="single" w:color="auto" w:sz="4" w:space="0"/>
              <w:right w:val="single" w:color="auto" w:sz="4" w:space="0"/>
            </w:tcBorders>
            <w:shd w:val="clear" w:color="auto" w:fill="auto"/>
            <w:vAlign w:val="center"/>
          </w:tcPr>
          <w:p w14:paraId="2020ECA6">
            <w:pPr>
              <w:pStyle w:val="43"/>
              <w:bidi w:val="0"/>
              <w:rPr>
                <w:rFonts w:hint="default"/>
                <w:lang w:val="en-US" w:eastAsia="zh-CN"/>
              </w:rPr>
            </w:pPr>
            <w:r>
              <w:rPr>
                <w:rFonts w:hint="eastAsia"/>
                <w:lang w:val="en-US" w:eastAsia="zh-CN"/>
              </w:rPr>
              <w:t>项目废水全部回用，不外排，各类固体废物合理处置且不含有毒有害物质。</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176B8C20">
            <w:pPr>
              <w:pStyle w:val="43"/>
              <w:bidi w:val="0"/>
              <w:rPr>
                <w:rFonts w:hint="default"/>
                <w:lang w:val="en-US" w:eastAsia="zh-CN"/>
              </w:rPr>
            </w:pPr>
            <w:r>
              <w:rPr>
                <w:rFonts w:hint="eastAsia"/>
                <w:lang w:val="en-US" w:eastAsia="zh-CN"/>
              </w:rPr>
              <w:t>符合</w:t>
            </w:r>
          </w:p>
        </w:tc>
      </w:tr>
      <w:tr w14:paraId="32968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64B72FE6">
            <w:pPr>
              <w:pStyle w:val="43"/>
              <w:bidi w:val="0"/>
              <w:rPr>
                <w:rFonts w:hint="default"/>
              </w:rPr>
            </w:pPr>
          </w:p>
        </w:tc>
        <w:tc>
          <w:tcPr>
            <w:tcW w:w="377" w:type="pct"/>
            <w:vMerge w:val="continue"/>
            <w:tcBorders>
              <w:left w:val="nil"/>
              <w:bottom w:val="single" w:color="auto" w:sz="4" w:space="0"/>
              <w:right w:val="single" w:color="auto" w:sz="4" w:space="0"/>
            </w:tcBorders>
            <w:shd w:val="clear" w:color="auto" w:fill="auto"/>
            <w:vAlign w:val="center"/>
          </w:tcPr>
          <w:p w14:paraId="58161E1F">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3F3DBB93">
            <w:pPr>
              <w:pStyle w:val="43"/>
              <w:bidi w:val="0"/>
              <w:rPr>
                <w:rFonts w:hint="default"/>
              </w:rPr>
            </w:pPr>
            <w:r>
              <w:rPr>
                <w:rFonts w:hint="default"/>
              </w:rPr>
              <w:t>第四百二十八条 对开发建设过程中剥离的表土，应当单独收集和存放，符合条件的应当优先用于土地复垦、土壤改良、造地和绿化等。</w:t>
            </w:r>
          </w:p>
          <w:p w14:paraId="0C25F19A">
            <w:pPr>
              <w:pStyle w:val="43"/>
              <w:bidi w:val="0"/>
              <w:rPr>
                <w:rFonts w:hint="default"/>
              </w:rPr>
            </w:pPr>
            <w:r>
              <w:rPr>
                <w:rFonts w:hint="default"/>
              </w:rPr>
              <w:t>禁止将重金属或者其他有毒有害物质含量超标的工业固体废物、生活垃圾或者污染土壤用于土地复垦。</w:t>
            </w:r>
          </w:p>
        </w:tc>
        <w:tc>
          <w:tcPr>
            <w:tcW w:w="2145" w:type="pct"/>
            <w:tcBorders>
              <w:top w:val="single" w:color="auto" w:sz="4" w:space="0"/>
              <w:left w:val="nil"/>
              <w:bottom w:val="single" w:color="auto" w:sz="4" w:space="0"/>
              <w:right w:val="single" w:color="auto" w:sz="4" w:space="0"/>
            </w:tcBorders>
            <w:shd w:val="clear" w:color="auto" w:fill="auto"/>
            <w:vAlign w:val="center"/>
          </w:tcPr>
          <w:p w14:paraId="238F36D1">
            <w:pPr>
              <w:pStyle w:val="43"/>
              <w:bidi w:val="0"/>
              <w:rPr>
                <w:rFonts w:hint="default"/>
                <w:lang w:val="en-US"/>
              </w:rPr>
            </w:pPr>
            <w:r>
              <w:rPr>
                <w:rFonts w:hint="default"/>
                <w:lang w:val="en-US" w:eastAsia="zh-CN"/>
              </w:rPr>
              <w:t>剥离表土全部集中运至表土堆场区进行堆放，</w:t>
            </w:r>
            <w:r>
              <w:rPr>
                <w:rFonts w:hint="eastAsia"/>
                <w:lang w:val="en-US" w:eastAsia="zh-CN"/>
              </w:rPr>
              <w:t>闭矿期用于矿区复垦。项目表土不含重金属或者其他有毒有害物质。</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391A6C51">
            <w:pPr>
              <w:pStyle w:val="43"/>
              <w:bidi w:val="0"/>
              <w:rPr>
                <w:rFonts w:hint="default"/>
                <w:lang w:val="en-US" w:eastAsia="zh-CN"/>
              </w:rPr>
            </w:pPr>
            <w:r>
              <w:rPr>
                <w:rFonts w:hint="eastAsia"/>
                <w:lang w:val="en-US" w:eastAsia="zh-CN"/>
              </w:rPr>
              <w:t>符合</w:t>
            </w:r>
          </w:p>
        </w:tc>
      </w:tr>
      <w:tr w14:paraId="1A270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423D7A2A">
            <w:pPr>
              <w:pStyle w:val="43"/>
              <w:bidi w:val="0"/>
              <w:rPr>
                <w:rFonts w:hint="default"/>
              </w:rPr>
            </w:pPr>
          </w:p>
        </w:tc>
        <w:tc>
          <w:tcPr>
            <w:tcW w:w="377" w:type="pct"/>
            <w:vMerge w:val="restart"/>
            <w:tcBorders>
              <w:top w:val="single" w:color="auto" w:sz="4" w:space="0"/>
              <w:left w:val="nil"/>
              <w:right w:val="single" w:color="auto" w:sz="4" w:space="0"/>
            </w:tcBorders>
            <w:shd w:val="clear" w:color="auto" w:fill="auto"/>
            <w:vAlign w:val="center"/>
          </w:tcPr>
          <w:p w14:paraId="614E91A1">
            <w:pPr>
              <w:pStyle w:val="43"/>
              <w:bidi w:val="0"/>
              <w:rPr>
                <w:rFonts w:hint="default"/>
                <w:lang w:val="en-US" w:eastAsia="zh-CN"/>
              </w:rPr>
            </w:pPr>
            <w:r>
              <w:rPr>
                <w:rFonts w:hint="eastAsia"/>
                <w:lang w:val="en-US" w:eastAsia="zh-CN"/>
              </w:rPr>
              <w:t>固体废物污染防治</w:t>
            </w:r>
          </w:p>
        </w:tc>
        <w:tc>
          <w:tcPr>
            <w:tcW w:w="1626" w:type="pct"/>
            <w:tcBorders>
              <w:top w:val="single" w:color="auto" w:sz="4" w:space="0"/>
              <w:left w:val="nil"/>
              <w:bottom w:val="single" w:color="auto" w:sz="4" w:space="0"/>
              <w:right w:val="single" w:color="auto" w:sz="4" w:space="0"/>
            </w:tcBorders>
            <w:shd w:val="clear" w:color="auto" w:fill="auto"/>
            <w:vAlign w:val="center"/>
          </w:tcPr>
          <w:p w14:paraId="2EFC0802">
            <w:pPr>
              <w:pStyle w:val="43"/>
              <w:bidi w:val="0"/>
              <w:rPr>
                <w:rFonts w:hint="default"/>
              </w:rPr>
            </w:pPr>
            <w:r>
              <w:rPr>
                <w:rFonts w:hint="default"/>
              </w:rPr>
              <w:t>第四百八十九条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14:paraId="6AA88449">
            <w:pPr>
              <w:pStyle w:val="43"/>
              <w:bidi w:val="0"/>
              <w:rPr>
                <w:rFonts w:hint="default"/>
              </w:rPr>
            </w:pPr>
            <w:r>
              <w:rPr>
                <w:rFonts w:hint="default"/>
              </w:rPr>
              <w:t>禁止向生活垃圾收集设施中投放工业固体废物。</w:t>
            </w:r>
          </w:p>
        </w:tc>
        <w:tc>
          <w:tcPr>
            <w:tcW w:w="2145" w:type="pct"/>
            <w:tcBorders>
              <w:top w:val="single" w:color="auto" w:sz="4" w:space="0"/>
              <w:left w:val="nil"/>
              <w:bottom w:val="single" w:color="auto" w:sz="4" w:space="0"/>
              <w:right w:val="single" w:color="auto" w:sz="4" w:space="0"/>
            </w:tcBorders>
            <w:shd w:val="clear" w:color="auto" w:fill="auto"/>
            <w:vAlign w:val="center"/>
          </w:tcPr>
          <w:p w14:paraId="04F2FE77">
            <w:pPr>
              <w:pStyle w:val="43"/>
              <w:bidi w:val="0"/>
              <w:rPr>
                <w:rFonts w:hint="default"/>
              </w:rPr>
            </w:pPr>
            <w:r>
              <w:rPr>
                <w:rFonts w:hint="eastAsia"/>
                <w:lang w:val="en-US" w:eastAsia="zh-CN"/>
              </w:rPr>
              <w:t>建设单位建立健全</w:t>
            </w:r>
            <w:r>
              <w:rPr>
                <w:rFonts w:hint="default"/>
              </w:rPr>
              <w:t>工业固体废物产生、收集、贮存、运输、利用、处置全过程的污染防治责任制度</w:t>
            </w:r>
            <w:r>
              <w:rPr>
                <w:rFonts w:hint="eastAsia"/>
                <w:lang w:eastAsia="zh-CN"/>
              </w:rPr>
              <w:t>，</w:t>
            </w:r>
            <w:r>
              <w:rPr>
                <w:rFonts w:hint="default"/>
              </w:rPr>
              <w:t>建立</w:t>
            </w:r>
            <w:r>
              <w:rPr>
                <w:rFonts w:hint="eastAsia"/>
                <w:lang w:val="en-US" w:eastAsia="zh-CN"/>
              </w:rPr>
              <w:t>各类</w:t>
            </w:r>
            <w:r>
              <w:rPr>
                <w:rFonts w:hint="default"/>
              </w:rPr>
              <w:t>工业固体废物管理台账，如实记录产生工业固体废物的种类、数量、流向、贮存、利用、处置等信息，实现工业固体废物可追溯、可查询，并采取</w:t>
            </w:r>
            <w:r>
              <w:rPr>
                <w:rFonts w:hint="eastAsia"/>
                <w:lang w:val="en-US" w:eastAsia="zh-CN"/>
              </w:rPr>
              <w:t>表土堆场、弃渣场、危废间、生活垃圾收集桶、布袋除尘系统自带储尘仓等</w:t>
            </w:r>
            <w:r>
              <w:rPr>
                <w:rFonts w:hint="default"/>
              </w:rPr>
              <w:t>防治工业固体废物污染的措施。</w:t>
            </w:r>
          </w:p>
          <w:p w14:paraId="1E5938BC">
            <w:pPr>
              <w:pStyle w:val="43"/>
              <w:bidi w:val="0"/>
              <w:rPr>
                <w:rFonts w:hint="default"/>
                <w:lang w:val="en-US" w:eastAsia="zh-CN"/>
              </w:rPr>
            </w:pPr>
            <w:r>
              <w:rPr>
                <w:rFonts w:hint="eastAsia"/>
                <w:lang w:val="en-US" w:eastAsia="zh-CN"/>
              </w:rPr>
              <w:t>项目生活垃圾单独收集，</w:t>
            </w:r>
            <w:r>
              <w:rPr>
                <w:rFonts w:hint="default"/>
                <w:lang w:val="en-US" w:eastAsia="zh-CN"/>
              </w:rPr>
              <w:t>收集后运至附近集镇垃圾收集点由环卫部门清运处置</w:t>
            </w:r>
            <w:r>
              <w:rPr>
                <w:rFonts w:hint="eastAsia"/>
                <w:lang w:val="en-US" w:eastAsia="zh-CN"/>
              </w:rPr>
              <w:t>，不掺入工业固体废物。</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5A2854DB">
            <w:pPr>
              <w:pStyle w:val="43"/>
              <w:bidi w:val="0"/>
              <w:rPr>
                <w:rFonts w:hint="eastAsia"/>
                <w:lang w:val="en-US" w:eastAsia="zh-CN"/>
              </w:rPr>
            </w:pPr>
            <w:r>
              <w:rPr>
                <w:rFonts w:hint="eastAsia"/>
                <w:lang w:val="en-US" w:eastAsia="zh-CN"/>
              </w:rPr>
              <w:t>符合</w:t>
            </w:r>
          </w:p>
        </w:tc>
      </w:tr>
      <w:tr w14:paraId="58C0D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331F1B5E">
            <w:pPr>
              <w:pStyle w:val="43"/>
              <w:bidi w:val="0"/>
              <w:rPr>
                <w:rFonts w:hint="default"/>
              </w:rPr>
            </w:pPr>
          </w:p>
        </w:tc>
        <w:tc>
          <w:tcPr>
            <w:tcW w:w="377" w:type="pct"/>
            <w:vMerge w:val="continue"/>
            <w:tcBorders>
              <w:left w:val="nil"/>
              <w:right w:val="single" w:color="auto" w:sz="4" w:space="0"/>
            </w:tcBorders>
            <w:shd w:val="clear" w:color="auto" w:fill="auto"/>
            <w:vAlign w:val="center"/>
          </w:tcPr>
          <w:p w14:paraId="410EC59B">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6F1E2DF5">
            <w:pPr>
              <w:pStyle w:val="43"/>
              <w:bidi w:val="0"/>
              <w:rPr>
                <w:rFonts w:hint="default"/>
              </w:rPr>
            </w:pPr>
            <w:r>
              <w:rPr>
                <w:rFonts w:hint="default"/>
              </w:rPr>
              <w:t>第四百九十六条 矿产资源的勘查、开采，应当采用有利于保护生态环境和防止固体废物污染的勘查、开采方法和工艺技术，减少尾矿、煤矸石、废石等矿业固体废物的产生量和贮存量。</w:t>
            </w:r>
          </w:p>
          <w:p w14:paraId="4AE4A4A3">
            <w:pPr>
              <w:pStyle w:val="43"/>
              <w:bidi w:val="0"/>
              <w:rPr>
                <w:rFonts w:hint="default"/>
              </w:rPr>
            </w:pPr>
            <w:r>
              <w:rPr>
                <w:rFonts w:hint="default"/>
              </w:rPr>
              <w:t>尾矿、煤矸石、废石等矿业固体废物贮存设施停止使用后，矿山企业应当按照国家有关生态环境保护等规定进行封场，防止造成环境污染和生态破坏。</w:t>
            </w:r>
          </w:p>
        </w:tc>
        <w:tc>
          <w:tcPr>
            <w:tcW w:w="2145" w:type="pct"/>
            <w:tcBorders>
              <w:top w:val="single" w:color="auto" w:sz="4" w:space="0"/>
              <w:left w:val="nil"/>
              <w:bottom w:val="single" w:color="auto" w:sz="4" w:space="0"/>
              <w:right w:val="single" w:color="auto" w:sz="4" w:space="0"/>
            </w:tcBorders>
            <w:shd w:val="clear" w:color="auto" w:fill="auto"/>
            <w:vAlign w:val="center"/>
          </w:tcPr>
          <w:p w14:paraId="5C6CF3A5">
            <w:pPr>
              <w:pStyle w:val="43"/>
              <w:bidi w:val="0"/>
              <w:rPr>
                <w:rFonts w:hint="default"/>
                <w:lang w:val="en-US" w:eastAsia="zh-CN"/>
              </w:rPr>
            </w:pPr>
            <w:r>
              <w:rPr>
                <w:rFonts w:hint="eastAsia"/>
                <w:lang w:val="en-US" w:eastAsia="zh-CN"/>
              </w:rPr>
              <w:t>项目开采穿孔爆破露天开采方式，矿石采出率高，减少废土石产生量。根据闭矿后环境影响分析，要求表土堆场</w:t>
            </w:r>
            <w:r>
              <w:rPr>
                <w:rFonts w:hint="default"/>
                <w:lang w:eastAsia="zh-CN"/>
              </w:rPr>
              <w:t>等停止使用时，边坡修建挡墙防止其滑坡，在其上覆表土，然后按照建设单位后期组织编制的《矿山地质环境保护与土地复垦方案》进行生态修复，恢复物种选用当地乡土物种，乔灌草结合，并定期进入养护，保证其成活率。</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4E09B32C">
            <w:pPr>
              <w:pStyle w:val="43"/>
              <w:bidi w:val="0"/>
              <w:rPr>
                <w:rFonts w:hint="default"/>
                <w:lang w:val="en-US" w:eastAsia="zh-CN"/>
              </w:rPr>
            </w:pPr>
            <w:r>
              <w:rPr>
                <w:rFonts w:hint="eastAsia"/>
                <w:lang w:val="en-US" w:eastAsia="zh-CN"/>
              </w:rPr>
              <w:t>符合</w:t>
            </w:r>
          </w:p>
        </w:tc>
      </w:tr>
      <w:tr w14:paraId="2337BA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12A8A63F">
            <w:pPr>
              <w:pStyle w:val="43"/>
              <w:bidi w:val="0"/>
              <w:rPr>
                <w:rFonts w:hint="default"/>
              </w:rPr>
            </w:pPr>
          </w:p>
        </w:tc>
        <w:tc>
          <w:tcPr>
            <w:tcW w:w="377" w:type="pct"/>
            <w:vMerge w:val="continue"/>
            <w:tcBorders>
              <w:left w:val="nil"/>
              <w:right w:val="single" w:color="auto" w:sz="4" w:space="0"/>
            </w:tcBorders>
            <w:shd w:val="clear" w:color="auto" w:fill="auto"/>
            <w:vAlign w:val="center"/>
          </w:tcPr>
          <w:p w14:paraId="6A92C396">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0D93780F">
            <w:pPr>
              <w:pStyle w:val="43"/>
              <w:bidi w:val="0"/>
              <w:rPr>
                <w:rFonts w:hint="default"/>
              </w:rPr>
            </w:pPr>
            <w:r>
              <w:rPr>
                <w:rFonts w:hint="default"/>
              </w:rPr>
              <w:t>第四百九十八条 国家鼓励采取先进工艺技术对尾矿、煤矸石、废石等矿业固体废物进行综合利用。</w:t>
            </w:r>
          </w:p>
        </w:tc>
        <w:tc>
          <w:tcPr>
            <w:tcW w:w="2145" w:type="pct"/>
            <w:tcBorders>
              <w:top w:val="single" w:color="auto" w:sz="4" w:space="0"/>
              <w:left w:val="nil"/>
              <w:bottom w:val="single" w:color="auto" w:sz="4" w:space="0"/>
              <w:right w:val="single" w:color="auto" w:sz="4" w:space="0"/>
            </w:tcBorders>
            <w:shd w:val="clear" w:color="auto" w:fill="auto"/>
            <w:vAlign w:val="center"/>
          </w:tcPr>
          <w:p w14:paraId="27213AB5">
            <w:pPr>
              <w:pStyle w:val="43"/>
              <w:bidi w:val="0"/>
              <w:rPr>
                <w:rFonts w:hint="default"/>
                <w:lang w:val="en-US" w:eastAsia="zh-CN"/>
              </w:rPr>
            </w:pPr>
            <w:r>
              <w:rPr>
                <w:rFonts w:hint="eastAsia"/>
                <w:lang w:val="en-US" w:eastAsia="zh-CN"/>
              </w:rPr>
              <w:t>项目不涉及</w:t>
            </w:r>
            <w:r>
              <w:rPr>
                <w:rFonts w:hint="default"/>
              </w:rPr>
              <w:t>煤矸石、废石</w:t>
            </w:r>
            <w:r>
              <w:rPr>
                <w:rFonts w:hint="eastAsia"/>
                <w:lang w:val="en-US" w:eastAsia="zh-CN"/>
              </w:rPr>
              <w:t>。</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67F0D85C">
            <w:pPr>
              <w:pStyle w:val="43"/>
              <w:bidi w:val="0"/>
              <w:rPr>
                <w:rFonts w:hint="default"/>
                <w:lang w:val="en-US" w:eastAsia="zh-CN"/>
              </w:rPr>
            </w:pPr>
            <w:r>
              <w:rPr>
                <w:rFonts w:hint="eastAsia"/>
                <w:lang w:val="en-US" w:eastAsia="zh-CN"/>
              </w:rPr>
              <w:t>符合</w:t>
            </w:r>
          </w:p>
        </w:tc>
      </w:tr>
      <w:tr w14:paraId="5DCC76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7713A140">
            <w:pPr>
              <w:pStyle w:val="43"/>
              <w:bidi w:val="0"/>
              <w:rPr>
                <w:rFonts w:hint="default"/>
              </w:rPr>
            </w:pPr>
          </w:p>
        </w:tc>
        <w:tc>
          <w:tcPr>
            <w:tcW w:w="377" w:type="pct"/>
            <w:vMerge w:val="continue"/>
            <w:tcBorders>
              <w:left w:val="nil"/>
              <w:bottom w:val="single" w:color="auto" w:sz="4" w:space="0"/>
              <w:right w:val="single" w:color="auto" w:sz="4" w:space="0"/>
            </w:tcBorders>
            <w:shd w:val="clear" w:color="auto" w:fill="auto"/>
            <w:vAlign w:val="center"/>
          </w:tcPr>
          <w:p w14:paraId="5772D9FB">
            <w:pPr>
              <w:pStyle w:val="43"/>
              <w:bidi w:val="0"/>
              <w:rPr>
                <w:rFonts w:hint="default"/>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224DEEE4">
            <w:pPr>
              <w:pStyle w:val="43"/>
              <w:bidi w:val="0"/>
              <w:rPr>
                <w:rFonts w:hint="default"/>
              </w:rPr>
            </w:pPr>
            <w:r>
              <w:rPr>
                <w:rFonts w:hint="default"/>
              </w:rPr>
              <w:t>第五百三十一条 对危险废物的容器和包装物以及收集、贮存、运输、利用、处置危险废物的设施、场所，应当按照规定设置危险废物识别标志。</w:t>
            </w:r>
          </w:p>
        </w:tc>
        <w:tc>
          <w:tcPr>
            <w:tcW w:w="2145" w:type="pct"/>
            <w:tcBorders>
              <w:top w:val="single" w:color="auto" w:sz="4" w:space="0"/>
              <w:left w:val="nil"/>
              <w:bottom w:val="single" w:color="auto" w:sz="4" w:space="0"/>
              <w:right w:val="single" w:color="auto" w:sz="4" w:space="0"/>
            </w:tcBorders>
            <w:shd w:val="clear" w:color="auto" w:fill="auto"/>
            <w:vAlign w:val="center"/>
          </w:tcPr>
          <w:p w14:paraId="4137A3D1">
            <w:pPr>
              <w:pStyle w:val="43"/>
              <w:bidi w:val="0"/>
              <w:rPr>
                <w:rFonts w:hint="default"/>
              </w:rPr>
            </w:pPr>
            <w:r>
              <w:rPr>
                <w:rFonts w:hint="eastAsia"/>
                <w:lang w:val="en-US" w:eastAsia="zh-CN"/>
              </w:rPr>
              <w:t>项目机修废物属于危险废物，在危废间对其进行收集暂存，暂存间设置要求满足《危险废物贮存污染控制标准》（GB 18597-2023）中的要求，</w:t>
            </w:r>
            <w:r>
              <w:rPr>
                <w:rFonts w:hint="default"/>
              </w:rPr>
              <w:t>设置危险废物识别标志</w:t>
            </w:r>
            <w:r>
              <w:rPr>
                <w:rFonts w:hint="eastAsia"/>
                <w:lang w:eastAsia="zh-CN"/>
              </w:rPr>
              <w:t>，</w:t>
            </w:r>
            <w:r>
              <w:rPr>
                <w:rFonts w:hint="eastAsia"/>
                <w:lang w:val="en-US" w:eastAsia="zh-CN"/>
              </w:rPr>
              <w:t>定期委托有资质的单位清运处置。</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1E4B2BCE">
            <w:pPr>
              <w:pStyle w:val="43"/>
              <w:bidi w:val="0"/>
              <w:rPr>
                <w:rFonts w:hint="default"/>
                <w:lang w:val="en-US" w:eastAsia="zh-CN"/>
              </w:rPr>
            </w:pPr>
            <w:r>
              <w:rPr>
                <w:rFonts w:hint="eastAsia"/>
                <w:lang w:val="en-US" w:eastAsia="zh-CN"/>
              </w:rPr>
              <w:t>符合</w:t>
            </w:r>
          </w:p>
        </w:tc>
      </w:tr>
      <w:tr w14:paraId="2B2906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4B8E182B">
            <w:pPr>
              <w:pStyle w:val="43"/>
              <w:bidi w:val="0"/>
              <w:rPr>
                <w:rFonts w:hint="default"/>
              </w:rPr>
            </w:pPr>
          </w:p>
        </w:tc>
        <w:tc>
          <w:tcPr>
            <w:tcW w:w="377" w:type="pct"/>
            <w:vMerge w:val="restart"/>
            <w:tcBorders>
              <w:top w:val="single" w:color="auto" w:sz="4" w:space="0"/>
              <w:left w:val="nil"/>
              <w:right w:val="single" w:color="auto" w:sz="4" w:space="0"/>
            </w:tcBorders>
            <w:shd w:val="clear" w:color="auto" w:fill="auto"/>
            <w:vAlign w:val="center"/>
          </w:tcPr>
          <w:p w14:paraId="6FFFCC2B">
            <w:pPr>
              <w:pStyle w:val="43"/>
              <w:bidi w:val="0"/>
              <w:rPr>
                <w:rFonts w:hint="default"/>
                <w:lang w:val="en-US" w:eastAsia="zh-CN"/>
              </w:rPr>
            </w:pPr>
            <w:r>
              <w:rPr>
                <w:rFonts w:hint="eastAsia"/>
                <w:lang w:val="en-US" w:eastAsia="zh-CN"/>
              </w:rPr>
              <w:t>噪声污染防治</w:t>
            </w:r>
          </w:p>
        </w:tc>
        <w:tc>
          <w:tcPr>
            <w:tcW w:w="1626" w:type="pct"/>
            <w:tcBorders>
              <w:top w:val="single" w:color="auto" w:sz="4" w:space="0"/>
              <w:left w:val="nil"/>
              <w:bottom w:val="single" w:color="auto" w:sz="4" w:space="0"/>
              <w:right w:val="single" w:color="auto" w:sz="4" w:space="0"/>
            </w:tcBorders>
            <w:shd w:val="clear" w:color="auto" w:fill="auto"/>
            <w:vAlign w:val="center"/>
          </w:tcPr>
          <w:p w14:paraId="7767DA4E">
            <w:pPr>
              <w:pStyle w:val="43"/>
              <w:bidi w:val="0"/>
              <w:rPr>
                <w:rFonts w:hint="default"/>
              </w:rPr>
            </w:pPr>
            <w:r>
              <w:rPr>
                <w:rFonts w:hint="default"/>
              </w:rPr>
              <w:t>第五百六十六条 在噪声敏感建筑物集中区域，禁止新建排放噪声的工业企业，改建、扩建工业企业的，应当采取有效措施防止工业噪声污染。</w:t>
            </w:r>
          </w:p>
        </w:tc>
        <w:tc>
          <w:tcPr>
            <w:tcW w:w="2145" w:type="pct"/>
            <w:tcBorders>
              <w:top w:val="single" w:color="auto" w:sz="4" w:space="0"/>
              <w:left w:val="nil"/>
              <w:bottom w:val="single" w:color="auto" w:sz="4" w:space="0"/>
              <w:right w:val="single" w:color="auto" w:sz="4" w:space="0"/>
            </w:tcBorders>
            <w:shd w:val="clear" w:color="auto" w:fill="auto"/>
            <w:vAlign w:val="center"/>
          </w:tcPr>
          <w:p w14:paraId="3B80DECF">
            <w:pPr>
              <w:pStyle w:val="43"/>
              <w:bidi w:val="0"/>
              <w:rPr>
                <w:rFonts w:hint="default"/>
                <w:lang w:val="en-US" w:eastAsia="zh-CN"/>
              </w:rPr>
            </w:pPr>
            <w:r>
              <w:rPr>
                <w:rFonts w:hint="eastAsia"/>
                <w:lang w:val="en-US" w:eastAsia="zh-CN"/>
              </w:rPr>
              <w:t>项目属于乡村地区，不涉及噪声敏感建筑物集中区域，露天采场、加工区等主要产噪区域周边200m范围无声环境保护目标，仅产品运输途中，车辆噪声对沿线村庄存在一定影响，经过采取本评价提出的产品运输车辆噪声防护措施后，影响可接受。</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144B6506">
            <w:pPr>
              <w:pStyle w:val="43"/>
              <w:bidi w:val="0"/>
              <w:rPr>
                <w:rFonts w:hint="default"/>
                <w:lang w:val="en-US" w:eastAsia="zh-CN"/>
              </w:rPr>
            </w:pPr>
            <w:r>
              <w:rPr>
                <w:rFonts w:hint="eastAsia"/>
                <w:lang w:val="en-US" w:eastAsia="zh-CN"/>
              </w:rPr>
              <w:t>符合</w:t>
            </w:r>
          </w:p>
        </w:tc>
      </w:tr>
      <w:tr w14:paraId="187F7D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66" w:type="pct"/>
            <w:vMerge w:val="continue"/>
            <w:tcBorders>
              <w:left w:val="single" w:color="auto" w:sz="4" w:space="0"/>
              <w:right w:val="single" w:color="auto" w:sz="4" w:space="0"/>
            </w:tcBorders>
            <w:shd w:val="clear" w:color="auto" w:fill="auto"/>
            <w:vAlign w:val="center"/>
          </w:tcPr>
          <w:p w14:paraId="707F2E2F">
            <w:pPr>
              <w:pStyle w:val="43"/>
              <w:bidi w:val="0"/>
              <w:rPr>
                <w:rFonts w:hint="default"/>
              </w:rPr>
            </w:pPr>
          </w:p>
        </w:tc>
        <w:tc>
          <w:tcPr>
            <w:tcW w:w="377" w:type="pct"/>
            <w:vMerge w:val="continue"/>
            <w:tcBorders>
              <w:left w:val="nil"/>
              <w:bottom w:val="single" w:color="auto" w:sz="4" w:space="0"/>
              <w:right w:val="single" w:color="auto" w:sz="4" w:space="0"/>
            </w:tcBorders>
            <w:shd w:val="clear" w:color="auto" w:fill="auto"/>
            <w:vAlign w:val="center"/>
          </w:tcPr>
          <w:p w14:paraId="3F24C21F">
            <w:pPr>
              <w:pStyle w:val="43"/>
              <w:bidi w:val="0"/>
              <w:rPr>
                <w:rFonts w:hint="default"/>
                <w:lang w:val="en-US" w:eastAsia="zh-CN"/>
              </w:rPr>
            </w:pPr>
          </w:p>
        </w:tc>
        <w:tc>
          <w:tcPr>
            <w:tcW w:w="1626" w:type="pct"/>
            <w:tcBorders>
              <w:top w:val="single" w:color="auto" w:sz="4" w:space="0"/>
              <w:left w:val="nil"/>
              <w:bottom w:val="single" w:color="auto" w:sz="4" w:space="0"/>
              <w:right w:val="single" w:color="auto" w:sz="4" w:space="0"/>
            </w:tcBorders>
            <w:shd w:val="clear" w:color="auto" w:fill="auto"/>
            <w:vAlign w:val="center"/>
          </w:tcPr>
          <w:p w14:paraId="76F8DD65">
            <w:pPr>
              <w:pStyle w:val="43"/>
              <w:bidi w:val="0"/>
              <w:rPr>
                <w:rFonts w:hint="default"/>
              </w:rPr>
            </w:pPr>
            <w:r>
              <w:rPr>
                <w:rFonts w:hint="default"/>
              </w:rPr>
              <w:t>第五百六十七条 排放工业噪声的企业事业单位和其他生产经营者，应当采取有效措施，减少振动、降低噪声。</w:t>
            </w:r>
          </w:p>
        </w:tc>
        <w:tc>
          <w:tcPr>
            <w:tcW w:w="2145" w:type="pct"/>
            <w:tcBorders>
              <w:top w:val="single" w:color="auto" w:sz="4" w:space="0"/>
              <w:left w:val="nil"/>
              <w:bottom w:val="single" w:color="auto" w:sz="4" w:space="0"/>
              <w:right w:val="single" w:color="auto" w:sz="4" w:space="0"/>
            </w:tcBorders>
            <w:shd w:val="clear" w:color="auto" w:fill="auto"/>
            <w:vAlign w:val="center"/>
          </w:tcPr>
          <w:p w14:paraId="11478595">
            <w:pPr>
              <w:pStyle w:val="43"/>
              <w:bidi w:val="0"/>
              <w:rPr>
                <w:rFonts w:hint="default"/>
                <w:lang w:val="en-US" w:eastAsia="zh-CN"/>
              </w:rPr>
            </w:pPr>
            <w:r>
              <w:rPr>
                <w:rFonts w:hint="eastAsia"/>
                <w:lang w:val="en-US" w:eastAsia="zh-CN"/>
              </w:rPr>
              <w:t>项目采取加工区各设备置于厂房内，并通过基础减震及距离衰减，设备维持良好运行状态等管理措施后，厂界噪声达标排放，对区域声环境影响较小。</w:t>
            </w:r>
          </w:p>
        </w:tc>
        <w:tc>
          <w:tcPr>
            <w:tcW w:w="384" w:type="pct"/>
            <w:tcBorders>
              <w:top w:val="single" w:color="auto" w:sz="6" w:space="0"/>
              <w:left w:val="single" w:color="auto" w:sz="6" w:space="0"/>
              <w:bottom w:val="single" w:color="auto" w:sz="6" w:space="0"/>
              <w:right w:val="single" w:color="auto" w:sz="6" w:space="0"/>
            </w:tcBorders>
            <w:shd w:val="clear" w:color="auto" w:fill="auto"/>
            <w:vAlign w:val="center"/>
          </w:tcPr>
          <w:p w14:paraId="77CEF007">
            <w:pPr>
              <w:pStyle w:val="43"/>
              <w:bidi w:val="0"/>
              <w:rPr>
                <w:rFonts w:hint="default"/>
                <w:lang w:val="en-US" w:eastAsia="zh-CN"/>
              </w:rPr>
            </w:pPr>
            <w:r>
              <w:rPr>
                <w:rFonts w:hint="eastAsia"/>
                <w:lang w:val="en-US" w:eastAsia="zh-CN"/>
              </w:rPr>
              <w:t>符合</w:t>
            </w:r>
          </w:p>
        </w:tc>
      </w:tr>
    </w:tbl>
    <w:p w14:paraId="6C2AE6ED">
      <w:pPr>
        <w:pStyle w:val="41"/>
        <w:bidi w:val="0"/>
        <w:rPr>
          <w:rFonts w:hint="default"/>
          <w:lang w:val="en-US" w:eastAsia="zh-CN"/>
        </w:rPr>
      </w:pPr>
      <w:r>
        <w:rPr>
          <w:rFonts w:hint="eastAsia"/>
          <w:lang w:val="en-US" w:eastAsia="zh-CN"/>
        </w:rPr>
        <w:t>综上分析，本项目拟采取的污染防治措施符合《中华人民共和国生态环境法典》等相关污染防治内容要求。</w:t>
      </w:r>
    </w:p>
    <w:p w14:paraId="344C4723">
      <w:pPr>
        <w:pStyle w:val="4"/>
        <w:bidi w:val="0"/>
        <w:rPr>
          <w:rFonts w:hint="default"/>
          <w:lang w:val="en-US" w:eastAsia="zh-CN"/>
        </w:rPr>
      </w:pPr>
      <w:bookmarkStart w:id="539" w:name="_Toc933"/>
      <w:r>
        <w:rPr>
          <w:rFonts w:hint="eastAsia"/>
          <w:lang w:val="en-US" w:eastAsia="zh-CN"/>
        </w:rPr>
        <w:t>与《地下水管理条例》符合性分析</w:t>
      </w:r>
      <w:bookmarkEnd w:id="538"/>
      <w:bookmarkEnd w:id="539"/>
    </w:p>
    <w:p w14:paraId="39D3D973">
      <w:pPr>
        <w:pStyle w:val="41"/>
        <w:bidi w:val="0"/>
        <w:rPr>
          <w:rFonts w:hint="default"/>
          <w:lang w:val="en-US" w:eastAsia="zh-CN"/>
        </w:rPr>
      </w:pPr>
      <w:r>
        <w:rPr>
          <w:rFonts w:hint="eastAsia"/>
          <w:lang w:val="en-US" w:eastAsia="zh-CN"/>
        </w:rPr>
        <w:t>《地下水管理条例》于2021年9月15日国务院第149次常务会议通过，自2021年12月1日起施行，本项目与《地下水管理条例》符合性分析如下：</w:t>
      </w:r>
    </w:p>
    <w:p w14:paraId="7F18FD70">
      <w:pPr>
        <w:pStyle w:val="45"/>
        <w:bidi w:val="0"/>
        <w:rPr>
          <w:rFonts w:hint="eastAsia"/>
          <w:lang w:val="en-US" w:eastAsia="zh-CN"/>
        </w:rPr>
      </w:pPr>
      <w:r>
        <w:rPr>
          <w:rFonts w:hint="eastAsia"/>
        </w:rPr>
        <w:t>表</w:t>
      </w:r>
      <w:r>
        <w:rPr>
          <w:rFonts w:hint="eastAsia"/>
          <w:lang w:val="en-US" w:eastAsia="zh-CN"/>
        </w:rPr>
        <w:t>9.3-2  项目与《地下水管理条例》的符合性分析</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6"/>
        <w:gridCol w:w="3189"/>
        <w:gridCol w:w="864"/>
      </w:tblGrid>
      <w:tr w14:paraId="3F0C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23" w:type="pct"/>
            <w:tcBorders>
              <w:top w:val="single" w:color="auto" w:sz="4" w:space="0"/>
              <w:left w:val="single" w:color="auto" w:sz="4" w:space="0"/>
              <w:bottom w:val="single" w:color="auto" w:sz="4" w:space="0"/>
              <w:right w:val="single" w:color="auto" w:sz="4" w:space="0"/>
            </w:tcBorders>
            <w:noWrap w:val="0"/>
            <w:vAlign w:val="center"/>
          </w:tcPr>
          <w:p w14:paraId="1360ACA0">
            <w:pPr>
              <w:pStyle w:val="43"/>
              <w:bidi w:val="0"/>
              <w:rPr>
                <w:rFonts w:hint="eastAsia"/>
                <w:b/>
                <w:bCs/>
                <w:lang w:val="zh-CN" w:eastAsia="zh-CN"/>
              </w:rPr>
            </w:pPr>
            <w:r>
              <w:rPr>
                <w:rFonts w:hint="eastAsia"/>
                <w:b/>
                <w:bCs/>
                <w:lang w:val="zh-CN" w:eastAsia="zh-CN"/>
              </w:rPr>
              <w:t>《地下水管理条例》要求</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6D9FF183">
            <w:pPr>
              <w:pStyle w:val="43"/>
              <w:bidi w:val="0"/>
              <w:rPr>
                <w:rFonts w:hint="eastAsia"/>
                <w:b/>
                <w:bCs/>
                <w:lang w:val="zh-CN" w:eastAsia="zh-CN"/>
              </w:rPr>
            </w:pPr>
            <w:r>
              <w:rPr>
                <w:rFonts w:hint="eastAsia"/>
                <w:b/>
                <w:bCs/>
                <w:lang w:val="zh-CN" w:eastAsia="zh-CN"/>
              </w:rPr>
              <w:t>相符性分析</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608F8D59">
            <w:pPr>
              <w:pStyle w:val="43"/>
              <w:bidi w:val="0"/>
              <w:rPr>
                <w:rFonts w:hint="eastAsia"/>
                <w:b/>
                <w:bCs/>
                <w:lang w:val="zh-CN" w:eastAsia="zh-CN"/>
              </w:rPr>
            </w:pPr>
            <w:r>
              <w:rPr>
                <w:rFonts w:hint="eastAsia"/>
                <w:b/>
                <w:bCs/>
                <w:lang w:val="zh-CN" w:eastAsia="zh-CN"/>
              </w:rPr>
              <w:t>符合性</w:t>
            </w:r>
          </w:p>
        </w:tc>
      </w:tr>
      <w:tr w14:paraId="275A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3" w:type="pct"/>
            <w:tcBorders>
              <w:top w:val="single" w:color="auto" w:sz="4" w:space="0"/>
              <w:left w:val="single" w:color="auto" w:sz="4" w:space="0"/>
              <w:bottom w:val="single" w:color="auto" w:sz="4" w:space="0"/>
              <w:right w:val="single" w:color="auto" w:sz="4" w:space="0"/>
            </w:tcBorders>
            <w:noWrap w:val="0"/>
            <w:vAlign w:val="center"/>
          </w:tcPr>
          <w:p w14:paraId="7E13960D">
            <w:pPr>
              <w:pStyle w:val="43"/>
              <w:bidi w:val="0"/>
              <w:rPr>
                <w:rFonts w:hint="eastAsia"/>
                <w:lang w:val="zh-CN" w:eastAsia="zh-CN"/>
              </w:rPr>
            </w:pPr>
            <w:r>
              <w:rPr>
                <w:rFonts w:hint="eastAsia"/>
                <w:lang w:val="zh-CN" w:eastAsia="zh-CN"/>
              </w:rPr>
              <w:t>第四十一条 企业事业单位和其他生产经营者应当采取下列措施，防止地下水污染：</w:t>
            </w:r>
          </w:p>
          <w:p w14:paraId="7226FA28">
            <w:pPr>
              <w:pStyle w:val="43"/>
              <w:bidi w:val="0"/>
              <w:rPr>
                <w:rFonts w:hint="eastAsia"/>
                <w:lang w:val="zh-CN" w:eastAsia="zh-CN"/>
              </w:rPr>
            </w:pPr>
            <w:r>
              <w:rPr>
                <w:rFonts w:hint="eastAsia"/>
                <w:lang w:val="zh-CN" w:eastAsia="zh-CN"/>
              </w:rPr>
              <w:t>（一）兴建地下工程设施或者进行地下勘探、采矿等活动，依法编制的环境影响评价文件中，应当包括地下水污染防治的内容，并采取防护性措施；</w:t>
            </w:r>
          </w:p>
          <w:p w14:paraId="675BCF51">
            <w:pPr>
              <w:pStyle w:val="43"/>
              <w:bidi w:val="0"/>
              <w:rPr>
                <w:rFonts w:hint="eastAsia"/>
                <w:lang w:val="zh-CN" w:eastAsia="zh-CN"/>
              </w:rPr>
            </w:pPr>
            <w:r>
              <w:rPr>
                <w:rFonts w:hint="eastAsia"/>
                <w:lang w:val="zh-CN" w:eastAsia="zh-CN"/>
              </w:rPr>
              <w:t>（二）化学品生产企业以及工业集聚区、矿山开采区、尾矿库、危险废物处置场、垃圾填埋场等的运营、管理单位，应当采取防渗漏等措施，并建设地下水水质监测井进行监测；</w:t>
            </w:r>
          </w:p>
          <w:p w14:paraId="0C1184B9">
            <w:pPr>
              <w:pStyle w:val="43"/>
              <w:bidi w:val="0"/>
              <w:rPr>
                <w:rFonts w:hint="eastAsia"/>
                <w:lang w:val="zh-CN" w:eastAsia="zh-CN"/>
              </w:rPr>
            </w:pPr>
            <w:r>
              <w:rPr>
                <w:rFonts w:hint="eastAsia"/>
                <w:lang w:val="zh-CN" w:eastAsia="zh-CN"/>
              </w:rPr>
              <w:t>（三）加油站等的地下油罐应当使用双层罐或者采取建造防渗池等其他有效措施，并进行防渗漏监测；</w:t>
            </w:r>
          </w:p>
          <w:p w14:paraId="4156B592">
            <w:pPr>
              <w:pStyle w:val="43"/>
              <w:bidi w:val="0"/>
              <w:rPr>
                <w:rFonts w:hint="eastAsia"/>
                <w:lang w:val="zh-CN" w:eastAsia="zh-CN"/>
              </w:rPr>
            </w:pPr>
            <w:r>
              <w:rPr>
                <w:rFonts w:hint="eastAsia"/>
                <w:lang w:val="zh-CN" w:eastAsia="zh-CN"/>
              </w:rPr>
              <w:t>（四）存放可溶性剧毒废渣的场所，应当采取防水、防渗漏、防流失的措施；</w:t>
            </w:r>
          </w:p>
          <w:p w14:paraId="7495498C">
            <w:pPr>
              <w:pStyle w:val="43"/>
              <w:bidi w:val="0"/>
              <w:rPr>
                <w:rFonts w:hint="eastAsia"/>
                <w:lang w:val="zh-CN" w:eastAsia="zh-CN"/>
              </w:rPr>
            </w:pPr>
            <w:r>
              <w:rPr>
                <w:rFonts w:hint="eastAsia"/>
                <w:lang w:val="zh-CN" w:eastAsia="zh-CN"/>
              </w:rPr>
              <w:t>（五）法律法规规定应当采取的其他防止地下水污染的措施。</w:t>
            </w:r>
          </w:p>
          <w:p w14:paraId="346150F2">
            <w:pPr>
              <w:pStyle w:val="43"/>
              <w:bidi w:val="0"/>
              <w:rPr>
                <w:rFonts w:hint="eastAsia"/>
                <w:lang w:val="zh-CN" w:eastAsia="zh-CN"/>
              </w:rPr>
            </w:pPr>
            <w:r>
              <w:rPr>
                <w:rFonts w:hint="eastAsia"/>
                <w:lang w:val="zh-CN" w:eastAsia="zh-CN"/>
              </w:rPr>
              <w:t>根据前款第二项规定的企业事业单位和其他生产经营者排放有毒有害物质情况，地方人民政府生态环境主管部门应当按照国务院生态环境主管部门的规定，商有关部门确定并公布地下水污染防治重点排污单位名录。地下水污染防治重点排污单位应当依法安装水污染物排放自动监测设备，与生态环境主管部门的监控设备联网，并保证监测设备正常运行。</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1C1A5E24">
            <w:pPr>
              <w:pStyle w:val="43"/>
              <w:bidi w:val="0"/>
              <w:rPr>
                <w:rFonts w:hint="eastAsia"/>
                <w:lang w:val="en-US" w:eastAsia="zh-CN"/>
              </w:rPr>
            </w:pPr>
            <w:r>
              <w:rPr>
                <w:rFonts w:hint="eastAsia"/>
                <w:lang w:val="en-US" w:eastAsia="zh-CN"/>
              </w:rPr>
              <w:t>①项目的开采方式为露天开采。本次评价地下水影响分析章节已提出各类废水构筑物的源头防控措施，危废的暂存要求，并按照不同分区提出分区防渗技术要求。</w:t>
            </w:r>
          </w:p>
          <w:p w14:paraId="39E4B59B">
            <w:pPr>
              <w:pStyle w:val="43"/>
              <w:bidi w:val="0"/>
              <w:rPr>
                <w:rFonts w:hint="eastAsia"/>
                <w:lang w:val="en-US" w:eastAsia="zh-CN"/>
              </w:rPr>
            </w:pPr>
            <w:r>
              <w:rPr>
                <w:rFonts w:hint="eastAsia"/>
                <w:lang w:val="en-US" w:eastAsia="zh-CN"/>
              </w:rPr>
              <w:t>②按照HJ 610-2016，本次不用设置地下水跟踪监测井，在地下水环境保护措施中，评价已提出若发现地下水污染事故应采取应急处置措施，</w:t>
            </w:r>
            <w:r>
              <w:rPr>
                <w:rFonts w:hint="default"/>
                <w:lang w:val="en-US" w:eastAsia="zh-CN"/>
              </w:rPr>
              <w:t>若有必要，</w:t>
            </w:r>
            <w:r>
              <w:rPr>
                <w:rFonts w:hint="default"/>
              </w:rPr>
              <w:t>对项目区地下水进行监测，确定水质是否受到影响</w:t>
            </w:r>
            <w:r>
              <w:rPr>
                <w:rFonts w:hint="eastAsia"/>
                <w:lang w:val="en-US" w:eastAsia="zh-CN"/>
              </w:rPr>
              <w:t>。</w:t>
            </w:r>
          </w:p>
          <w:p w14:paraId="7907F042">
            <w:pPr>
              <w:pStyle w:val="43"/>
              <w:bidi w:val="0"/>
              <w:rPr>
                <w:rFonts w:hint="eastAsia"/>
                <w:lang w:val="en-US" w:eastAsia="zh-CN"/>
              </w:rPr>
            </w:pPr>
            <w:r>
              <w:rPr>
                <w:rFonts w:hint="eastAsia"/>
                <w:lang w:val="en-US" w:eastAsia="zh-CN"/>
              </w:rPr>
              <w:t>③项目不属于加油站类项目。</w:t>
            </w:r>
          </w:p>
          <w:p w14:paraId="08DE5902">
            <w:pPr>
              <w:pStyle w:val="43"/>
              <w:bidi w:val="0"/>
              <w:rPr>
                <w:rFonts w:hint="eastAsia"/>
                <w:lang w:val="en-US" w:eastAsia="zh-CN"/>
              </w:rPr>
            </w:pPr>
            <w:r>
              <w:rPr>
                <w:rFonts w:hint="eastAsia"/>
                <w:lang w:val="en-US" w:eastAsia="zh-CN"/>
              </w:rPr>
              <w:t>④项目不涉及</w:t>
            </w:r>
            <w:r>
              <w:rPr>
                <w:rFonts w:hint="eastAsia"/>
                <w:lang w:val="zh-CN" w:eastAsia="zh-CN"/>
              </w:rPr>
              <w:t>可溶性剧毒废渣</w:t>
            </w:r>
            <w:r>
              <w:rPr>
                <w:rFonts w:hint="eastAsia"/>
                <w:lang w:val="en-US" w:eastAsia="zh-CN"/>
              </w:rPr>
              <w:t>及其存放场所。</w:t>
            </w:r>
          </w:p>
          <w:p w14:paraId="3AE35C7B">
            <w:pPr>
              <w:pStyle w:val="43"/>
              <w:bidi w:val="0"/>
              <w:rPr>
                <w:rFonts w:hint="eastAsia"/>
                <w:lang w:val="en-US" w:eastAsia="zh-CN"/>
              </w:rPr>
            </w:pPr>
            <w:r>
              <w:rPr>
                <w:rFonts w:hint="eastAsia"/>
                <w:lang w:val="en-US" w:eastAsia="zh-CN"/>
              </w:rPr>
              <w:t>⑤已按照法律法规以及相关技术规范提出防止地下水污染的措施。</w:t>
            </w:r>
          </w:p>
          <w:p w14:paraId="3DA87FF4">
            <w:pPr>
              <w:pStyle w:val="43"/>
              <w:bidi w:val="0"/>
              <w:rPr>
                <w:rFonts w:hint="default"/>
                <w:lang w:val="en-US" w:eastAsia="zh-CN"/>
              </w:rPr>
            </w:pPr>
            <w:r>
              <w:rPr>
                <w:rFonts w:hint="eastAsia"/>
                <w:lang w:val="en-US" w:eastAsia="zh-CN"/>
              </w:rPr>
              <w:t>⑥项目不涉及有毒有害物质，不属于重点排污单位名录。</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5CC798D8">
            <w:pPr>
              <w:pStyle w:val="43"/>
              <w:bidi w:val="0"/>
              <w:rPr>
                <w:rFonts w:hint="eastAsia"/>
                <w:lang w:val="en-US" w:eastAsia="zh-CN"/>
              </w:rPr>
            </w:pPr>
            <w:r>
              <w:rPr>
                <w:rFonts w:hint="eastAsia"/>
                <w:lang w:val="en-US" w:eastAsia="zh-CN"/>
              </w:rPr>
              <w:t>符合</w:t>
            </w:r>
          </w:p>
        </w:tc>
      </w:tr>
      <w:tr w14:paraId="1CEE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23" w:type="pct"/>
            <w:tcBorders>
              <w:top w:val="single" w:color="auto" w:sz="4" w:space="0"/>
              <w:left w:val="single" w:color="auto" w:sz="4" w:space="0"/>
              <w:bottom w:val="single" w:color="auto" w:sz="4" w:space="0"/>
              <w:right w:val="single" w:color="auto" w:sz="4" w:space="0"/>
            </w:tcBorders>
            <w:noWrap w:val="0"/>
            <w:vAlign w:val="center"/>
          </w:tcPr>
          <w:p w14:paraId="6AF050E1">
            <w:pPr>
              <w:pStyle w:val="43"/>
              <w:bidi w:val="0"/>
              <w:rPr>
                <w:rFonts w:hint="eastAsia"/>
                <w:lang w:val="zh-CN" w:eastAsia="zh-CN"/>
              </w:rPr>
            </w:pPr>
            <w:r>
              <w:rPr>
                <w:rFonts w:hint="eastAsia"/>
                <w:lang w:val="zh-CN" w:eastAsia="zh-CN"/>
              </w:rPr>
              <w:t>第四十二条 在泉域保护范围以及岩溶强发育、存在较多落水洞和岩溶漏斗的区域内，不得新建、改建、扩建可能造成地下水污染的建设项目。</w:t>
            </w:r>
          </w:p>
        </w:tc>
        <w:tc>
          <w:tcPr>
            <w:tcW w:w="1869" w:type="pct"/>
            <w:tcBorders>
              <w:top w:val="single" w:color="auto" w:sz="4" w:space="0"/>
              <w:left w:val="single" w:color="auto" w:sz="4" w:space="0"/>
              <w:bottom w:val="single" w:color="auto" w:sz="4" w:space="0"/>
              <w:right w:val="single" w:color="auto" w:sz="4" w:space="0"/>
            </w:tcBorders>
            <w:noWrap w:val="0"/>
            <w:vAlign w:val="center"/>
          </w:tcPr>
          <w:p w14:paraId="42190FE1">
            <w:pPr>
              <w:pStyle w:val="43"/>
              <w:bidi w:val="0"/>
              <w:rPr>
                <w:rFonts w:hint="default"/>
                <w:lang w:val="en-US" w:eastAsia="zh-CN"/>
              </w:rPr>
            </w:pPr>
            <w:r>
              <w:rPr>
                <w:rFonts w:hint="eastAsia"/>
                <w:lang w:val="en-US" w:eastAsia="zh-CN"/>
              </w:rPr>
              <w:t>项目不</w:t>
            </w:r>
            <w:r>
              <w:rPr>
                <w:rFonts w:hint="eastAsia"/>
                <w:lang w:val="zh-CN" w:eastAsia="zh-CN"/>
              </w:rPr>
              <w:t>在泉域保护范围以及岩溶强发育、存在较多落水洞和岩溶漏斗的区域内。</w:t>
            </w:r>
            <w:r>
              <w:rPr>
                <w:rFonts w:hint="eastAsia"/>
                <w:lang w:val="en-US" w:eastAsia="zh-CN"/>
              </w:rPr>
              <w:t>项目危废间按照重点防渗区要求进行防渗、各类废水收集池体按照一般防渗区要求防渗，通过地下水环境影响分析，本项目对地下水环境影响可接受</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1246C4FF">
            <w:pPr>
              <w:pStyle w:val="43"/>
              <w:bidi w:val="0"/>
              <w:rPr>
                <w:rFonts w:hint="eastAsia"/>
                <w:lang w:val="en-US" w:eastAsia="zh-CN"/>
              </w:rPr>
            </w:pPr>
            <w:r>
              <w:rPr>
                <w:rFonts w:hint="eastAsia"/>
                <w:lang w:val="en-US" w:eastAsia="zh-CN"/>
              </w:rPr>
              <w:t>符合</w:t>
            </w:r>
          </w:p>
        </w:tc>
      </w:tr>
    </w:tbl>
    <w:p w14:paraId="13FEA392">
      <w:pPr>
        <w:pStyle w:val="41"/>
        <w:bidi w:val="0"/>
        <w:rPr>
          <w:rFonts w:hint="eastAsia"/>
          <w:lang w:val="en-US" w:eastAsia="zh-CN"/>
        </w:rPr>
      </w:pPr>
      <w:r>
        <w:rPr>
          <w:rFonts w:hint="eastAsia"/>
          <w:lang w:val="en-US" w:eastAsia="zh-CN"/>
        </w:rPr>
        <w:t>综上所述，项目与《地下水管理条例》相符。</w:t>
      </w:r>
    </w:p>
    <w:p w14:paraId="186D9A5E">
      <w:pPr>
        <w:pStyle w:val="4"/>
        <w:bidi w:val="0"/>
        <w:rPr>
          <w:rFonts w:hint="default"/>
          <w:lang w:val="en-US" w:eastAsia="zh-CN"/>
        </w:rPr>
      </w:pPr>
      <w:bookmarkStart w:id="540" w:name="_Toc10108"/>
      <w:r>
        <w:rPr>
          <w:rFonts w:hint="eastAsia"/>
          <w:lang w:val="en-US" w:eastAsia="zh-CN"/>
        </w:rPr>
        <w:t>与《固体废物综合治理行动计划》的符合性分析</w:t>
      </w:r>
      <w:bookmarkEnd w:id="540"/>
    </w:p>
    <w:p w14:paraId="22175D3B">
      <w:pPr>
        <w:pStyle w:val="41"/>
        <w:bidi w:val="0"/>
        <w:rPr>
          <w:rFonts w:hint="default"/>
          <w:lang w:val="en-US" w:eastAsia="zh-CN"/>
        </w:rPr>
      </w:pPr>
      <w:r>
        <w:rPr>
          <w:rFonts w:hint="eastAsia"/>
          <w:lang w:val="en-US" w:eastAsia="zh-CN"/>
        </w:rPr>
        <w:t>2025年12月27日，国务院印发了《固体废物综合治理行动计划》的通知 （国发〔2025〕14号），项目与行动计划相符性分析，如下表。</w:t>
      </w:r>
    </w:p>
    <w:p w14:paraId="5D691F25">
      <w:pPr>
        <w:pStyle w:val="45"/>
        <w:bidi w:val="0"/>
        <w:rPr>
          <w:rFonts w:hint="default"/>
          <w:lang w:val="en-US" w:eastAsia="zh-CN"/>
        </w:rPr>
      </w:pPr>
      <w:r>
        <w:rPr>
          <w:rFonts w:hint="eastAsia"/>
          <w:lang w:val="en-US" w:eastAsia="zh-CN"/>
        </w:rPr>
        <w:t>表9.3-3  项目与《固体废物综合治理行动计划》的符合性分析</w:t>
      </w:r>
    </w:p>
    <w:tbl>
      <w:tblPr>
        <w:tblStyle w:val="34"/>
        <w:tblW w:w="50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6"/>
        <w:gridCol w:w="3256"/>
        <w:gridCol w:w="3588"/>
        <w:gridCol w:w="899"/>
      </w:tblGrid>
      <w:tr w14:paraId="04391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2259287D">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序号</w:t>
            </w:r>
          </w:p>
        </w:tc>
        <w:tc>
          <w:tcPr>
            <w:tcW w:w="3254" w:type="dxa"/>
            <w:vAlign w:val="center"/>
          </w:tcPr>
          <w:p w14:paraId="34A82AC9">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固体废物综合治理行动计划</w:t>
            </w:r>
          </w:p>
        </w:tc>
        <w:tc>
          <w:tcPr>
            <w:tcW w:w="3586" w:type="dxa"/>
            <w:vAlign w:val="center"/>
          </w:tcPr>
          <w:p w14:paraId="62B3AE19">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本项目情况</w:t>
            </w:r>
          </w:p>
        </w:tc>
        <w:tc>
          <w:tcPr>
            <w:tcW w:w="898" w:type="dxa"/>
            <w:tcBorders>
              <w:right w:val="single" w:color="000000" w:sz="2" w:space="0"/>
            </w:tcBorders>
            <w:vAlign w:val="center"/>
          </w:tcPr>
          <w:p w14:paraId="3C39D8DA">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符合性</w:t>
            </w:r>
          </w:p>
        </w:tc>
      </w:tr>
      <w:tr w14:paraId="6AF9A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2C44E567">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3254" w:type="dxa"/>
            <w:vAlign w:val="center"/>
          </w:tcPr>
          <w:p w14:paraId="7C80DC28">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一）加强工业固体废物源头减量。推动重有色金属矿采选一体化建设，促进尾矿就近充填回填，原则上不再批准建设无自建矿山、无配套尾矿利用处置设施的选矿项目。推动重点行业固体废物产生量与综合消纳量逐步实现动态平衡。</w:t>
            </w:r>
          </w:p>
        </w:tc>
        <w:tc>
          <w:tcPr>
            <w:tcW w:w="3586" w:type="dxa"/>
            <w:vAlign w:val="center"/>
          </w:tcPr>
          <w:p w14:paraId="078204D5">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本项目为土砂石开采加工项目，不属于有色金属矿采选。且项目配套建设了表土堆场，</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项目剥离表土暂存于表土堆场用于后续复垦。经固废章节分析，表土堆场选址可行，设置合理。</w:t>
            </w:r>
          </w:p>
        </w:tc>
        <w:tc>
          <w:tcPr>
            <w:tcW w:w="898" w:type="dxa"/>
            <w:tcBorders>
              <w:right w:val="single" w:color="000000" w:sz="2" w:space="0"/>
            </w:tcBorders>
            <w:vAlign w:val="center"/>
          </w:tcPr>
          <w:p w14:paraId="36763EB2">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02D4E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351A20BA">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p>
        </w:tc>
        <w:tc>
          <w:tcPr>
            <w:tcW w:w="3254" w:type="dxa"/>
            <w:vAlign w:val="center"/>
          </w:tcPr>
          <w:p w14:paraId="42E75E2F">
            <w:pPr>
              <w:pStyle w:val="43"/>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加强工业固体废物规范化管理。完善工业固体废物管理台账制度，强化全链条跟踪管控。推行工业固体废物分类收集贮存，防范混堆混排。禁止向生活垃圾收集设施中投放工业固体废物。严格执行工业固体废物、危险废物跨省转移审批制度。规范各类企业危险废物收集管理。</w:t>
            </w:r>
          </w:p>
        </w:tc>
        <w:tc>
          <w:tcPr>
            <w:tcW w:w="3586" w:type="dxa"/>
            <w:vAlign w:val="center"/>
          </w:tcPr>
          <w:p w14:paraId="6D00545B">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本项目将建立健全</w:t>
            </w:r>
            <w:r>
              <w:rPr>
                <w:rFonts w:hint="eastAsia"/>
                <w:color w:val="000000" w:themeColor="text1"/>
                <w:highlight w:val="none"/>
                <w14:textFill>
                  <w14:solidFill>
                    <w14:schemeClr w14:val="tx1"/>
                  </w14:solidFill>
                </w14:textFill>
              </w:rPr>
              <w:t>工业固体废物管理台账制度</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各类固废分类收集，分类贮存。</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项目生活垃圾单独收集，</w:t>
            </w:r>
            <w:r>
              <w:rPr>
                <w:rFonts w:hint="default" w:ascii="Times New Roman" w:hAnsi="Times New Roman" w:cs="Times New Roman"/>
                <w:color w:val="000000" w:themeColor="text1"/>
                <w:highlight w:val="none"/>
                <w:lang w:val="en-US" w:eastAsia="zh-CN"/>
                <w14:textFill>
                  <w14:solidFill>
                    <w14:schemeClr w14:val="tx1"/>
                  </w14:solidFill>
                </w14:textFill>
              </w:rPr>
              <w:t>收集后运至附近集镇垃圾收集点由环卫部门清运处置</w:t>
            </w:r>
            <w:r>
              <w:rPr>
                <w:rFonts w:hint="eastAsia" w:ascii="Times New Roman" w:hAnsi="Times New Roman" w:cs="Times New Roman"/>
                <w:color w:val="000000" w:themeColor="text1"/>
                <w:highlight w:val="none"/>
                <w:lang w:val="en-US" w:eastAsia="zh-CN"/>
                <w14:textFill>
                  <w14:solidFill>
                    <w14:schemeClr w14:val="tx1"/>
                  </w14:solidFill>
                </w14:textFill>
              </w:rPr>
              <w:t>，不掺入工业固体废物。危废单独收存于合规危废间内，定期委托有资质的单位清运处置。</w:t>
            </w:r>
          </w:p>
        </w:tc>
        <w:tc>
          <w:tcPr>
            <w:tcW w:w="898" w:type="dxa"/>
            <w:tcBorders>
              <w:right w:val="single" w:color="000000" w:sz="2" w:space="0"/>
            </w:tcBorders>
            <w:vAlign w:val="center"/>
          </w:tcPr>
          <w:p w14:paraId="4D17C3E6">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0663D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46AA28CD">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3254" w:type="dxa"/>
            <w:vAlign w:val="center"/>
          </w:tcPr>
          <w:p w14:paraId="35B2ACB1">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（十）提升全过程无害化水平。加强大宗工业固体废物无害化预处理，降低贮存填埋量和环境污染风险。</w:t>
            </w:r>
          </w:p>
        </w:tc>
        <w:tc>
          <w:tcPr>
            <w:tcW w:w="3586" w:type="dxa"/>
            <w:vAlign w:val="center"/>
          </w:tcPr>
          <w:p w14:paraId="3A3BB3DC">
            <w:pPr>
              <w:pStyle w:val="43"/>
              <w:bidi w:val="0"/>
              <w:rPr>
                <w:rFonts w:hint="default" w:eastAsia="宋体"/>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t>本项目</w:t>
            </w:r>
            <w:r>
              <w:rPr>
                <w:rFonts w:hint="eastAsia"/>
                <w:color w:val="000000" w:themeColor="text1"/>
                <w:highlight w:val="none"/>
                <w:lang w:val="en-US" w:eastAsia="zh-CN"/>
                <w14:textFill>
                  <w14:solidFill>
                    <w14:schemeClr w14:val="tx1"/>
                  </w14:solidFill>
                </w14:textFill>
              </w:rPr>
              <w:t>基本无废石产生，废土堆存于表土堆存。</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废土石堆存于拟设的弃渣场内。经固废章节分析，表土堆场选址可行，设置合理</w:t>
            </w:r>
            <w:r>
              <w:rPr>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经环境风险章节分析，项目表土堆场环境风险可控。</w:t>
            </w:r>
          </w:p>
        </w:tc>
        <w:tc>
          <w:tcPr>
            <w:tcW w:w="898" w:type="dxa"/>
            <w:tcBorders>
              <w:right w:val="single" w:color="000000" w:sz="2" w:space="0"/>
            </w:tcBorders>
            <w:vAlign w:val="center"/>
          </w:tcPr>
          <w:p w14:paraId="462B9B1C">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1159C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31FD7A90">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p>
        </w:tc>
        <w:tc>
          <w:tcPr>
            <w:tcW w:w="3254" w:type="dxa"/>
            <w:vAlign w:val="center"/>
          </w:tcPr>
          <w:p w14:paraId="0613F0A8">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十一）稳妥有序探索规模化消纳利用渠道。在符合环境质量标准、污染风险管控要求和安全生产要求前提下，探索通过井下充填、矿坑回填、生态修复等方式规模化消纳利用大宗工业固体废物。建立统一规范的管理制度，加强部门协同，严格履行相关审批和决策程序，坚决防范以规模化消纳利用名义非法倾倒。</w:t>
            </w:r>
          </w:p>
        </w:tc>
        <w:tc>
          <w:tcPr>
            <w:tcW w:w="3586" w:type="dxa"/>
            <w:vAlign w:val="center"/>
          </w:tcPr>
          <w:p w14:paraId="5108184C">
            <w:pPr>
              <w:pStyle w:val="43"/>
              <w:bidi w:val="0"/>
              <w:rPr>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项目剥离表土暂存于表土堆场用于后续复垦。</w:t>
            </w:r>
          </w:p>
        </w:tc>
        <w:tc>
          <w:tcPr>
            <w:tcW w:w="898" w:type="dxa"/>
            <w:tcBorders>
              <w:right w:val="single" w:color="000000" w:sz="2" w:space="0"/>
            </w:tcBorders>
            <w:vAlign w:val="center"/>
          </w:tcPr>
          <w:p w14:paraId="4FE8DE1E">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6DE08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6C9CB3A9">
            <w:pPr>
              <w:pStyle w:val="43"/>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p>
        </w:tc>
        <w:tc>
          <w:tcPr>
            <w:tcW w:w="3254" w:type="dxa"/>
            <w:vAlign w:val="center"/>
          </w:tcPr>
          <w:p w14:paraId="6A841F71">
            <w:pPr>
              <w:pStyle w:val="43"/>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（十二）开展非法倾倒处置固体废物专项整治。深入开展重点区域非法倾倒处置固体废物排查，及时发现问题并逐一限时整改。依法依规严肃查处违法单位和个人，斩断黑色利益链条。</w:t>
            </w:r>
          </w:p>
        </w:tc>
        <w:tc>
          <w:tcPr>
            <w:tcW w:w="3586" w:type="dxa"/>
            <w:vAlign w:val="center"/>
          </w:tcPr>
          <w:p w14:paraId="19136AA9">
            <w:pPr>
              <w:pStyle w:val="43"/>
              <w:bidi w:val="0"/>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经分析，项目建设生产过</w:t>
            </w:r>
            <w:r>
              <w:rPr>
                <w:rFonts w:hint="eastAsia" w:cs="Times New Roman"/>
                <w:color w:val="000000" w:themeColor="text1"/>
                <w:kern w:val="2"/>
                <w:szCs w:val="21"/>
                <w:highlight w:val="none"/>
                <w:lang w:val="en-US" w:eastAsia="zh-CN"/>
                <w14:textFill>
                  <w14:solidFill>
                    <w14:schemeClr w14:val="tx1"/>
                  </w14:solidFill>
                </w14:textFill>
              </w:rPr>
              <w:t>程中</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各类固废均100%合理处置，不存在</w:t>
            </w:r>
            <w:r>
              <w:rPr>
                <w:rFonts w:hint="eastAsia"/>
                <w:color w:val="000000" w:themeColor="text1"/>
                <w:highlight w:val="none"/>
                <w14:textFill>
                  <w14:solidFill>
                    <w14:schemeClr w14:val="tx1"/>
                  </w14:solidFill>
                </w14:textFill>
              </w:rPr>
              <w:t>非法倾倒处置固体废物</w:t>
            </w:r>
            <w:r>
              <w:rPr>
                <w:rFonts w:hint="eastAsia"/>
                <w:color w:val="000000" w:themeColor="text1"/>
                <w:highlight w:val="none"/>
                <w:lang w:eastAsia="zh-CN"/>
                <w14:textFill>
                  <w14:solidFill>
                    <w14:schemeClr w14:val="tx1"/>
                  </w14:solidFill>
                </w14:textFill>
              </w:rPr>
              <w:t>。</w:t>
            </w:r>
          </w:p>
        </w:tc>
        <w:tc>
          <w:tcPr>
            <w:tcW w:w="898" w:type="dxa"/>
            <w:tcBorders>
              <w:right w:val="single" w:color="000000" w:sz="2" w:space="0"/>
            </w:tcBorders>
            <w:vAlign w:val="center"/>
          </w:tcPr>
          <w:p w14:paraId="2327DE28">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3D495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86" w:type="dxa"/>
            <w:tcBorders>
              <w:left w:val="single" w:color="000000" w:sz="2" w:space="0"/>
            </w:tcBorders>
            <w:vAlign w:val="center"/>
          </w:tcPr>
          <w:p w14:paraId="5190F292">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p>
        </w:tc>
        <w:tc>
          <w:tcPr>
            <w:tcW w:w="3254" w:type="dxa"/>
            <w:vAlign w:val="center"/>
          </w:tcPr>
          <w:p w14:paraId="724B170E">
            <w:pPr>
              <w:pStyle w:val="43"/>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十五）开展历史遗留固体废物堆存场所专项整治。摸清全国大宗工业固体废物堆存场所环境管理情况。开展环境风险调查评估，</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一场（矿）一策</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深入推进涉重金属矿山、尾矿库、堆（渣）场、危险废物填埋场等环境安全隐患排查整治。到2030年，完成全国60%以上的历史遗留固体废物堆存场所治理，全面完成赤泥库、尾矿库环境风险隐患整治。</w:t>
            </w:r>
          </w:p>
        </w:tc>
        <w:tc>
          <w:tcPr>
            <w:tcW w:w="3586" w:type="dxa"/>
            <w:vAlign w:val="center"/>
          </w:tcPr>
          <w:p w14:paraId="213AC87D">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项目为扩建矿山，原项目各类固体废物100%处置，未发生固体废物环境污染及环境风险。经环境风险章节分析，项目表土堆场环境风险可控。</w:t>
            </w:r>
          </w:p>
        </w:tc>
        <w:tc>
          <w:tcPr>
            <w:tcW w:w="898" w:type="dxa"/>
            <w:tcBorders>
              <w:right w:val="single" w:color="000000" w:sz="2" w:space="0"/>
            </w:tcBorders>
            <w:vAlign w:val="center"/>
          </w:tcPr>
          <w:p w14:paraId="75284C6D">
            <w:pPr>
              <w:pStyle w:val="43"/>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5B210DA7">
      <w:pPr>
        <w:pStyle w:val="4"/>
        <w:bidi w:val="0"/>
        <w:rPr>
          <w:rFonts w:hint="eastAsia"/>
        </w:rPr>
      </w:pPr>
      <w:bookmarkStart w:id="541" w:name="_Toc19255"/>
      <w:bookmarkStart w:id="542" w:name="_Toc31160"/>
      <w:bookmarkStart w:id="543" w:name="_Toc32258"/>
      <w:r>
        <w:rPr>
          <w:rFonts w:hint="eastAsia"/>
        </w:rPr>
        <w:t>与</w:t>
      </w:r>
      <w:r>
        <w:rPr>
          <w:rFonts w:hint="eastAsia"/>
          <w:lang w:val="en-US" w:eastAsia="zh-CN"/>
        </w:rPr>
        <w:t>《土壤污染源头防控行动计划》</w:t>
      </w:r>
      <w:r>
        <w:rPr>
          <w:rFonts w:hint="eastAsia"/>
        </w:rPr>
        <w:t>符合性分析</w:t>
      </w:r>
      <w:bookmarkEnd w:id="541"/>
      <w:bookmarkEnd w:id="542"/>
    </w:p>
    <w:p w14:paraId="46F8A3EE">
      <w:pPr>
        <w:pStyle w:val="41"/>
        <w:bidi w:val="0"/>
        <w:rPr>
          <w:rFonts w:hint="eastAsia"/>
          <w:lang w:val="en-US" w:eastAsia="zh-CN"/>
        </w:rPr>
      </w:pPr>
      <w:r>
        <w:rPr>
          <w:rFonts w:hint="eastAsia"/>
          <w:lang w:val="en-US" w:eastAsia="zh-CN"/>
        </w:rPr>
        <w:t>国家发展改革委、生态环境部等7部门于2024年11月6日发布了《土壤污染源头防控行动计划》，相关符合性分析如下。</w:t>
      </w:r>
    </w:p>
    <w:p w14:paraId="25027AAA">
      <w:pPr>
        <w:pStyle w:val="45"/>
        <w:bidi w:val="0"/>
        <w:rPr>
          <w:rFonts w:hint="default"/>
          <w:lang w:val="en-US" w:eastAsia="zh-CN"/>
        </w:rPr>
      </w:pPr>
      <w:r>
        <w:rPr>
          <w:rFonts w:hint="eastAsia"/>
          <w:lang w:val="en-US" w:eastAsia="zh-CN"/>
        </w:rPr>
        <w:t>表9.3-4  项目与《土壤污染源头防控行动计划》的符合性分析</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3225"/>
        <w:gridCol w:w="3540"/>
        <w:gridCol w:w="717"/>
      </w:tblGrid>
      <w:tr w14:paraId="6A57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7" w:type="dxa"/>
            <w:vAlign w:val="center"/>
          </w:tcPr>
          <w:p w14:paraId="5E72053D">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章节</w:t>
            </w:r>
          </w:p>
        </w:tc>
        <w:tc>
          <w:tcPr>
            <w:tcW w:w="3225" w:type="dxa"/>
            <w:vAlign w:val="center"/>
          </w:tcPr>
          <w:p w14:paraId="7E8D51B7">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行动计划要求</w:t>
            </w:r>
          </w:p>
        </w:tc>
        <w:tc>
          <w:tcPr>
            <w:tcW w:w="3540" w:type="dxa"/>
            <w:vAlign w:val="center"/>
          </w:tcPr>
          <w:p w14:paraId="6E81754A">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本项目情况</w:t>
            </w:r>
          </w:p>
        </w:tc>
        <w:tc>
          <w:tcPr>
            <w:tcW w:w="717" w:type="dxa"/>
            <w:vAlign w:val="center"/>
          </w:tcPr>
          <w:p w14:paraId="42CA196E">
            <w:pPr>
              <w:pStyle w:val="43"/>
              <w:widowControl w:val="0"/>
              <w:bidi w:val="0"/>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符合性</w:t>
            </w:r>
          </w:p>
        </w:tc>
      </w:tr>
      <w:tr w14:paraId="472E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7" w:type="dxa"/>
            <w:vMerge w:val="restart"/>
            <w:vAlign w:val="center"/>
          </w:tcPr>
          <w:p w14:paraId="46B77081">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二、完善土壤污染源头预防政策体系</w:t>
            </w:r>
          </w:p>
        </w:tc>
        <w:tc>
          <w:tcPr>
            <w:tcW w:w="3225" w:type="dxa"/>
            <w:vAlign w:val="center"/>
          </w:tcPr>
          <w:p w14:paraId="4227CB13">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推动重点行业强制性清洁生产审核。对重有色金属矿采选业、重有色金属冶炼业、化学原料及化学制品制造业等涉重金属行业企业依法开展强制性清洁生产审核，强化气态及粉尘等无组织排放、防渗漏、防流失、防扬散等审核及监管要求。工程设计应按照环境保护相关规定和工程建设国家标准，为防治土壤和地下水污染提供工程条件。</w:t>
            </w:r>
          </w:p>
        </w:tc>
        <w:tc>
          <w:tcPr>
            <w:tcW w:w="3540" w:type="dxa"/>
            <w:vAlign w:val="center"/>
          </w:tcPr>
          <w:p w14:paraId="6F78E408">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为土砂石开采加工项目，不属于重有色金属矿采选业、重有色金属冶炼业、化学原料及化学制品制造业等涉重金属行业企业。项目生产过程产生的粉尘、扬尘经过布袋除尘器+洒水降尘措施后对环境影响可接受。工程设计按照环境保护相关规定和工程建设国家标准，为防治土壤和地下水污染提供工程条件。</w:t>
            </w:r>
          </w:p>
        </w:tc>
        <w:tc>
          <w:tcPr>
            <w:tcW w:w="717" w:type="dxa"/>
            <w:vAlign w:val="center"/>
          </w:tcPr>
          <w:p w14:paraId="253BBA9C">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685E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7" w:type="dxa"/>
            <w:vMerge w:val="continue"/>
            <w:vAlign w:val="center"/>
          </w:tcPr>
          <w:p w14:paraId="2BBED9C7">
            <w:pPr>
              <w:pStyle w:val="43"/>
              <w:widowControl w:val="0"/>
              <w:bidi w:val="0"/>
              <w:rPr>
                <w:rFonts w:hint="eastAsia"/>
                <w:color w:val="000000" w:themeColor="text1"/>
                <w:highlight w:val="none"/>
                <w:lang w:val="en-US" w:eastAsia="zh-CN"/>
                <w14:textFill>
                  <w14:solidFill>
                    <w14:schemeClr w14:val="tx1"/>
                  </w14:solidFill>
                </w14:textFill>
              </w:rPr>
            </w:pPr>
          </w:p>
        </w:tc>
        <w:tc>
          <w:tcPr>
            <w:tcW w:w="3225" w:type="dxa"/>
            <w:vAlign w:val="center"/>
          </w:tcPr>
          <w:p w14:paraId="7AC70718">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加强未污染土壤保护。强化优先保护类耕地管理，加强土壤生态环境质量监测和保护。新建涉重金属排放企业，要在相关建设项目中加强重金属排放对周边耕地土壤的累积性风险分析，存在风险的，要采取防控措施。</w:t>
            </w:r>
          </w:p>
        </w:tc>
        <w:tc>
          <w:tcPr>
            <w:tcW w:w="3540" w:type="dxa"/>
            <w:vAlign w:val="center"/>
          </w:tcPr>
          <w:p w14:paraId="6FBDCF51">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项目用地范围内不涉及耕地，本项目不涉及重金属，通过土壤环境保护措施后，项目对区域土壤环境影响可接受。</w:t>
            </w:r>
          </w:p>
        </w:tc>
        <w:tc>
          <w:tcPr>
            <w:tcW w:w="717" w:type="dxa"/>
            <w:vAlign w:val="center"/>
          </w:tcPr>
          <w:p w14:paraId="1B9A652A">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31FF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7" w:type="dxa"/>
            <w:vMerge w:val="restart"/>
            <w:vAlign w:val="center"/>
          </w:tcPr>
          <w:p w14:paraId="1EB4606E">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三、严格落实污染防治措施</w:t>
            </w:r>
          </w:p>
        </w:tc>
        <w:tc>
          <w:tcPr>
            <w:tcW w:w="3225" w:type="dxa"/>
            <w:vAlign w:val="center"/>
          </w:tcPr>
          <w:p w14:paraId="678C41C8">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（七）减少涉重金属废气排放。推动有色金属矿采选、冶炼行业颗粒物深度治理，实施颗粒物治理升级改造工程，加强除尘工艺废气、生产车间低空逸散烟气收集处理</w:t>
            </w:r>
          </w:p>
        </w:tc>
        <w:tc>
          <w:tcPr>
            <w:tcW w:w="3540" w:type="dxa"/>
            <w:vAlign w:val="center"/>
          </w:tcPr>
          <w:p w14:paraId="70F38257">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本项目为土砂石开采加工项目，不属于有色金属矿采选、冶炼行业。项目生产过程产生的粉尘、扬尘经过布袋除尘器+洒水降尘措施后对环境影响可接受</w:t>
            </w:r>
          </w:p>
        </w:tc>
        <w:tc>
          <w:tcPr>
            <w:tcW w:w="717" w:type="dxa"/>
            <w:vAlign w:val="center"/>
          </w:tcPr>
          <w:p w14:paraId="45B0C122">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0487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7" w:type="dxa"/>
            <w:vMerge w:val="continue"/>
            <w:vAlign w:val="center"/>
          </w:tcPr>
          <w:p w14:paraId="32A36BF1">
            <w:pPr>
              <w:pStyle w:val="43"/>
              <w:widowControl w:val="0"/>
              <w:bidi w:val="0"/>
              <w:rPr>
                <w:rFonts w:hint="eastAsia"/>
                <w:color w:val="000000" w:themeColor="text1"/>
                <w:highlight w:val="none"/>
                <w:lang w:val="en-US" w:eastAsia="zh-CN"/>
                <w14:textFill>
                  <w14:solidFill>
                    <w14:schemeClr w14:val="tx1"/>
                  </w14:solidFill>
                </w14:textFill>
              </w:rPr>
            </w:pPr>
          </w:p>
        </w:tc>
        <w:tc>
          <w:tcPr>
            <w:tcW w:w="3225" w:type="dxa"/>
            <w:vAlign w:val="center"/>
          </w:tcPr>
          <w:p w14:paraId="69A5605F">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（八）推进固体废物源头减量和综合利用。加强一般工业固体废</w:t>
            </w:r>
          </w:p>
          <w:p w14:paraId="722A7A3E">
            <w:pPr>
              <w:pStyle w:val="43"/>
              <w:widowControl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物规范化环境管理，开展历史遗留固体废物堆存场摸底排查和分级分类整改，全面完善防渗漏、防流失、防扬散等措施。严密防控危险废物环境风险，深化危险废物规范化环境管理评估，推进全过程信息化环境管理，严格管控最终填埋处置。严厉打击非法排放、倾倒、转移、处置固体废物，尤其是危险废物环境违法犯罪行为。</w:t>
            </w:r>
          </w:p>
        </w:tc>
        <w:tc>
          <w:tcPr>
            <w:tcW w:w="3540" w:type="dxa"/>
            <w:vAlign w:val="center"/>
          </w:tcPr>
          <w:p w14:paraId="452CA7A6">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表土后期全部用于矿区复垦，本项目将建立健全一般工业固体废物规范化环境管理体系。项目为改扩建矿山，不涉及历史遗留固体废物堆存场。项目按照分区防渗原则对各区域进行防渗设计。经分析，项目危废环境风险影响可接受。项目各固体废物100%合理处置，不涉及非法排放、倾倒、转移、处置固体废物，尤其是危险废物环境违法犯罪行为。</w:t>
            </w:r>
          </w:p>
        </w:tc>
        <w:tc>
          <w:tcPr>
            <w:tcW w:w="717" w:type="dxa"/>
            <w:vAlign w:val="center"/>
          </w:tcPr>
          <w:p w14:paraId="22AD8AA7">
            <w:pPr>
              <w:pStyle w:val="43"/>
              <w:widowControl w:val="0"/>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69055209">
      <w:pPr>
        <w:pStyle w:val="41"/>
        <w:bidi w:val="0"/>
        <w:rPr>
          <w:rFonts w:hint="eastAsia"/>
        </w:rPr>
      </w:pPr>
      <w:r>
        <w:rPr>
          <w:rFonts w:hint="eastAsia"/>
          <w:lang w:val="en-US" w:eastAsia="zh-CN"/>
        </w:rPr>
        <w:t>经上表分析，项目建设与《土壤污染源头防控行动计划》相符合。</w:t>
      </w:r>
    </w:p>
    <w:p w14:paraId="51715F02">
      <w:pPr>
        <w:pStyle w:val="4"/>
        <w:bidi w:val="0"/>
        <w:rPr>
          <w:rFonts w:hint="default"/>
          <w:lang w:val="en-US" w:eastAsia="zh-CN"/>
        </w:rPr>
      </w:pPr>
      <w:bookmarkStart w:id="544" w:name="_Toc13554"/>
      <w:r>
        <w:rPr>
          <w:rFonts w:hint="eastAsia"/>
          <w:lang w:val="en-US" w:eastAsia="zh-CN"/>
        </w:rPr>
        <w:t>与《云南省土壤污染防治条例》符合性分析</w:t>
      </w:r>
      <w:bookmarkEnd w:id="543"/>
      <w:bookmarkEnd w:id="544"/>
    </w:p>
    <w:p w14:paraId="754F2904">
      <w:pPr>
        <w:pStyle w:val="41"/>
        <w:bidi w:val="0"/>
        <w:rPr>
          <w:rFonts w:hint="eastAsia"/>
          <w:lang w:val="en-US" w:eastAsia="zh-CN"/>
        </w:rPr>
      </w:pPr>
      <w:r>
        <w:rPr>
          <w:rFonts w:hint="eastAsia"/>
        </w:rPr>
        <w:t>《云南省土壤污染防治条例》</w:t>
      </w:r>
      <w:r>
        <w:rPr>
          <w:rFonts w:hint="eastAsia"/>
          <w:lang w:val="en-US" w:eastAsia="zh-CN"/>
        </w:rPr>
        <w:t>自2022年5月1日起施行，相关符合性分析如下：</w:t>
      </w:r>
    </w:p>
    <w:p w14:paraId="4313CA39">
      <w:pPr>
        <w:pStyle w:val="45"/>
        <w:bidi w:val="0"/>
        <w:rPr>
          <w:rFonts w:hint="eastAsia"/>
          <w:lang w:val="en-US" w:eastAsia="zh-CN"/>
        </w:rPr>
      </w:pPr>
      <w:r>
        <w:rPr>
          <w:rFonts w:hint="eastAsia"/>
          <w:lang w:val="en-US" w:eastAsia="zh-CN"/>
        </w:rPr>
        <w:t>表9.3-5  项目</w:t>
      </w:r>
      <w:r>
        <w:rPr>
          <w:rFonts w:hint="eastAsia"/>
        </w:rPr>
        <w:t>与《云南省土壤污染防治条例》的符合性</w:t>
      </w:r>
      <w:r>
        <w:rPr>
          <w:rFonts w:hint="eastAsia"/>
          <w:lang w:val="en-US" w:eastAsia="zh-CN"/>
        </w:rPr>
        <w:t>分析</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3064"/>
        <w:gridCol w:w="3698"/>
        <w:gridCol w:w="721"/>
      </w:tblGrid>
      <w:tr w14:paraId="67B8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6" w:type="dxa"/>
            <w:vAlign w:val="center"/>
          </w:tcPr>
          <w:p w14:paraId="09145645">
            <w:pPr>
              <w:pStyle w:val="43"/>
              <w:bidi w:val="0"/>
              <w:rPr>
                <w:rFonts w:hint="eastAsia"/>
                <w:b/>
                <w:bCs/>
                <w:lang w:val="en-US" w:eastAsia="zh-CN"/>
              </w:rPr>
            </w:pPr>
            <w:r>
              <w:rPr>
                <w:rFonts w:hint="eastAsia"/>
                <w:b/>
                <w:bCs/>
                <w:lang w:val="en-US" w:eastAsia="zh-CN"/>
              </w:rPr>
              <w:t>条款</w:t>
            </w:r>
          </w:p>
        </w:tc>
        <w:tc>
          <w:tcPr>
            <w:tcW w:w="3064" w:type="dxa"/>
            <w:vAlign w:val="center"/>
          </w:tcPr>
          <w:p w14:paraId="30CD53AF">
            <w:pPr>
              <w:pStyle w:val="43"/>
              <w:bidi w:val="0"/>
              <w:rPr>
                <w:rFonts w:hint="eastAsia"/>
                <w:b/>
                <w:bCs/>
                <w:lang w:val="en-US" w:eastAsia="zh-CN"/>
              </w:rPr>
            </w:pPr>
            <w:r>
              <w:rPr>
                <w:rFonts w:hint="eastAsia"/>
                <w:b/>
                <w:bCs/>
                <w:lang w:val="en-US" w:eastAsia="zh-CN"/>
              </w:rPr>
              <w:t>条例要求</w:t>
            </w:r>
          </w:p>
        </w:tc>
        <w:tc>
          <w:tcPr>
            <w:tcW w:w="3698" w:type="dxa"/>
            <w:vAlign w:val="center"/>
          </w:tcPr>
          <w:p w14:paraId="1EF43B26">
            <w:pPr>
              <w:pStyle w:val="43"/>
              <w:bidi w:val="0"/>
              <w:rPr>
                <w:rFonts w:hint="default"/>
                <w:b/>
                <w:bCs/>
                <w:lang w:val="en-US" w:eastAsia="zh-CN"/>
              </w:rPr>
            </w:pPr>
            <w:r>
              <w:rPr>
                <w:rFonts w:hint="eastAsia"/>
                <w:b/>
                <w:bCs/>
                <w:lang w:val="en-US" w:eastAsia="zh-CN"/>
              </w:rPr>
              <w:t>项目情况</w:t>
            </w:r>
          </w:p>
        </w:tc>
        <w:tc>
          <w:tcPr>
            <w:tcW w:w="721" w:type="dxa"/>
            <w:vAlign w:val="center"/>
          </w:tcPr>
          <w:p w14:paraId="6E8228EF">
            <w:pPr>
              <w:pStyle w:val="43"/>
              <w:bidi w:val="0"/>
              <w:rPr>
                <w:rFonts w:hint="eastAsia"/>
                <w:b/>
                <w:bCs/>
                <w:lang w:val="en-US" w:eastAsia="zh-CN"/>
              </w:rPr>
            </w:pPr>
            <w:r>
              <w:rPr>
                <w:rFonts w:hint="eastAsia"/>
                <w:b/>
                <w:bCs/>
                <w:lang w:val="en-US" w:eastAsia="zh-CN"/>
              </w:rPr>
              <w:t>符合性</w:t>
            </w:r>
          </w:p>
        </w:tc>
      </w:tr>
      <w:tr w14:paraId="45AA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6" w:type="dxa"/>
            <w:vAlign w:val="center"/>
          </w:tcPr>
          <w:p w14:paraId="66CB1138">
            <w:pPr>
              <w:pStyle w:val="43"/>
              <w:bidi w:val="0"/>
            </w:pPr>
            <w:r>
              <w:rPr>
                <w:rFonts w:hint="eastAsia"/>
              </w:rPr>
              <w:t>第十四条</w:t>
            </w:r>
          </w:p>
        </w:tc>
        <w:tc>
          <w:tcPr>
            <w:tcW w:w="3064" w:type="dxa"/>
            <w:vAlign w:val="center"/>
          </w:tcPr>
          <w:p w14:paraId="7DF32F8F">
            <w:pPr>
              <w:pStyle w:val="43"/>
              <w:bidi w:val="0"/>
            </w:pPr>
            <w:r>
              <w:rPr>
                <w:rFonts w:hint="eastAsia"/>
              </w:rPr>
              <w:t>各类涉及土地利用的规划和可能造成土壤污染的建设项目，应当依法进行环境影响评价。环境影响评价文件应当包括对土壤可能造成的不良影响及应当采取的相应预防措施等内容。</w:t>
            </w:r>
          </w:p>
        </w:tc>
        <w:tc>
          <w:tcPr>
            <w:tcW w:w="3698" w:type="dxa"/>
            <w:vAlign w:val="center"/>
          </w:tcPr>
          <w:p w14:paraId="688D5E06">
            <w:pPr>
              <w:pStyle w:val="43"/>
              <w:bidi w:val="0"/>
              <w:rPr>
                <w:rFonts w:hint="eastAsia"/>
                <w:lang w:eastAsia="zh-CN"/>
              </w:rPr>
            </w:pPr>
            <w:r>
              <w:rPr>
                <w:rFonts w:hint="eastAsia"/>
              </w:rPr>
              <w:t>本项目正在依法开展环境影响评价。针对工程可能发生的土壤污染，按照</w:t>
            </w:r>
            <w:r>
              <w:rPr>
                <w:rFonts w:hint="eastAsia"/>
                <w:lang w:eastAsia="zh-CN"/>
              </w:rPr>
              <w:t>“</w:t>
            </w:r>
            <w:r>
              <w:rPr>
                <w:rFonts w:hint="eastAsia"/>
              </w:rPr>
              <w:t>源头控制、过程防控</w:t>
            </w:r>
            <w:r>
              <w:rPr>
                <w:rFonts w:hint="eastAsia"/>
                <w:lang w:eastAsia="zh-CN"/>
              </w:rPr>
              <w:t>”</w:t>
            </w:r>
            <w:r>
              <w:rPr>
                <w:rFonts w:hint="eastAsia"/>
              </w:rPr>
              <w:t>相结合的原则，从污染物的产生、入侵、扩散、应急响应全阶段进行控制。</w:t>
            </w:r>
            <w:r>
              <w:rPr>
                <w:rFonts w:hint="default"/>
                <w:lang w:val="en-US" w:eastAsia="zh-CN"/>
              </w:rPr>
              <w:t>①源头控制措施：设置规范的危险废物暂存间，并进行防渗处理</w:t>
            </w:r>
            <w:r>
              <w:rPr>
                <w:rFonts w:hint="eastAsia"/>
                <w:lang w:val="en-US" w:eastAsia="zh-CN"/>
              </w:rPr>
              <w:t>。</w:t>
            </w:r>
            <w:r>
              <w:rPr>
                <w:rFonts w:hint="default"/>
                <w:lang w:val="en-US" w:eastAsia="zh-CN"/>
              </w:rPr>
              <w:t>②过程防控措施：</w:t>
            </w:r>
            <w:r>
              <w:rPr>
                <w:rFonts w:hint="eastAsia"/>
                <w:lang w:val="en-US" w:eastAsia="zh-CN"/>
              </w:rPr>
              <w:t>各场地</w:t>
            </w:r>
            <w:r>
              <w:rPr>
                <w:rFonts w:hint="default"/>
                <w:lang w:val="en-US" w:eastAsia="zh-CN"/>
              </w:rPr>
              <w:t>设置</w:t>
            </w:r>
            <w:r>
              <w:rPr>
                <w:rFonts w:hint="eastAsia"/>
                <w:lang w:val="en-US" w:eastAsia="zh-CN"/>
              </w:rPr>
              <w:t>雨水排水沟</w:t>
            </w:r>
            <w:r>
              <w:rPr>
                <w:rFonts w:hint="default"/>
                <w:lang w:val="en-US" w:eastAsia="zh-CN"/>
              </w:rPr>
              <w:t>、排水沟末端接入沉淀池、雨水池等</w:t>
            </w:r>
            <w:r>
              <w:rPr>
                <w:rFonts w:hint="eastAsia"/>
                <w:lang w:val="en-US" w:eastAsia="zh-CN"/>
              </w:rPr>
              <w:t>，</w:t>
            </w:r>
            <w:r>
              <w:rPr>
                <w:rFonts w:hint="default"/>
                <w:lang w:val="en-US" w:eastAsia="zh-CN"/>
              </w:rPr>
              <w:t>废水沉淀处理后全部回用不外排</w:t>
            </w:r>
            <w:r>
              <w:rPr>
                <w:rFonts w:hint="eastAsia"/>
                <w:lang w:val="en-US" w:eastAsia="zh-CN"/>
              </w:rPr>
              <w:t>。</w:t>
            </w:r>
            <w:r>
              <w:rPr>
                <w:rFonts w:hint="default"/>
                <w:lang w:val="en-US" w:eastAsia="zh-CN"/>
              </w:rPr>
              <w:t>③污染监控体系：设置专门的管理人员定期对环保设施进行检查，杜绝事故的发生。发现跑冒滴漏及时发现污染、及时控制。④应急响应措施：一旦发现污染事故，立即启动应急预案、采取应急措施控制土壤，并使污染</w:t>
            </w:r>
            <w:r>
              <w:rPr>
                <w:rFonts w:hint="eastAsia"/>
                <w:lang w:val="en-US" w:eastAsia="zh-CN"/>
              </w:rPr>
              <w:t>得</w:t>
            </w:r>
            <w:r>
              <w:rPr>
                <w:rFonts w:hint="default"/>
                <w:lang w:val="en-US" w:eastAsia="zh-CN"/>
              </w:rPr>
              <w:t>到治理</w:t>
            </w:r>
            <w:r>
              <w:rPr>
                <w:rFonts w:hint="eastAsia"/>
                <w:lang w:eastAsia="zh-CN"/>
              </w:rPr>
              <w:t>。</w:t>
            </w:r>
          </w:p>
        </w:tc>
        <w:tc>
          <w:tcPr>
            <w:tcW w:w="721" w:type="dxa"/>
            <w:vAlign w:val="center"/>
          </w:tcPr>
          <w:p w14:paraId="7249DCEA">
            <w:pPr>
              <w:pStyle w:val="43"/>
              <w:bidi w:val="0"/>
              <w:rPr>
                <w:rFonts w:hint="eastAsia"/>
                <w:lang w:val="en-US" w:eastAsia="zh-CN"/>
              </w:rPr>
            </w:pPr>
            <w:r>
              <w:rPr>
                <w:rFonts w:hint="eastAsia"/>
                <w:lang w:val="en-US" w:eastAsia="zh-CN"/>
              </w:rPr>
              <w:t>符合</w:t>
            </w:r>
          </w:p>
        </w:tc>
      </w:tr>
      <w:tr w14:paraId="41B5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6" w:type="dxa"/>
            <w:vAlign w:val="center"/>
          </w:tcPr>
          <w:p w14:paraId="0F6D5C6C">
            <w:pPr>
              <w:pStyle w:val="43"/>
              <w:bidi w:val="0"/>
              <w:rPr>
                <w:rFonts w:hint="eastAsia"/>
                <w:lang w:val="en-US" w:eastAsia="zh-CN"/>
              </w:rPr>
            </w:pPr>
            <w:r>
              <w:rPr>
                <w:rFonts w:hint="eastAsia"/>
                <w:lang w:val="en-US" w:eastAsia="zh-CN"/>
              </w:rPr>
              <w:t>第二十条</w:t>
            </w:r>
          </w:p>
        </w:tc>
        <w:tc>
          <w:tcPr>
            <w:tcW w:w="3064" w:type="dxa"/>
            <w:vAlign w:val="center"/>
          </w:tcPr>
          <w:p w14:paraId="7B3A74E5">
            <w:pPr>
              <w:pStyle w:val="43"/>
              <w:bidi w:val="0"/>
              <w:rPr>
                <w:rFonts w:hint="eastAsia"/>
                <w:lang w:eastAsia="zh-CN"/>
              </w:rPr>
            </w:pPr>
            <w:r>
              <w:rPr>
                <w:rFonts w:hint="eastAsia"/>
              </w:rPr>
              <w:t>企业在开采、选矿、运输、仓储等矿产资源开发活动</w:t>
            </w:r>
            <w:r>
              <w:rPr>
                <w:rFonts w:hint="eastAsia"/>
                <w:lang w:eastAsia="zh-CN"/>
              </w:rPr>
              <w:t>第二日</w:t>
            </w:r>
            <w:r>
              <w:rPr>
                <w:rFonts w:hint="eastAsia"/>
              </w:rPr>
              <w:t>应当采取防护措施，防止废气、废水、尾矿、</w:t>
            </w:r>
            <w:r>
              <w:rPr>
                <w:rFonts w:hint="eastAsia"/>
                <w:lang w:eastAsia="zh-CN"/>
              </w:rPr>
              <w:t>矿石</w:t>
            </w:r>
            <w:r>
              <w:rPr>
                <w:rFonts w:hint="eastAsia"/>
              </w:rPr>
              <w:t>条渣、矸石等污染土壤环境。贮存矿业固体废物应当采取符合国家环境保护标准的防护措施</w:t>
            </w:r>
            <w:r>
              <w:rPr>
                <w:rFonts w:hint="eastAsia"/>
                <w:lang w:eastAsia="zh-CN"/>
              </w:rPr>
              <w:t>。</w:t>
            </w:r>
          </w:p>
        </w:tc>
        <w:tc>
          <w:tcPr>
            <w:tcW w:w="3698" w:type="dxa"/>
            <w:vAlign w:val="center"/>
          </w:tcPr>
          <w:p w14:paraId="347379B0">
            <w:pPr>
              <w:pStyle w:val="43"/>
              <w:bidi w:val="0"/>
              <w:rPr>
                <w:rFonts w:hint="eastAsia"/>
                <w:lang w:eastAsia="zh-CN"/>
              </w:rPr>
            </w:pPr>
            <w:r>
              <w:rPr>
                <w:rFonts w:hint="eastAsia"/>
                <w:lang w:val="en-US" w:eastAsia="zh-CN"/>
              </w:rPr>
              <w:t>根据相关章节分析，</w:t>
            </w:r>
            <w:r>
              <w:rPr>
                <w:rFonts w:hint="eastAsia"/>
              </w:rPr>
              <w:t>项目采取了废气、废水、</w:t>
            </w:r>
            <w:r>
              <w:rPr>
                <w:rFonts w:hint="eastAsia"/>
                <w:lang w:val="en-US" w:eastAsia="zh-CN"/>
              </w:rPr>
              <w:t>废土石</w:t>
            </w:r>
            <w:r>
              <w:rPr>
                <w:rFonts w:hint="eastAsia"/>
              </w:rPr>
              <w:t>污染土壤的环境保护措施，符合国家相关标准</w:t>
            </w:r>
            <w:r>
              <w:rPr>
                <w:rFonts w:hint="eastAsia"/>
                <w:lang w:eastAsia="zh-CN"/>
              </w:rPr>
              <w:t>。</w:t>
            </w:r>
          </w:p>
        </w:tc>
        <w:tc>
          <w:tcPr>
            <w:tcW w:w="721" w:type="dxa"/>
            <w:vAlign w:val="center"/>
          </w:tcPr>
          <w:p w14:paraId="56B51718">
            <w:pPr>
              <w:pStyle w:val="43"/>
              <w:bidi w:val="0"/>
              <w:rPr>
                <w:rFonts w:hint="eastAsia"/>
                <w:lang w:val="en-US" w:eastAsia="zh-CN"/>
              </w:rPr>
            </w:pPr>
            <w:r>
              <w:rPr>
                <w:rFonts w:hint="eastAsia"/>
                <w:lang w:val="en-US" w:eastAsia="zh-CN"/>
              </w:rPr>
              <w:t>符合</w:t>
            </w:r>
          </w:p>
        </w:tc>
      </w:tr>
    </w:tbl>
    <w:p w14:paraId="7F70244A">
      <w:pPr>
        <w:pStyle w:val="41"/>
        <w:bidi w:val="0"/>
      </w:pPr>
      <w:r>
        <w:rPr>
          <w:rFonts w:hint="eastAsia"/>
        </w:rPr>
        <w:t>经上分析，项目建设符合《云南省土壤污染防治条例》的相关要求。</w:t>
      </w:r>
    </w:p>
    <w:p w14:paraId="40864C5F">
      <w:pPr>
        <w:pStyle w:val="4"/>
        <w:bidi w:val="0"/>
        <w:rPr>
          <w:rFonts w:hint="default"/>
          <w:lang w:val="en-US" w:eastAsia="zh-CN"/>
        </w:rPr>
      </w:pPr>
      <w:bookmarkStart w:id="545" w:name="_Toc12522"/>
      <w:r>
        <w:rPr>
          <w:rFonts w:hint="eastAsia"/>
          <w:lang w:val="en-US" w:eastAsia="zh-CN"/>
        </w:rPr>
        <w:t>与《云南省固体废物污染环境防治条例》的符合性分析</w:t>
      </w:r>
      <w:bookmarkEnd w:id="545"/>
    </w:p>
    <w:p w14:paraId="6C16591F">
      <w:pPr>
        <w:pStyle w:val="41"/>
        <w:bidi w:val="0"/>
        <w:rPr>
          <w:rFonts w:hint="eastAsia"/>
          <w:lang w:val="en-US" w:eastAsia="zh-CN"/>
        </w:rPr>
      </w:pPr>
      <w:r>
        <w:rPr>
          <w:rFonts w:hint="eastAsia"/>
          <w:lang w:val="en-US" w:eastAsia="zh-CN"/>
        </w:rPr>
        <w:t>《云南省固体废物污染环境防治条例》自2023年3月1日起施行，相关符合性分析如下。</w:t>
      </w:r>
    </w:p>
    <w:p w14:paraId="21A2DFEF">
      <w:pPr>
        <w:pStyle w:val="45"/>
        <w:bidi w:val="0"/>
        <w:rPr>
          <w:rFonts w:hint="default"/>
          <w:lang w:val="en-US" w:eastAsia="zh-CN"/>
        </w:rPr>
      </w:pPr>
      <w:r>
        <w:rPr>
          <w:rFonts w:hint="eastAsia"/>
          <w:lang w:val="en-US" w:eastAsia="zh-CN"/>
        </w:rPr>
        <w:t>表9.3-6  项目与《云南省固体废物污染环境防治条例》的符合性分析</w:t>
      </w:r>
    </w:p>
    <w:tbl>
      <w:tblPr>
        <w:tblStyle w:val="34"/>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544"/>
        <w:gridCol w:w="4284"/>
        <w:gridCol w:w="2892"/>
        <w:gridCol w:w="811"/>
      </w:tblGrid>
      <w:tr w14:paraId="2C577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tblHeader/>
          <w:jc w:val="center"/>
        </w:trPr>
        <w:tc>
          <w:tcPr>
            <w:tcW w:w="544" w:type="dxa"/>
            <w:vAlign w:val="center"/>
          </w:tcPr>
          <w:p w14:paraId="4B564935">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条款</w:t>
            </w:r>
          </w:p>
        </w:tc>
        <w:tc>
          <w:tcPr>
            <w:tcW w:w="4285" w:type="dxa"/>
            <w:vAlign w:val="center"/>
          </w:tcPr>
          <w:p w14:paraId="43C3EA01">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条例要求</w:t>
            </w:r>
          </w:p>
        </w:tc>
        <w:tc>
          <w:tcPr>
            <w:tcW w:w="2892" w:type="dxa"/>
            <w:vAlign w:val="center"/>
          </w:tcPr>
          <w:p w14:paraId="6748A940">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项目情况</w:t>
            </w:r>
          </w:p>
        </w:tc>
        <w:tc>
          <w:tcPr>
            <w:tcW w:w="811" w:type="dxa"/>
            <w:vAlign w:val="center"/>
          </w:tcPr>
          <w:p w14:paraId="00DBF0F5">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符合性</w:t>
            </w:r>
          </w:p>
        </w:tc>
      </w:tr>
      <w:tr w14:paraId="243EE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544" w:type="dxa"/>
            <w:vAlign w:val="center"/>
          </w:tcPr>
          <w:p w14:paraId="37DC9A1B">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第十四条</w:t>
            </w:r>
          </w:p>
        </w:tc>
        <w:tc>
          <w:tcPr>
            <w:tcW w:w="4285" w:type="dxa"/>
            <w:vAlign w:val="center"/>
          </w:tcPr>
          <w:p w14:paraId="777C791C">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产生、收集、贮存、运输、利用、处置固体废物的单位和其他生产经营者，应当采取防扬散、防流 失、防渗漏或者其他防止污染环境的措施，不得擅自倾倒、堆放、丢弃、遗撒固体废物。禁止任何单位或者个人向江河、湖泊、运河、渠道、水库及其最高水位线以下的滩地和岸坡以及法律法规规定的其他地点倾倒、堆放、贮存固体废物。在生态保护红线区域、永久基本农田集中区域和其他需要特别保护的区域内，禁止建设工业固体废物、危险废物集中贮存、利用、处置的设施、场所和生活垃圾填埋场。</w:t>
            </w:r>
          </w:p>
        </w:tc>
        <w:tc>
          <w:tcPr>
            <w:tcW w:w="2892" w:type="dxa"/>
            <w:vAlign w:val="center"/>
          </w:tcPr>
          <w:p w14:paraId="2145E314">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①项目对产生的固体废物采取了防流失、防渗漏及其他防止污染环境的措施。表土存放于表土堆场用于闭矿复垦，危废暂存危废间内。各堆场设置截排水沟及沉砂池，场地雨水排水系统及末端沉淀池，防止地表径流冲刷造成水土流失，危废间按照要求进行重点防渗。②项目表土堆场远离江河设置。③项目不涉及在敏感区域堆放固体废物。</w:t>
            </w:r>
          </w:p>
        </w:tc>
        <w:tc>
          <w:tcPr>
            <w:tcW w:w="811" w:type="dxa"/>
            <w:vAlign w:val="center"/>
          </w:tcPr>
          <w:p w14:paraId="1A261924">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6F034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544" w:type="dxa"/>
            <w:vAlign w:val="center"/>
          </w:tcPr>
          <w:p w14:paraId="4CAA4C72">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第二十四条</w:t>
            </w:r>
          </w:p>
        </w:tc>
        <w:tc>
          <w:tcPr>
            <w:tcW w:w="4285" w:type="dxa"/>
            <w:vAlign w:val="center"/>
          </w:tcPr>
          <w:p w14:paraId="156EC393">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产生工业固体废物的单位应当建立健全工业固体废物产生、收集、贮存、运输、利用、处置全过程的污染环境防治责任制度，按照国家有关规定建立工业固体废物管理台账，如实记录产生工业固体废物的种类、时间、数量、流向、贮存、利用、处置等信息，并采取防治工业固体废物污染环境的措施。工业固体废物管理台账应当保存5年以上。</w:t>
            </w:r>
          </w:p>
        </w:tc>
        <w:tc>
          <w:tcPr>
            <w:tcW w:w="2892" w:type="dxa"/>
            <w:vAlign w:val="center"/>
          </w:tcPr>
          <w:p w14:paraId="1518DF86">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本次评价提出，建设单位应建立固体废物污染防治制度，按照国家有关规定建立工业固体废物管理台账，并采取防治工业固体废物污染环境的措施，台账记录保存5年以上。</w:t>
            </w:r>
          </w:p>
        </w:tc>
        <w:tc>
          <w:tcPr>
            <w:tcW w:w="811" w:type="dxa"/>
            <w:vAlign w:val="center"/>
          </w:tcPr>
          <w:p w14:paraId="3B584CBE">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1B421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544" w:type="dxa"/>
            <w:vAlign w:val="center"/>
          </w:tcPr>
          <w:p w14:paraId="5A72B6FA">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第二十八条</w:t>
            </w:r>
          </w:p>
        </w:tc>
        <w:tc>
          <w:tcPr>
            <w:tcW w:w="4285" w:type="dxa"/>
            <w:vAlign w:val="center"/>
          </w:tcPr>
          <w:p w14:paraId="473B28EF">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矿山企业应当采取科学的开采方法和选矿工艺，减少尾矿、煤矸石、废石等矿业固体废物的产生量和贮存量。鼓励采取先进工艺对尾矿、煤矸石、废石等矿业固体废物进行综合利用。尾矿、煤矸石、废石等矿业固体废物贮存设施停止使用后，矿山企业应当按照国家有关环境保护等规定进行封场，防止造成环境污染和生态破坏。</w:t>
            </w:r>
          </w:p>
        </w:tc>
        <w:tc>
          <w:tcPr>
            <w:tcW w:w="2892" w:type="dxa"/>
            <w:vAlign w:val="center"/>
          </w:tcPr>
          <w:p w14:paraId="5FA149AB">
            <w:pPr>
              <w:pStyle w:val="43"/>
              <w:bidi w:val="0"/>
              <w:rPr>
                <w:rFonts w:hint="eastAsia"/>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①项目开采穿孔爆破露天开采方式，矿石采出率高，减少废土石产生量</w:t>
            </w:r>
            <w:r>
              <w:rPr>
                <w:rFonts w:hint="eastAsia"/>
                <w:color w:val="000000" w:themeColor="text1"/>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项目将结合区域需求情况，可于周边村庄道路铺设、周边区域山体坍塌、滑坡等地质灾害回填利用方面加强论证回用可能性，提高固体废物资源化利用</w:t>
            </w:r>
            <w:r>
              <w:rPr>
                <w:rFonts w:hint="eastAsia"/>
                <w:color w:val="000000" w:themeColor="text1"/>
                <w:highlight w:val="none"/>
                <w:lang w:val="en-US" w:eastAsia="zh-CN"/>
                <w14:textFill>
                  <w14:solidFill>
                    <w14:schemeClr w14:val="tx1"/>
                  </w14:solidFill>
                </w14:textFill>
              </w:rPr>
              <w:t>。③项目服务期满后，将按照国家有关环境保护规定进行封场，防止造成环境污染和生态破坏。</w:t>
            </w:r>
          </w:p>
        </w:tc>
        <w:tc>
          <w:tcPr>
            <w:tcW w:w="811" w:type="dxa"/>
            <w:vAlign w:val="center"/>
          </w:tcPr>
          <w:p w14:paraId="4EA4FF93">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51C8E9A3">
      <w:pPr>
        <w:pStyle w:val="41"/>
        <w:bidi w:val="0"/>
        <w:rPr>
          <w:rFonts w:hint="eastAsia"/>
          <w:lang w:val="en-US" w:eastAsia="zh-CN"/>
        </w:rPr>
      </w:pPr>
      <w:r>
        <w:rPr>
          <w:rFonts w:hint="eastAsia"/>
          <w:lang w:val="en-US" w:eastAsia="zh-CN"/>
        </w:rPr>
        <w:t>经上分析，项目建设符合《云南省固体废物污染环境防治条例》的相关要求。</w:t>
      </w:r>
    </w:p>
    <w:p w14:paraId="144C1C0A">
      <w:pPr>
        <w:pStyle w:val="4"/>
        <w:bidi w:val="0"/>
        <w:rPr>
          <w:rFonts w:hint="default"/>
          <w:lang w:val="en-US" w:eastAsia="zh-CN"/>
        </w:rPr>
      </w:pPr>
      <w:bookmarkStart w:id="546" w:name="_Toc10681"/>
      <w:r>
        <w:rPr>
          <w:rFonts w:hint="eastAsia"/>
          <w:lang w:val="en-US" w:eastAsia="zh-CN"/>
        </w:rPr>
        <w:t>与《云南省地下水管理办法》的符合性分析</w:t>
      </w:r>
      <w:bookmarkEnd w:id="546"/>
    </w:p>
    <w:p w14:paraId="574B477F">
      <w:pPr>
        <w:pStyle w:val="41"/>
        <w:bidi w:val="0"/>
        <w:rPr>
          <w:rFonts w:hint="eastAsia"/>
          <w:color w:val="000000" w:themeColor="text1"/>
          <w:highlight w:val="none"/>
          <w:lang w:val="en-US" w:eastAsia="zh-CN"/>
          <w14:textFill>
            <w14:solidFill>
              <w14:schemeClr w14:val="tx1"/>
            </w14:solidFill>
          </w14:textFill>
        </w:rPr>
      </w:pPr>
      <w:r>
        <w:rPr>
          <w:rFonts w:hint="eastAsia"/>
          <w:lang w:val="en-US" w:eastAsia="zh-CN"/>
        </w:rPr>
        <w:t>《云南省地下水管理办法》自2024年2月1日起施行，项目与相关符合性分析如下。</w:t>
      </w:r>
    </w:p>
    <w:p w14:paraId="16F56D65">
      <w:pPr>
        <w:pStyle w:val="45"/>
        <w:bidi w:val="0"/>
        <w:rPr>
          <w:rFonts w:hint="default"/>
          <w:lang w:val="en-US" w:eastAsia="zh-CN"/>
        </w:rPr>
      </w:pPr>
      <w:r>
        <w:rPr>
          <w:rFonts w:hint="eastAsia"/>
          <w:lang w:val="en-US" w:eastAsia="zh-CN"/>
        </w:rPr>
        <w:t>表9.3.7  项目与《云南省地下水管理办法》的符合性分析</w:t>
      </w:r>
    </w:p>
    <w:tbl>
      <w:tblPr>
        <w:tblStyle w:val="34"/>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28" w:type="dxa"/>
          <w:left w:w="108" w:type="dxa"/>
          <w:bottom w:w="0" w:type="dxa"/>
          <w:right w:w="108" w:type="dxa"/>
        </w:tblCellMar>
      </w:tblPr>
      <w:tblGrid>
        <w:gridCol w:w="436"/>
        <w:gridCol w:w="4272"/>
        <w:gridCol w:w="3074"/>
        <w:gridCol w:w="749"/>
      </w:tblGrid>
      <w:tr w14:paraId="28D12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108" w:type="dxa"/>
            <w:bottom w:w="0" w:type="dxa"/>
            <w:right w:w="108" w:type="dxa"/>
          </w:tblCellMar>
        </w:tblPrEx>
        <w:trPr>
          <w:trHeight w:val="23" w:hRule="atLeast"/>
          <w:tblHeader/>
          <w:jc w:val="center"/>
        </w:trPr>
        <w:tc>
          <w:tcPr>
            <w:tcW w:w="436" w:type="dxa"/>
            <w:vAlign w:val="center"/>
          </w:tcPr>
          <w:p w14:paraId="749C7EC4">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条款</w:t>
            </w:r>
          </w:p>
        </w:tc>
        <w:tc>
          <w:tcPr>
            <w:tcW w:w="4272" w:type="dxa"/>
            <w:vAlign w:val="center"/>
          </w:tcPr>
          <w:p w14:paraId="27062D9F">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地管理办法要求</w:t>
            </w:r>
          </w:p>
        </w:tc>
        <w:tc>
          <w:tcPr>
            <w:tcW w:w="3074" w:type="dxa"/>
            <w:vAlign w:val="center"/>
          </w:tcPr>
          <w:p w14:paraId="3A9DEE42">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项目情况</w:t>
            </w:r>
          </w:p>
        </w:tc>
        <w:tc>
          <w:tcPr>
            <w:tcW w:w="749" w:type="dxa"/>
            <w:vAlign w:val="center"/>
          </w:tcPr>
          <w:p w14:paraId="3B8B2227">
            <w:pPr>
              <w:pStyle w:val="43"/>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符合性</w:t>
            </w:r>
          </w:p>
        </w:tc>
      </w:tr>
      <w:tr w14:paraId="44EE6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108" w:type="dxa"/>
            <w:bottom w:w="0" w:type="dxa"/>
            <w:right w:w="108" w:type="dxa"/>
          </w:tblCellMar>
        </w:tblPrEx>
        <w:trPr>
          <w:trHeight w:val="23" w:hRule="atLeast"/>
          <w:jc w:val="center"/>
        </w:trPr>
        <w:tc>
          <w:tcPr>
            <w:tcW w:w="436" w:type="dxa"/>
            <w:vAlign w:val="center"/>
          </w:tcPr>
          <w:p w14:paraId="06DDAE55">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第三十一条</w:t>
            </w:r>
          </w:p>
        </w:tc>
        <w:tc>
          <w:tcPr>
            <w:tcW w:w="4272" w:type="dxa"/>
            <w:vAlign w:val="center"/>
          </w:tcPr>
          <w:p w14:paraId="48BE53F6">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企业事业单位和其他生产经营者应当采取下列措施，防止地下水污染：（一）兴建地下工程设施或者进行地下勘探、采矿等活动，依法编制的环境影响评价文件中，应当包括地下水污染防治的内容，并采取防护性措施；（二）化学品生产企业以及工业集聚区、矿山开采区、尾矿库、危险废物处置场、垃圾填埋场等的运营、管理单位，应当采取防渗漏等措施，建设地下水水质监测井，按照有关标准和技术规范进行监测；（三）加油站等的地下油罐应当使用双层罐或者采取建造防渗池等其他有效措施，并按照有关标准和技术规范进行防渗漏监测；（四）存放可溶性剧毒废渣的场所，应当采取防水、防渗漏、防流失的措施。根据前款第二项规定的企业事业单位和其他生产经营者排放有毒有害物质情况，州（市）人民政府生态环境主管部门应当按照国务院生态环境主管部门的规定，商有关部门确定并公布本行政区域内地下水污染防治重点排污单位名录。地下水污染防治重点排污单位应当依法安装水污染物排放自动监测设备，与生态环境主管部门的监控设备联网，并保证监测设备正常运行。</w:t>
            </w:r>
          </w:p>
        </w:tc>
        <w:tc>
          <w:tcPr>
            <w:tcW w:w="3074" w:type="dxa"/>
            <w:vAlign w:val="center"/>
          </w:tcPr>
          <w:p w14:paraId="265EE68E">
            <w:pPr>
              <w:pStyle w:val="43"/>
              <w:keepNext/>
              <w:pageBreakBefore w:val="0"/>
              <w:widowControl w:val="0"/>
              <w:kinsoku/>
              <w:overflowPunct/>
              <w:topLinePunct w:val="0"/>
              <w:bidi w:val="0"/>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①项目的开采方式为露天开采。本次评价地下水影响分析章节已提出各类废水构筑物的源头防控措施，危废的暂存要求，并按照不同分区提出分区防渗技术要求。</w:t>
            </w:r>
          </w:p>
          <w:p w14:paraId="2DDEB764">
            <w:pPr>
              <w:pStyle w:val="43"/>
              <w:keepNext/>
              <w:pageBreakBefore w:val="0"/>
              <w:widowControl w:val="0"/>
              <w:kinsoku/>
              <w:overflowPunct/>
              <w:topLinePunct w:val="0"/>
              <w:bidi w:val="0"/>
              <w:rPr>
                <w:rFonts w:hint="eastAsia"/>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②</w:t>
            </w:r>
            <w:r>
              <w:rPr>
                <w:rFonts w:hint="eastAsia" w:ascii="Times New Roman" w:hAnsi="Times New Roman" w:eastAsia="宋体" w:cs="Times New Roman"/>
                <w:color w:val="000000" w:themeColor="text1"/>
                <w:kern w:val="2"/>
                <w:szCs w:val="21"/>
                <w:highlight w:val="none"/>
                <w:lang w:val="en-US" w:eastAsia="zh-CN"/>
                <w14:textFill>
                  <w14:solidFill>
                    <w14:schemeClr w14:val="tx1"/>
                  </w14:solidFill>
                </w14:textFill>
              </w:rPr>
              <w:t>按照</w:t>
            </w:r>
            <w:r>
              <w:rPr>
                <w:rFonts w:hint="eastAsia"/>
                <w:color w:val="000000" w:themeColor="text1"/>
                <w:highlight w:val="none"/>
                <w:lang w:val="en-US" w:eastAsia="zh-CN"/>
                <w14:textFill>
                  <w14:solidFill>
                    <w14:schemeClr w14:val="tx1"/>
                  </w14:solidFill>
                </w14:textFill>
              </w:rPr>
              <w:t>HJ 610-2016，本次不用设置地下水跟踪监测井，在地下水环境保护措施中，评价已提出若发现地下水污染事故应采取应急处置措施，</w:t>
            </w:r>
            <w:r>
              <w:rPr>
                <w:rFonts w:hint="default" w:ascii="Times New Roman" w:hAnsi="Times New Roman" w:cs="Times New Roman"/>
                <w:color w:val="000000" w:themeColor="text1"/>
                <w:highlight w:val="none"/>
                <w:lang w:val="en-US" w:eastAsia="zh-CN"/>
                <w14:textFill>
                  <w14:solidFill>
                    <w14:schemeClr w14:val="tx1"/>
                  </w14:solidFill>
                </w14:textFill>
              </w:rPr>
              <w:t>若有必要，</w:t>
            </w:r>
            <w:r>
              <w:rPr>
                <w:rFonts w:hint="default" w:ascii="Times New Roman" w:hAnsi="Times New Roman" w:cs="Times New Roman"/>
                <w:color w:val="000000" w:themeColor="text1"/>
                <w:highlight w:val="none"/>
                <w14:textFill>
                  <w14:solidFill>
                    <w14:schemeClr w14:val="tx1"/>
                  </w14:solidFill>
                </w14:textFill>
              </w:rPr>
              <w:t>对项目区地下水进行监测，确定水质是否受到影响</w:t>
            </w:r>
            <w:r>
              <w:rPr>
                <w:rFonts w:hint="eastAsia"/>
                <w:color w:val="000000" w:themeColor="text1"/>
                <w:highlight w:val="none"/>
                <w:lang w:val="en-US" w:eastAsia="zh-CN"/>
                <w14:textFill>
                  <w14:solidFill>
                    <w14:schemeClr w14:val="tx1"/>
                  </w14:solidFill>
                </w14:textFill>
              </w:rPr>
              <w:t>。</w:t>
            </w:r>
          </w:p>
          <w:p w14:paraId="411F6556">
            <w:pPr>
              <w:pStyle w:val="43"/>
              <w:keepNext/>
              <w:pageBreakBefore w:val="0"/>
              <w:widowControl w:val="0"/>
              <w:kinsoku/>
              <w:overflowPunct/>
              <w:topLinePunct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③项目不属于加油站类项目。</w:t>
            </w:r>
          </w:p>
          <w:p w14:paraId="352DF308">
            <w:pPr>
              <w:pStyle w:val="43"/>
              <w:keepNext/>
              <w:pageBreakBefore w:val="0"/>
              <w:widowControl w:val="0"/>
              <w:kinsoku/>
              <w:overflowPunct/>
              <w:topLinePunct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④项目不涉及</w:t>
            </w:r>
            <w:r>
              <w:rPr>
                <w:rFonts w:hint="eastAsia"/>
                <w:color w:val="000000" w:themeColor="text1"/>
                <w:highlight w:val="none"/>
                <w:lang w:val="zh-CN" w:eastAsia="zh-CN"/>
                <w14:textFill>
                  <w14:solidFill>
                    <w14:schemeClr w14:val="tx1"/>
                  </w14:solidFill>
                </w14:textFill>
              </w:rPr>
              <w:t>可溶性剧毒废渣</w:t>
            </w:r>
            <w:r>
              <w:rPr>
                <w:rFonts w:hint="eastAsia"/>
                <w:color w:val="000000" w:themeColor="text1"/>
                <w:highlight w:val="none"/>
                <w:lang w:val="en-US" w:eastAsia="zh-CN"/>
                <w14:textFill>
                  <w14:solidFill>
                    <w14:schemeClr w14:val="tx1"/>
                  </w14:solidFill>
                </w14:textFill>
              </w:rPr>
              <w:t>及其存放场所。</w:t>
            </w:r>
          </w:p>
          <w:p w14:paraId="05533DB5">
            <w:pPr>
              <w:pStyle w:val="43"/>
              <w:keepNext/>
              <w:pageBreakBefore w:val="0"/>
              <w:widowControl w:val="0"/>
              <w:kinsoku/>
              <w:overflowPunct/>
              <w:topLinePunct w:val="0"/>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⑤已按照法律法规以及相关技术规范提出防止地下水污染的措施。</w:t>
            </w:r>
          </w:p>
          <w:p w14:paraId="52F2B018">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⑥项目不涉及有毒有害物质，不属于重点排污单位名录。</w:t>
            </w:r>
          </w:p>
        </w:tc>
        <w:tc>
          <w:tcPr>
            <w:tcW w:w="749" w:type="dxa"/>
            <w:vAlign w:val="center"/>
          </w:tcPr>
          <w:p w14:paraId="53747755">
            <w:pPr>
              <w:pStyle w:val="43"/>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1ABD1BA0">
      <w:pPr>
        <w:pStyle w:val="41"/>
        <w:bidi w:val="0"/>
        <w:rPr>
          <w:rFonts w:hint="eastAsia"/>
          <w:lang w:val="en-US" w:eastAsia="zh-CN"/>
        </w:rPr>
      </w:pPr>
      <w:r>
        <w:rPr>
          <w:rFonts w:hint="eastAsia"/>
          <w:lang w:val="en-US" w:eastAsia="zh-CN"/>
        </w:rPr>
        <w:t>经上述分析，项目建设符合《云南省地下水管理办法》的相关要求。</w:t>
      </w:r>
    </w:p>
    <w:p w14:paraId="77D27D9A">
      <w:pPr>
        <w:pStyle w:val="3"/>
        <w:keepNext/>
        <w:pageBreakBefore w:val="0"/>
        <w:kinsoku/>
        <w:overflowPunct/>
        <w:topLinePunct w:val="0"/>
        <w:bidi w:val="0"/>
        <w:rPr>
          <w:rFonts w:hint="default"/>
          <w:color w:val="000000" w:themeColor="text1"/>
          <w:highlight w:val="none"/>
          <w:lang w:val="en-US"/>
          <w14:textFill>
            <w14:solidFill>
              <w14:schemeClr w14:val="tx1"/>
            </w14:solidFill>
          </w14:textFill>
        </w:rPr>
      </w:pPr>
      <w:bookmarkStart w:id="547" w:name="_Toc27048"/>
      <w:bookmarkStart w:id="548" w:name="_Toc28824"/>
      <w:r>
        <w:rPr>
          <w:rFonts w:hint="eastAsia"/>
          <w:color w:val="000000" w:themeColor="text1"/>
          <w:highlight w:val="none"/>
          <w14:textFill>
            <w14:solidFill>
              <w14:schemeClr w14:val="tx1"/>
            </w14:solidFill>
          </w14:textFill>
        </w:rPr>
        <w:t>与区域</w:t>
      </w:r>
      <w:r>
        <w:rPr>
          <w:rFonts w:hint="eastAsia"/>
          <w:color w:val="000000" w:themeColor="text1"/>
          <w:highlight w:val="none"/>
          <w:lang w:val="en-US" w:eastAsia="zh-CN"/>
          <w14:textFill>
            <w14:solidFill>
              <w14:schemeClr w14:val="tx1"/>
            </w14:solidFill>
          </w14:textFill>
        </w:rPr>
        <w:t>主体功能、生态功能规划及生物多样性保护政策符合性</w:t>
      </w:r>
      <w:bookmarkEnd w:id="547"/>
      <w:r>
        <w:rPr>
          <w:rFonts w:hint="eastAsia"/>
          <w:color w:val="000000" w:themeColor="text1"/>
          <w:highlight w:val="none"/>
          <w:lang w:val="en-US" w:eastAsia="zh-CN"/>
          <w14:textFill>
            <w14:solidFill>
              <w14:schemeClr w14:val="tx1"/>
            </w14:solidFill>
          </w14:textFill>
        </w:rPr>
        <w:t>分析</w:t>
      </w:r>
      <w:bookmarkEnd w:id="548"/>
    </w:p>
    <w:p w14:paraId="059FFDD2">
      <w:pPr>
        <w:pStyle w:val="4"/>
        <w:bidi w:val="0"/>
        <w:rPr>
          <w:rFonts w:hint="default"/>
          <w:lang w:val="en-US" w:eastAsia="zh-CN"/>
        </w:rPr>
      </w:pPr>
      <w:bookmarkStart w:id="549" w:name="_Toc31059"/>
      <w:bookmarkStart w:id="550" w:name="_Toc25035"/>
      <w:r>
        <w:rPr>
          <w:rFonts w:hint="eastAsia"/>
          <w:lang w:val="en-US" w:eastAsia="zh-CN"/>
        </w:rPr>
        <w:t>与《云南省主体功能区规划》的符合性分析</w:t>
      </w:r>
      <w:bookmarkEnd w:id="549"/>
      <w:bookmarkEnd w:id="550"/>
    </w:p>
    <w:p w14:paraId="033362F8">
      <w:pPr>
        <w:pStyle w:val="41"/>
        <w:bidi w:val="0"/>
      </w:pPr>
      <w:r>
        <w:t>根据《云南省主体功能区规划》，云南省国土空间按照开发方式分为重点开发区域、限制开发区域、禁止开发区域3类主体功能区。其中重点开发区域主要分为国家重点开发区域和省级重点开发区域；限制开发区域主要分为农产品主产区、国家重点生态功能区和省级重点生态功能区；禁止开发区域主要包括国家禁止开发区域和省级禁止开发区域。</w:t>
      </w:r>
    </w:p>
    <w:p w14:paraId="024B93C9">
      <w:pPr>
        <w:pStyle w:val="41"/>
        <w:bidi w:val="0"/>
      </w:pPr>
      <w:r>
        <w:t>根据《云南省主体功能区规划》中重点开发区域名录及分布图，项目所在区域砚山县属于规划中的省级层面集中连片重点开发区域，省级层面集中连片重点开发区域是指除国家层面重点开发区域外，对支撑全省经济持续增长和促进全省区域协调发展意义重大，并具有中心城市和一定区域辐射功能的相对连片城市化地区。分布在滇西地区、滇西北地区、滇西南地区、滇东南地区和滇东北地区，共涉及16个县市区。</w:t>
      </w:r>
    </w:p>
    <w:p w14:paraId="0DB03D59">
      <w:pPr>
        <w:pStyle w:val="41"/>
        <w:bidi w:val="0"/>
      </w:pPr>
      <w:r>
        <w:t>同时，根据《云南省国土空间规划（2021—2035年）》，落实国家战略部署，发挥地区比较优势，立足资源禀赋和经济社会发展实际，依据资源环境承载能力和国土空间开发适宜性评价、“三区三线”划定等成果，优化形成“3＋5”主体功能分区布局。“3”为以县（市、区）为单元划分农产品主产区、重点生态功能区和城市化地区。在3类主体功能区的基础上，叠加确定重点小城镇、自然景观保护功能区、边境地区、历史文化资源富集区、能源资源富集区等5个其他功能区。</w:t>
      </w:r>
    </w:p>
    <w:p w14:paraId="382A973E">
      <w:pPr>
        <w:pStyle w:val="41"/>
        <w:bidi w:val="0"/>
        <w:rPr>
          <w:rFonts w:ascii="Arial"/>
          <w:sz w:val="21"/>
        </w:rPr>
      </w:pPr>
      <w:r>
        <w:t>项目区位于砚山县，属于省级城市化地区，本项目属于</w:t>
      </w:r>
      <w:r>
        <w:rPr>
          <w:rFonts w:hint="eastAsia"/>
          <w:lang w:val="en-US" w:eastAsia="zh-CN"/>
        </w:rPr>
        <w:t>土砂石开采及加工</w:t>
      </w:r>
      <w:r>
        <w:t>项目，项目的建设可以提升区域资源的产业化发展，加快经济发展，促进砚山县的经济发展。因此，本项目与《云南省主体功能区规划》相符。</w:t>
      </w:r>
    </w:p>
    <w:p w14:paraId="6E82E264">
      <w:pPr>
        <w:pStyle w:val="4"/>
        <w:bidi w:val="0"/>
        <w:rPr>
          <w:rFonts w:hint="default"/>
          <w:lang w:val="en-US" w:eastAsia="zh-CN"/>
        </w:rPr>
      </w:pPr>
      <w:bookmarkStart w:id="551" w:name="_Toc28593"/>
      <w:r>
        <w:rPr>
          <w:rFonts w:hint="default"/>
          <w:lang w:val="en-US" w:eastAsia="zh-CN"/>
        </w:rPr>
        <w:t>与</w:t>
      </w:r>
      <w:r>
        <w:rPr>
          <w:rFonts w:hint="eastAsia"/>
          <w:lang w:val="en-US" w:eastAsia="zh-CN"/>
        </w:rPr>
        <w:t>《</w:t>
      </w:r>
      <w:r>
        <w:rPr>
          <w:rFonts w:hint="default"/>
          <w:lang w:val="en-US" w:eastAsia="zh-CN"/>
        </w:rPr>
        <w:t>云南省生态功能区划</w:t>
      </w:r>
      <w:r>
        <w:rPr>
          <w:rFonts w:hint="eastAsia"/>
          <w:lang w:val="en-US" w:eastAsia="zh-CN"/>
        </w:rPr>
        <w:t>》</w:t>
      </w:r>
      <w:r>
        <w:rPr>
          <w:rFonts w:hint="default"/>
          <w:lang w:val="en-US" w:eastAsia="zh-CN"/>
        </w:rPr>
        <w:t>的符合性</w:t>
      </w:r>
      <w:r>
        <w:rPr>
          <w:rFonts w:hint="eastAsia"/>
          <w:lang w:val="en-US" w:eastAsia="zh-CN"/>
        </w:rPr>
        <w:t>分析</w:t>
      </w:r>
      <w:bookmarkEnd w:id="551"/>
    </w:p>
    <w:p w14:paraId="6DFE287A">
      <w:pPr>
        <w:pStyle w:val="41"/>
        <w:bidi w:val="0"/>
      </w:pPr>
      <w:r>
        <w:t>根据《云南省生态功能区划》，云南省生态功能区共分一级区（生态区）5个，二级区（生态亚区）19个，三级区（生态功能区）65个。</w:t>
      </w:r>
    </w:p>
    <w:p w14:paraId="3CF440BD">
      <w:pPr>
        <w:pStyle w:val="41"/>
        <w:bidi w:val="0"/>
      </w:pPr>
      <w:r>
        <w:t>通过对比《云南省生态功能区划》，本项目所在地生态区属于Ⅲ1滇中高原谷盆半湿润常绿阔叶林、暖性针叶林生态亚区、Ⅲ1-15邱北、砚山岩溶盆地水土保持生态功能区。该功能区包括丘北、砚山县大部分地区，广南县西南部等区域，面积6840.63平方公里。</w:t>
      </w:r>
      <w:r>
        <w:rPr>
          <w:rFonts w:hint="eastAsia"/>
          <w:lang w:eastAsia="zh-CN"/>
        </w:rPr>
        <w:t>生态特征以岩溶盆地地貌为主</w:t>
      </w:r>
      <w:r>
        <w:t>，石灰岩大量出露。年降雨量900-1000毫米，现存植被主要是云南松林。土壤以红壤、石灰土和水稻土为主。主要生态环境问题的土地利用过度带来的石漠化，生态环境敏感性为石漠化高度敏感，主要生态系统服务功能是石漠化地区的生态恢复和治理。根据本区的自然环境特征和主要生态服务功能，保护措施与发展方向是加强石漠化的生物治理和工程治理，调整产业结构，防止土地的进一步退化。</w:t>
      </w:r>
    </w:p>
    <w:p w14:paraId="060BC374">
      <w:pPr>
        <w:pStyle w:val="41"/>
        <w:bidi w:val="0"/>
        <w:rPr>
          <w:rFonts w:hint="eastAsia"/>
          <w:lang w:val="en-US" w:eastAsia="zh-CN"/>
        </w:rPr>
      </w:pPr>
      <w:r>
        <w:rPr>
          <w:rFonts w:hint="default"/>
          <w:lang w:val="en-US" w:eastAsia="zh-CN"/>
        </w:rPr>
        <w:t>本项目位于</w:t>
      </w:r>
      <w:r>
        <w:rPr>
          <w:rFonts w:hint="eastAsia"/>
          <w:lang w:val="en-US" w:eastAsia="zh-CN"/>
        </w:rPr>
        <w:t>云南省文山州砚山县江那镇铳卡石门坎</w:t>
      </w:r>
      <w:r>
        <w:rPr>
          <w:rFonts w:hint="default"/>
          <w:lang w:val="en-US" w:eastAsia="zh-CN"/>
        </w:rPr>
        <w:t>，根据相关部门查询资料，项目不占用基本农田，不涉及生态红线。建设单位已委托有资质单位编制《矿山地质环境保护与土地复垦方案》编制，后续将按照相关要求，进行水土保持和土地复垦，闭矿后将对整个矿区进行生态修复，可降低项目建设造成的水土流失以及生态环境的影响。因此，项目符合《云南省生态功能区划》。</w:t>
      </w:r>
    </w:p>
    <w:p w14:paraId="63593E22">
      <w:pPr>
        <w:pStyle w:val="4"/>
        <w:bidi w:val="0"/>
        <w:rPr>
          <w:rFonts w:hint="default"/>
          <w:lang w:val="en-US" w:eastAsia="zh-CN"/>
        </w:rPr>
      </w:pPr>
      <w:bookmarkStart w:id="552" w:name="_Toc18607"/>
      <w:bookmarkStart w:id="553" w:name="_Toc3563"/>
      <w:r>
        <w:rPr>
          <w:rFonts w:hint="eastAsia"/>
          <w:lang w:val="en-US" w:eastAsia="zh-CN"/>
        </w:rPr>
        <w:t>与《云南省生物多样性保护战略与行动计划（2024-2030年）》符合性分析</w:t>
      </w:r>
      <w:bookmarkEnd w:id="552"/>
      <w:bookmarkEnd w:id="553"/>
    </w:p>
    <w:p w14:paraId="02961DEC">
      <w:pPr>
        <w:pStyle w:val="41"/>
        <w:bidi w:val="0"/>
      </w:pPr>
      <w:r>
        <w:t>《云南省生物多样性保护战略与行动计划（2024-2030年）》明确全省新时期生物多样性保护战略定位、战略目标、战略任务、优先领域和优先行动，为各部门各地区推进生物多样性保护提供指引。项目与行动计划的相符性分析</w:t>
      </w:r>
      <w:r>
        <w:rPr>
          <w:rFonts w:hint="eastAsia"/>
          <w:lang w:val="en-US" w:eastAsia="zh-CN"/>
        </w:rPr>
        <w:t>如下</w:t>
      </w:r>
      <w:r>
        <w:t>。</w:t>
      </w:r>
    </w:p>
    <w:p w14:paraId="06EBB187">
      <w:pPr>
        <w:pStyle w:val="45"/>
        <w:bidi w:val="0"/>
      </w:pPr>
      <w:r>
        <w:t>表</w:t>
      </w:r>
      <w:r>
        <w:rPr>
          <w:rFonts w:hint="eastAsia"/>
          <w:lang w:val="en-US" w:eastAsia="zh-CN"/>
        </w:rPr>
        <w:t>9</w:t>
      </w:r>
      <w:r>
        <w:rPr>
          <w:rFonts w:hint="eastAsia"/>
          <w:lang w:eastAsia="zh-CN"/>
        </w:rPr>
        <w:t>.4</w:t>
      </w:r>
      <w:r>
        <w:t>-</w:t>
      </w:r>
      <w:r>
        <w:rPr>
          <w:rFonts w:hint="eastAsia"/>
          <w:lang w:val="en-US" w:eastAsia="zh-CN"/>
        </w:rPr>
        <w:t>1</w:t>
      </w:r>
      <w:r>
        <w:t xml:space="preserve">  </w:t>
      </w:r>
      <w:r>
        <w:rPr>
          <w:rFonts w:hint="eastAsia"/>
          <w:lang w:val="en-US" w:eastAsia="zh-CN"/>
        </w:rPr>
        <w:t>项目</w:t>
      </w:r>
      <w:r>
        <w:t>与《云南省生物多样性保护战略与行动计划》的符合性分析</w:t>
      </w:r>
    </w:p>
    <w:tbl>
      <w:tblPr>
        <w:tblStyle w:val="34"/>
        <w:tblW w:w="500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27"/>
        <w:gridCol w:w="3312"/>
        <w:gridCol w:w="1100"/>
      </w:tblGrid>
      <w:tr w14:paraId="48F0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blHeader/>
          <w:jc w:val="center"/>
        </w:trPr>
        <w:tc>
          <w:tcPr>
            <w:tcW w:w="4127" w:type="dxa"/>
            <w:vAlign w:val="center"/>
          </w:tcPr>
          <w:p w14:paraId="2956DDE4">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《云南省生物多样性保护战略与行动计划（2024-2030年）》内容</w:t>
            </w:r>
          </w:p>
        </w:tc>
        <w:tc>
          <w:tcPr>
            <w:tcW w:w="3312" w:type="dxa"/>
            <w:vAlign w:val="center"/>
          </w:tcPr>
          <w:p w14:paraId="585F05C5">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本项目情况</w:t>
            </w:r>
          </w:p>
        </w:tc>
        <w:tc>
          <w:tcPr>
            <w:tcW w:w="1100" w:type="dxa"/>
            <w:vAlign w:val="center"/>
          </w:tcPr>
          <w:p w14:paraId="0099E06B">
            <w:pPr>
              <w:pStyle w:val="43"/>
              <w:bidi w:val="0"/>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相符性</w:t>
            </w:r>
          </w:p>
        </w:tc>
      </w:tr>
      <w:tr w14:paraId="0C99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27" w:type="dxa"/>
            <w:vAlign w:val="center"/>
          </w:tcPr>
          <w:p w14:paraId="5F6C3C47">
            <w:pPr>
              <w:pStyle w:val="43"/>
              <w:bidi w:val="0"/>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基本原则：</w:t>
            </w:r>
          </w:p>
          <w:p w14:paraId="4B23CD2E">
            <w:pPr>
              <w:pStyle w:val="43"/>
              <w:bidi w:val="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尊重自然、保护优先。牢固树立尊重自然、顺应自然、保护自然的生态文明理念，坚持保护优先，综合运用自然恢复和人工修复两种手段，因地因时制宜、分区分类施策，对重要生态系统、生物物种及遗传资源实施有效保护，保障生物安全和生态安全。</w:t>
            </w:r>
          </w:p>
        </w:tc>
        <w:tc>
          <w:tcPr>
            <w:tcW w:w="3312" w:type="dxa"/>
            <w:vAlign w:val="center"/>
          </w:tcPr>
          <w:p w14:paraId="79A0A4BF">
            <w:pPr>
              <w:pStyle w:val="43"/>
              <w:bidi w:val="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通过评价提出的生态环境保护措施，对影响区生态系统、生活物种及生物多样性得到有效保护，项目对生态环境影响可接受，</w:t>
            </w:r>
            <w:r>
              <w:rPr>
                <w:color w:val="000000" w:themeColor="text1"/>
                <w:highlight w:val="none"/>
                <w14:textFill>
                  <w14:solidFill>
                    <w14:schemeClr w14:val="tx1"/>
                  </w14:solidFill>
                </w14:textFill>
              </w:rPr>
              <w:t>保障生物安全和生态安全。</w:t>
            </w:r>
          </w:p>
        </w:tc>
        <w:tc>
          <w:tcPr>
            <w:tcW w:w="1100" w:type="dxa"/>
            <w:vAlign w:val="center"/>
          </w:tcPr>
          <w:p w14:paraId="2F81D4A6">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3B15C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27" w:type="dxa"/>
            <w:vAlign w:val="center"/>
          </w:tcPr>
          <w:p w14:paraId="05635D12">
            <w:pPr>
              <w:pStyle w:val="43"/>
              <w:bidi w:val="0"/>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战略任务：</w:t>
            </w:r>
          </w:p>
          <w:p w14:paraId="4E7C3106">
            <w:pPr>
              <w:pStyle w:val="43"/>
              <w:bidi w:val="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——完善生物多样性保护空间网络。科学构建国土空间开发保护新格局，严格生态空间管理，严守生态保护红线。</w:t>
            </w:r>
          </w:p>
          <w:p w14:paraId="5966F628">
            <w:pPr>
              <w:pStyle w:val="43"/>
              <w:bidi w:val="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——强化生物安全管理与风险防控。提高生物生态安全风险防范能力。强化外来入侵物种与有害生物防控治理，加强生物技术环境安全监管。</w:t>
            </w:r>
          </w:p>
        </w:tc>
        <w:tc>
          <w:tcPr>
            <w:tcW w:w="3312" w:type="dxa"/>
            <w:vAlign w:val="center"/>
          </w:tcPr>
          <w:p w14:paraId="2FC3531B">
            <w:pPr>
              <w:pStyle w:val="43"/>
              <w:bidi w:val="0"/>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项目占地不占用生态保护红线，仅生态影响范围内涵盖部分红线，根据项目实施对生态保护红线的影响评价结果，对外围生态保护红线产生的影响较小，在可以接受的范围内。</w:t>
            </w:r>
            <w:r>
              <w:rPr>
                <w:color w:val="000000" w:themeColor="text1"/>
                <w:highlight w:val="none"/>
                <w14:textFill>
                  <w14:solidFill>
                    <w14:schemeClr w14:val="tx1"/>
                  </w14:solidFill>
                </w14:textFill>
              </w:rPr>
              <w:t>本项目植被恢复严禁引入外来物种，不引入外来动物。</w:t>
            </w:r>
          </w:p>
        </w:tc>
        <w:tc>
          <w:tcPr>
            <w:tcW w:w="1100" w:type="dxa"/>
            <w:vAlign w:val="center"/>
          </w:tcPr>
          <w:p w14:paraId="4FBA775A">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32E4A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27" w:type="dxa"/>
            <w:vAlign w:val="center"/>
          </w:tcPr>
          <w:p w14:paraId="6F11E09E">
            <w:pPr>
              <w:pStyle w:val="43"/>
              <w:bidi w:val="0"/>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加强生态空间管控：</w:t>
            </w:r>
          </w:p>
          <w:p w14:paraId="52D9C95D">
            <w:pPr>
              <w:pStyle w:val="43"/>
              <w:bidi w:val="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有序推动生态保护红线勘界定标，推进生态保护红线监管平台建设，加强人为活动管理管控，强化生态环境监督，确保生态保护红线生态功能不降低、面积不减少、性质不改变。优化生物多样性保护优先区域，强化区内大中型建设工程项目及矿产、能源、旅游等自然资源开发项目生物多样性影响评价，并加强事中事后生物多样性影响监测评估。</w:t>
            </w:r>
          </w:p>
        </w:tc>
        <w:tc>
          <w:tcPr>
            <w:tcW w:w="3312" w:type="dxa"/>
            <w:vAlign w:val="center"/>
          </w:tcPr>
          <w:p w14:paraId="29BA10D7">
            <w:pPr>
              <w:pStyle w:val="43"/>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占地不占用生态保护红线，本次评价已开展生物多样性评价，经分析，项目实施对植被多样性、植物多样性、动物多样性的影响均较小，均在可接受的范围内，项目实施期间，在采取相应的措施后外来物种入侵及有害生物入侵风险可控。生态影响章节已根据现状调查评价与影响分析提出生态监测要求。</w:t>
            </w:r>
          </w:p>
        </w:tc>
        <w:tc>
          <w:tcPr>
            <w:tcW w:w="1100" w:type="dxa"/>
            <w:vAlign w:val="center"/>
          </w:tcPr>
          <w:p w14:paraId="787F1B7D">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r w14:paraId="23C2F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4127" w:type="dxa"/>
            <w:vAlign w:val="center"/>
          </w:tcPr>
          <w:p w14:paraId="4712C6D9">
            <w:pPr>
              <w:pStyle w:val="43"/>
              <w:bidi w:val="0"/>
              <w:jc w:val="left"/>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修复重要生态系统：</w:t>
            </w:r>
          </w:p>
          <w:p w14:paraId="21EDE329">
            <w:pPr>
              <w:pStyle w:val="43"/>
              <w:bidi w:val="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加快推进三江并流区，金沙江干热河谷区，滇中高原湖泊，滇西北、横断山南缘和滇西南生物多样性保护区，以及滇东南、滇东北和滇中石漠化区重要生态系统保护修复。科学开展大规模国土绿化行动，重点绿化迹地、荒滩、荒废和受损山体、退化林地草地等，推进绿美云南建设。加强天然林和公益林管护，开展森林可持续经营，精准提升森林质量。</w:t>
            </w:r>
          </w:p>
        </w:tc>
        <w:tc>
          <w:tcPr>
            <w:tcW w:w="3312" w:type="dxa"/>
            <w:vAlign w:val="center"/>
          </w:tcPr>
          <w:p w14:paraId="6AA5AFF8">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项目不涉及三江并流、金沙江干热河谷等重要生态系统、生物多样性保护区，项目施工完成后，</w:t>
            </w:r>
            <w:r>
              <w:rPr>
                <w:rFonts w:hint="eastAsia"/>
                <w:color w:val="000000" w:themeColor="text1"/>
                <w:highlight w:val="none"/>
                <w:lang w:val="en-US" w:eastAsia="zh-CN"/>
                <w14:textFill>
                  <w14:solidFill>
                    <w14:schemeClr w14:val="tx1"/>
                  </w14:solidFill>
                </w14:textFill>
              </w:rPr>
              <w:t>将按要求进行复垦及植被恢复</w:t>
            </w:r>
            <w:r>
              <w:rPr>
                <w:color w:val="000000" w:themeColor="text1"/>
                <w:highlight w:val="none"/>
                <w14:textFill>
                  <w14:solidFill>
                    <w14:schemeClr w14:val="tx1"/>
                  </w14:solidFill>
                </w14:textFill>
              </w:rPr>
              <w:t>，保护当地生态系统。</w:t>
            </w:r>
            <w:r>
              <w:rPr>
                <w:rFonts w:hint="eastAsia"/>
                <w:color w:val="000000" w:themeColor="text1"/>
                <w:highlight w:val="none"/>
                <w:lang w:val="en-US" w:eastAsia="zh-CN"/>
                <w14:textFill>
                  <w14:solidFill>
                    <w14:schemeClr w14:val="tx1"/>
                  </w14:solidFill>
                </w14:textFill>
              </w:rPr>
              <w:t>通过分析，项目对公益林、天然林影响在可接受的范围内</w:t>
            </w:r>
            <w:r>
              <w:rPr>
                <w:color w:val="000000" w:themeColor="text1"/>
                <w:highlight w:val="none"/>
                <w14:textFill>
                  <w14:solidFill>
                    <w14:schemeClr w14:val="tx1"/>
                  </w14:solidFill>
                </w14:textFill>
              </w:rPr>
              <w:t>。</w:t>
            </w:r>
          </w:p>
        </w:tc>
        <w:tc>
          <w:tcPr>
            <w:tcW w:w="1100" w:type="dxa"/>
            <w:vAlign w:val="center"/>
          </w:tcPr>
          <w:p w14:paraId="3546836B">
            <w:pPr>
              <w:pStyle w:val="43"/>
              <w:bidi w:val="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符合</w:t>
            </w:r>
          </w:p>
        </w:tc>
      </w:tr>
    </w:tbl>
    <w:p w14:paraId="4C60FD81">
      <w:pPr>
        <w:pStyle w:val="41"/>
        <w:bidi w:val="0"/>
        <w:rPr>
          <w:rFonts w:hint="default"/>
          <w:lang w:val="en-US" w:eastAsia="zh-CN"/>
        </w:rPr>
      </w:pPr>
      <w:r>
        <w:t>项目不占用生态保护红线、自然保护区，不涉及生物多样性优先保护区。本项目建设在落实水土保持和环评提出的生态保护措施后，对区域生物多样性影响小，项目建设符合《云南省生物多样性保护战略与行动计划（2024-2030年）》的要求。</w:t>
      </w:r>
    </w:p>
    <w:p w14:paraId="4CDA4947">
      <w:pPr>
        <w:pStyle w:val="3"/>
        <w:bidi w:val="0"/>
        <w:rPr>
          <w:rFonts w:hint="eastAsia"/>
          <w:lang w:val="en-US" w:eastAsia="zh-CN"/>
        </w:rPr>
      </w:pPr>
      <w:bookmarkStart w:id="554" w:name="_Toc25655"/>
      <w:bookmarkStart w:id="555" w:name="_Toc20"/>
      <w:r>
        <w:rPr>
          <w:rFonts w:hint="eastAsia"/>
          <w:lang w:val="en-US" w:eastAsia="zh-CN"/>
        </w:rPr>
        <w:t>与区域“非煤矿山”转型升级以及土砂石开采相关政策符合性分析</w:t>
      </w:r>
      <w:bookmarkEnd w:id="554"/>
      <w:bookmarkEnd w:id="555"/>
    </w:p>
    <w:p w14:paraId="77FA9532">
      <w:pPr>
        <w:pStyle w:val="4"/>
        <w:bidi w:val="0"/>
        <w:rPr>
          <w:rFonts w:hint="eastAsia"/>
          <w:lang w:val="en-US" w:eastAsia="zh-CN"/>
        </w:rPr>
      </w:pPr>
      <w:bookmarkStart w:id="556" w:name="_Toc12475"/>
      <w:bookmarkStart w:id="557" w:name="_Toc29555"/>
      <w:r>
        <w:rPr>
          <w:rFonts w:hint="eastAsia"/>
          <w:lang w:val="en-US" w:eastAsia="zh-CN"/>
        </w:rPr>
        <w:t>与《云南省人民政府关于促进非煤矿山转型升级的实施意见》（云政发〔2015〕38号）符合性分析</w:t>
      </w:r>
      <w:bookmarkEnd w:id="556"/>
      <w:bookmarkEnd w:id="557"/>
    </w:p>
    <w:p w14:paraId="697249AD">
      <w:pPr>
        <w:pStyle w:val="41"/>
        <w:bidi w:val="0"/>
        <w:rPr>
          <w:rFonts w:hint="default"/>
          <w:lang w:val="zh-CN" w:eastAsia="zh-CN"/>
        </w:rPr>
      </w:pPr>
      <w:r>
        <w:rPr>
          <w:rFonts w:hint="default"/>
          <w:lang w:val="zh-CN" w:eastAsia="zh-CN"/>
        </w:rPr>
        <w:t>项目与《云南省人民政府关于促进非煤矿山转型升级的实施意见》（云政发〔2015〕38号）符合性分析见下表。</w:t>
      </w:r>
    </w:p>
    <w:p w14:paraId="734CB5D8">
      <w:pPr>
        <w:pStyle w:val="45"/>
        <w:bidi w:val="0"/>
        <w:rPr>
          <w:rFonts w:hint="default"/>
          <w:lang w:val="zh-CN" w:eastAsia="zh-CN"/>
        </w:rPr>
      </w:pPr>
      <w:r>
        <w:rPr>
          <w:rFonts w:hint="default"/>
          <w:lang w:val="zh-CN" w:eastAsia="zh-CN"/>
        </w:rPr>
        <w:t>表</w:t>
      </w:r>
      <w:r>
        <w:rPr>
          <w:rFonts w:hint="eastAsia"/>
          <w:lang w:val="en-US" w:eastAsia="zh-CN"/>
        </w:rPr>
        <w:t>9.5-1</w:t>
      </w:r>
      <w:r>
        <w:rPr>
          <w:rFonts w:hint="default"/>
          <w:lang w:val="zh-CN" w:eastAsia="zh-CN"/>
        </w:rPr>
        <w:t xml:space="preserve"> </w:t>
      </w:r>
      <w:r>
        <w:rPr>
          <w:rFonts w:hint="eastAsia"/>
          <w:lang w:val="en-US" w:eastAsia="zh-CN"/>
        </w:rPr>
        <w:t xml:space="preserve"> </w:t>
      </w:r>
      <w:r>
        <w:rPr>
          <w:rFonts w:hint="default"/>
          <w:lang w:val="zh-CN" w:eastAsia="zh-CN"/>
        </w:rPr>
        <w:t>项目与《云南省人民政府关于促进非煤矿山转型升级的实施意见》（云政发〔2015〕38号）符合性分析</w:t>
      </w:r>
    </w:p>
    <w:tbl>
      <w:tblPr>
        <w:tblStyle w:val="3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224"/>
        <w:gridCol w:w="2807"/>
        <w:gridCol w:w="851"/>
      </w:tblGrid>
      <w:tr w14:paraId="2EC5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660BEDD6">
            <w:pPr>
              <w:pStyle w:val="43"/>
              <w:bidi w:val="0"/>
              <w:rPr>
                <w:rFonts w:hint="default"/>
                <w:b/>
                <w:bCs/>
              </w:rPr>
            </w:pPr>
            <w:r>
              <w:rPr>
                <w:rFonts w:hint="default"/>
                <w:b/>
                <w:bCs/>
              </w:rPr>
              <w:t>序号</w:t>
            </w:r>
          </w:p>
        </w:tc>
        <w:tc>
          <w:tcPr>
            <w:tcW w:w="2478" w:type="pct"/>
            <w:vAlign w:val="center"/>
          </w:tcPr>
          <w:p w14:paraId="1AFE0F67">
            <w:pPr>
              <w:pStyle w:val="43"/>
              <w:bidi w:val="0"/>
              <w:rPr>
                <w:rFonts w:hint="default"/>
                <w:b/>
                <w:bCs/>
                <w:lang w:val="en-US" w:eastAsia="zh-CN"/>
              </w:rPr>
            </w:pPr>
            <w:r>
              <w:rPr>
                <w:rFonts w:hint="default"/>
                <w:b/>
                <w:bCs/>
              </w:rPr>
              <w:t>云政发</w:t>
            </w:r>
            <w:r>
              <w:rPr>
                <w:rFonts w:hint="eastAsia"/>
                <w:b/>
                <w:bCs/>
                <w:lang w:eastAsia="zh-CN"/>
              </w:rPr>
              <w:t>〔</w:t>
            </w:r>
            <w:r>
              <w:rPr>
                <w:rFonts w:hint="default"/>
                <w:b/>
                <w:bCs/>
              </w:rPr>
              <w:t>2015</w:t>
            </w:r>
            <w:r>
              <w:rPr>
                <w:rFonts w:hint="eastAsia"/>
                <w:b/>
                <w:bCs/>
                <w:lang w:eastAsia="zh-CN"/>
              </w:rPr>
              <w:t>〕</w:t>
            </w:r>
            <w:r>
              <w:rPr>
                <w:rFonts w:hint="default"/>
                <w:b/>
                <w:bCs/>
              </w:rPr>
              <w:t>38号文件</w:t>
            </w:r>
          </w:p>
        </w:tc>
        <w:tc>
          <w:tcPr>
            <w:tcW w:w="1647" w:type="pct"/>
            <w:vAlign w:val="center"/>
          </w:tcPr>
          <w:p w14:paraId="68B57ED7">
            <w:pPr>
              <w:pStyle w:val="43"/>
              <w:bidi w:val="0"/>
              <w:rPr>
                <w:rFonts w:hint="default"/>
                <w:b/>
                <w:bCs/>
              </w:rPr>
            </w:pPr>
            <w:r>
              <w:rPr>
                <w:rFonts w:hint="default"/>
                <w:b/>
                <w:bCs/>
              </w:rPr>
              <w:t>本矿山情况</w:t>
            </w:r>
          </w:p>
        </w:tc>
        <w:tc>
          <w:tcPr>
            <w:tcW w:w="499" w:type="pct"/>
            <w:vAlign w:val="center"/>
          </w:tcPr>
          <w:p w14:paraId="1491433A">
            <w:pPr>
              <w:pStyle w:val="43"/>
              <w:bidi w:val="0"/>
              <w:rPr>
                <w:rFonts w:hint="default"/>
                <w:b/>
                <w:bCs/>
              </w:rPr>
            </w:pPr>
            <w:r>
              <w:rPr>
                <w:rFonts w:hint="default"/>
                <w:b/>
                <w:bCs/>
              </w:rPr>
              <w:t>符合性</w:t>
            </w:r>
          </w:p>
        </w:tc>
      </w:tr>
      <w:tr w14:paraId="419C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682F8A3C">
            <w:pPr>
              <w:pStyle w:val="43"/>
              <w:bidi w:val="0"/>
              <w:rPr>
                <w:rFonts w:hint="default"/>
              </w:rPr>
            </w:pPr>
            <w:r>
              <w:rPr>
                <w:rFonts w:hint="default"/>
              </w:rPr>
              <w:t>1</w:t>
            </w:r>
          </w:p>
        </w:tc>
        <w:tc>
          <w:tcPr>
            <w:tcW w:w="2478" w:type="pct"/>
            <w:vAlign w:val="center"/>
          </w:tcPr>
          <w:p w14:paraId="1AF55413">
            <w:pPr>
              <w:pStyle w:val="43"/>
              <w:bidi w:val="0"/>
              <w:rPr>
                <w:rFonts w:hint="default"/>
              </w:rPr>
            </w:pPr>
            <w:r>
              <w:rPr>
                <w:rFonts w:hint="default"/>
              </w:rPr>
              <w:t>生产建设规模和服务年限低于《云南省非煤矿山最小开采规模和最低服务年限标准》规定的；</w:t>
            </w:r>
          </w:p>
        </w:tc>
        <w:tc>
          <w:tcPr>
            <w:tcW w:w="1647" w:type="pct"/>
            <w:vAlign w:val="center"/>
          </w:tcPr>
          <w:p w14:paraId="3F0AB21F">
            <w:pPr>
              <w:pStyle w:val="43"/>
              <w:bidi w:val="0"/>
              <w:rPr>
                <w:rFonts w:hint="default"/>
              </w:rPr>
            </w:pPr>
            <w:r>
              <w:rPr>
                <w:rFonts w:hint="default"/>
              </w:rPr>
              <w:t>设计生产规模为</w:t>
            </w:r>
            <w:r>
              <w:rPr>
                <w:rFonts w:hint="eastAsia"/>
                <w:lang w:val="en-US" w:eastAsia="zh-CN"/>
              </w:rPr>
              <w:t>50</w:t>
            </w:r>
            <w:r>
              <w:rPr>
                <w:rFonts w:hint="default"/>
              </w:rPr>
              <w:t>万t/a，服务年限为</w:t>
            </w:r>
            <w:r>
              <w:rPr>
                <w:rFonts w:hint="eastAsia"/>
                <w:lang w:val="en-US" w:eastAsia="zh-CN"/>
              </w:rPr>
              <w:t>35.1年。</w:t>
            </w:r>
          </w:p>
        </w:tc>
        <w:tc>
          <w:tcPr>
            <w:tcW w:w="499" w:type="pct"/>
            <w:vAlign w:val="center"/>
          </w:tcPr>
          <w:p w14:paraId="717A4926">
            <w:pPr>
              <w:pStyle w:val="43"/>
              <w:bidi w:val="0"/>
              <w:rPr>
                <w:rFonts w:hint="default"/>
              </w:rPr>
            </w:pPr>
            <w:r>
              <w:rPr>
                <w:rFonts w:hint="default"/>
              </w:rPr>
              <w:t>符合</w:t>
            </w:r>
          </w:p>
        </w:tc>
      </w:tr>
      <w:tr w14:paraId="0D6D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1231CDC4">
            <w:pPr>
              <w:pStyle w:val="43"/>
              <w:bidi w:val="0"/>
              <w:rPr>
                <w:rFonts w:hint="default"/>
              </w:rPr>
            </w:pPr>
            <w:r>
              <w:rPr>
                <w:rFonts w:hint="default"/>
              </w:rPr>
              <w:t>2</w:t>
            </w:r>
          </w:p>
        </w:tc>
        <w:tc>
          <w:tcPr>
            <w:tcW w:w="2478" w:type="pct"/>
            <w:vAlign w:val="center"/>
          </w:tcPr>
          <w:p w14:paraId="08FA2175">
            <w:pPr>
              <w:pStyle w:val="43"/>
              <w:bidi w:val="0"/>
              <w:rPr>
                <w:rFonts w:hint="default"/>
              </w:rPr>
            </w:pPr>
            <w:r>
              <w:rPr>
                <w:rFonts w:hint="default"/>
              </w:rPr>
              <w:t>与铁路、高等级公路、石油天然气输送管道和高压输电线路等重要设施的安全距离不能满足有关法律法规规定的，矿山申请划定的矿区范围与周边毗邻的采矿权间距不满足设计规范规定保留安全间距要求的；</w:t>
            </w:r>
          </w:p>
        </w:tc>
        <w:tc>
          <w:tcPr>
            <w:tcW w:w="1647" w:type="pct"/>
            <w:vAlign w:val="center"/>
          </w:tcPr>
          <w:p w14:paraId="2C6CCCB3">
            <w:pPr>
              <w:pStyle w:val="43"/>
              <w:bidi w:val="0"/>
              <w:rPr>
                <w:rFonts w:hint="default"/>
              </w:rPr>
            </w:pPr>
            <w:r>
              <w:rPr>
                <w:rFonts w:hint="default"/>
              </w:rPr>
              <w:t>矿山安全距离范围内无铁路、高等级公路、石油天然气输送管道等重要设施</w:t>
            </w:r>
            <w:r>
              <w:rPr>
                <w:rFonts w:hint="eastAsia"/>
                <w:lang w:eastAsia="zh-CN"/>
              </w:rPr>
              <w:t>。</w:t>
            </w:r>
            <w:r>
              <w:rPr>
                <w:rFonts w:hint="default"/>
              </w:rPr>
              <w:t>矿区周边无毗邻的矿山。</w:t>
            </w:r>
          </w:p>
        </w:tc>
        <w:tc>
          <w:tcPr>
            <w:tcW w:w="499" w:type="pct"/>
            <w:vAlign w:val="center"/>
          </w:tcPr>
          <w:p w14:paraId="56FD7C19">
            <w:pPr>
              <w:pStyle w:val="43"/>
              <w:bidi w:val="0"/>
              <w:rPr>
                <w:rFonts w:hint="default"/>
              </w:rPr>
            </w:pPr>
            <w:r>
              <w:rPr>
                <w:rFonts w:hint="default"/>
              </w:rPr>
              <w:t>符合</w:t>
            </w:r>
          </w:p>
        </w:tc>
      </w:tr>
      <w:tr w14:paraId="1446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08D2C45D">
            <w:pPr>
              <w:pStyle w:val="43"/>
              <w:bidi w:val="0"/>
              <w:rPr>
                <w:rFonts w:hint="default"/>
              </w:rPr>
            </w:pPr>
            <w:r>
              <w:rPr>
                <w:rFonts w:hint="default"/>
              </w:rPr>
              <w:t>3</w:t>
            </w:r>
          </w:p>
        </w:tc>
        <w:tc>
          <w:tcPr>
            <w:tcW w:w="2478" w:type="pct"/>
            <w:vAlign w:val="center"/>
          </w:tcPr>
          <w:p w14:paraId="326D7671">
            <w:pPr>
              <w:pStyle w:val="43"/>
              <w:bidi w:val="0"/>
              <w:rPr>
                <w:rFonts w:hint="default"/>
              </w:rPr>
            </w:pPr>
            <w:r>
              <w:rPr>
                <w:rFonts w:hint="default"/>
              </w:rPr>
              <w:t>位于国家划定的自然保护区、重要风景区，国家重点保护的不能移动的历史文物和名胜古迹所在地等区域，以及位于重要城镇、城市面山的；</w:t>
            </w:r>
          </w:p>
        </w:tc>
        <w:tc>
          <w:tcPr>
            <w:tcW w:w="1647" w:type="pct"/>
            <w:vAlign w:val="center"/>
          </w:tcPr>
          <w:p w14:paraId="1CE27DA4">
            <w:pPr>
              <w:pStyle w:val="43"/>
              <w:bidi w:val="0"/>
              <w:rPr>
                <w:rFonts w:hint="eastAsia"/>
                <w:lang w:eastAsia="zh-CN"/>
              </w:rPr>
            </w:pPr>
            <w:r>
              <w:rPr>
                <w:rFonts w:hint="default"/>
              </w:rPr>
              <w:t>项目不涉及上述区域</w:t>
            </w:r>
            <w:r>
              <w:rPr>
                <w:rFonts w:hint="eastAsia"/>
                <w:lang w:eastAsia="zh-CN"/>
              </w:rPr>
              <w:t>。</w:t>
            </w:r>
          </w:p>
        </w:tc>
        <w:tc>
          <w:tcPr>
            <w:tcW w:w="499" w:type="pct"/>
            <w:vAlign w:val="center"/>
          </w:tcPr>
          <w:p w14:paraId="286821BA">
            <w:pPr>
              <w:pStyle w:val="43"/>
              <w:bidi w:val="0"/>
              <w:rPr>
                <w:rFonts w:hint="default"/>
              </w:rPr>
            </w:pPr>
            <w:r>
              <w:rPr>
                <w:rFonts w:hint="default"/>
              </w:rPr>
              <w:t>符合</w:t>
            </w:r>
          </w:p>
        </w:tc>
      </w:tr>
      <w:tr w14:paraId="5C7B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19C9AF09">
            <w:pPr>
              <w:pStyle w:val="43"/>
              <w:bidi w:val="0"/>
              <w:rPr>
                <w:rFonts w:hint="default"/>
              </w:rPr>
            </w:pPr>
            <w:r>
              <w:rPr>
                <w:rFonts w:hint="default"/>
              </w:rPr>
              <w:t>4</w:t>
            </w:r>
          </w:p>
        </w:tc>
        <w:tc>
          <w:tcPr>
            <w:tcW w:w="2478" w:type="pct"/>
            <w:vAlign w:val="center"/>
          </w:tcPr>
          <w:p w14:paraId="6B8BA9B5">
            <w:pPr>
              <w:pStyle w:val="43"/>
              <w:bidi w:val="0"/>
              <w:rPr>
                <w:rFonts w:hint="default"/>
              </w:rPr>
            </w:pPr>
            <w:r>
              <w:rPr>
                <w:rFonts w:hint="default"/>
              </w:rPr>
              <w:t>露天采石</w:t>
            </w:r>
            <w:r>
              <w:rPr>
                <w:rFonts w:hint="eastAsia"/>
                <w:lang w:eastAsia="zh-CN"/>
              </w:rPr>
              <w:t>（</w:t>
            </w:r>
            <w:r>
              <w:rPr>
                <w:rFonts w:hint="default"/>
              </w:rPr>
              <w:t>砂</w:t>
            </w:r>
            <w:r>
              <w:rPr>
                <w:rFonts w:hint="eastAsia"/>
                <w:lang w:eastAsia="zh-CN"/>
              </w:rPr>
              <w:t>）</w:t>
            </w:r>
            <w:r>
              <w:rPr>
                <w:rFonts w:hint="default"/>
              </w:rPr>
              <w:t>场矿界与村庄的距离小于500米，矿界与矿界之间安全距离小于300米，2个以上</w:t>
            </w:r>
            <w:r>
              <w:rPr>
                <w:rFonts w:hint="eastAsia"/>
                <w:lang w:eastAsia="zh-CN"/>
              </w:rPr>
              <w:t>（</w:t>
            </w:r>
            <w:r>
              <w:rPr>
                <w:rFonts w:hint="default"/>
              </w:rPr>
              <w:t>含2个</w:t>
            </w:r>
            <w:r>
              <w:rPr>
                <w:rFonts w:hint="eastAsia"/>
                <w:lang w:eastAsia="zh-CN"/>
              </w:rPr>
              <w:t>）</w:t>
            </w:r>
            <w:r>
              <w:rPr>
                <w:rFonts w:hint="default"/>
              </w:rPr>
              <w:t>露天采石</w:t>
            </w:r>
            <w:r>
              <w:rPr>
                <w:rFonts w:hint="eastAsia"/>
                <w:lang w:eastAsia="zh-CN"/>
              </w:rPr>
              <w:t>（</w:t>
            </w:r>
            <w:r>
              <w:rPr>
                <w:rFonts w:hint="default"/>
              </w:rPr>
              <w:t>砂</w:t>
            </w:r>
            <w:r>
              <w:rPr>
                <w:rFonts w:hint="eastAsia"/>
                <w:lang w:eastAsia="zh-CN"/>
              </w:rPr>
              <w:t>）</w:t>
            </w:r>
            <w:r>
              <w:rPr>
                <w:rFonts w:hint="default"/>
              </w:rPr>
              <w:t>场开采同一独立山头，难以实现自上而下分台阶</w:t>
            </w:r>
            <w:r>
              <w:rPr>
                <w:rFonts w:hint="eastAsia"/>
                <w:lang w:eastAsia="zh-CN"/>
              </w:rPr>
              <w:t>（</w:t>
            </w:r>
            <w:r>
              <w:rPr>
                <w:rFonts w:hint="default"/>
              </w:rPr>
              <w:t>层</w:t>
            </w:r>
            <w:r>
              <w:rPr>
                <w:rFonts w:hint="eastAsia"/>
                <w:lang w:eastAsia="zh-CN"/>
              </w:rPr>
              <w:t>）</w:t>
            </w:r>
            <w:r>
              <w:rPr>
                <w:rFonts w:hint="default"/>
              </w:rPr>
              <w:t>开采，位于铁路、高速公路、国道、省道等重要交通干线和重要旅游线路两侧可视范围内的</w:t>
            </w:r>
            <w:r>
              <w:rPr>
                <w:rFonts w:hint="eastAsia"/>
                <w:lang w:eastAsia="zh-CN"/>
              </w:rPr>
              <w:t>（</w:t>
            </w:r>
            <w:r>
              <w:rPr>
                <w:rFonts w:hint="default"/>
              </w:rPr>
              <w:t>本文印发之前已取得合法探矿权的除外</w:t>
            </w:r>
            <w:r>
              <w:rPr>
                <w:rFonts w:hint="eastAsia"/>
                <w:lang w:eastAsia="zh-CN"/>
              </w:rPr>
              <w:t>）</w:t>
            </w:r>
            <w:r>
              <w:rPr>
                <w:rFonts w:hint="default"/>
              </w:rPr>
              <w:t>；</w:t>
            </w:r>
          </w:p>
        </w:tc>
        <w:tc>
          <w:tcPr>
            <w:tcW w:w="1647" w:type="pct"/>
            <w:vAlign w:val="center"/>
          </w:tcPr>
          <w:p w14:paraId="4E6F9C98">
            <w:pPr>
              <w:pStyle w:val="43"/>
              <w:bidi w:val="0"/>
              <w:rPr>
                <w:rFonts w:hint="default"/>
              </w:rPr>
            </w:pPr>
            <w:r>
              <w:rPr>
                <w:rFonts w:hint="eastAsia"/>
                <w:lang w:val="en-US" w:eastAsia="zh-CN"/>
              </w:rPr>
              <w:t>项目周围500m范围内无村庄分布</w:t>
            </w:r>
            <w:r>
              <w:rPr>
                <w:rFonts w:hint="default"/>
                <w:lang w:val="en-US" w:eastAsia="zh-CN"/>
              </w:rPr>
              <w:t>，</w:t>
            </w:r>
            <w:r>
              <w:rPr>
                <w:rFonts w:hint="eastAsia"/>
                <w:lang w:val="en-US" w:eastAsia="zh-CN"/>
              </w:rPr>
              <w:t>周围300m范围内无其他矿权。项目为退让在建丘砚高速，已进行了矿区缩减</w:t>
            </w:r>
            <w:r>
              <w:rPr>
                <w:rFonts w:hint="eastAsia"/>
                <w:lang w:eastAsia="zh-CN"/>
              </w:rPr>
              <w:t>。</w:t>
            </w:r>
            <w:r>
              <w:rPr>
                <w:rFonts w:hint="eastAsia"/>
                <w:lang w:val="en-US" w:eastAsia="zh-CN"/>
              </w:rPr>
              <w:t>项目在2010年首次取得采矿证就开采至今</w:t>
            </w:r>
            <w:r>
              <w:rPr>
                <w:rFonts w:hint="default"/>
              </w:rPr>
              <w:t>。</w:t>
            </w:r>
          </w:p>
        </w:tc>
        <w:tc>
          <w:tcPr>
            <w:tcW w:w="499" w:type="pct"/>
            <w:vAlign w:val="center"/>
          </w:tcPr>
          <w:p w14:paraId="73E1E9B3">
            <w:pPr>
              <w:pStyle w:val="43"/>
              <w:bidi w:val="0"/>
              <w:rPr>
                <w:rFonts w:hint="default"/>
              </w:rPr>
            </w:pPr>
            <w:r>
              <w:rPr>
                <w:rFonts w:hint="default"/>
              </w:rPr>
              <w:t>符合</w:t>
            </w:r>
          </w:p>
        </w:tc>
      </w:tr>
      <w:tr w14:paraId="113B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6B76B417">
            <w:pPr>
              <w:pStyle w:val="43"/>
              <w:bidi w:val="0"/>
              <w:rPr>
                <w:rFonts w:hint="default"/>
              </w:rPr>
            </w:pPr>
            <w:r>
              <w:rPr>
                <w:rFonts w:hint="default"/>
              </w:rPr>
              <w:t>5</w:t>
            </w:r>
          </w:p>
        </w:tc>
        <w:tc>
          <w:tcPr>
            <w:tcW w:w="2478" w:type="pct"/>
            <w:vAlign w:val="center"/>
          </w:tcPr>
          <w:p w14:paraId="7CF500A9">
            <w:pPr>
              <w:pStyle w:val="43"/>
              <w:bidi w:val="0"/>
              <w:rPr>
                <w:rFonts w:hint="eastAsia"/>
                <w:lang w:eastAsia="zh-CN"/>
              </w:rPr>
            </w:pPr>
            <w:r>
              <w:rPr>
                <w:rFonts w:hint="default"/>
              </w:rPr>
              <w:t>新设采矿权必须符合矿产资源规划、产业政策和矿业权设置方案，除同属1个矿业权人的情形外，矿业权在垂直投影范围内不得重叠；依据固体矿产勘查评价的基本单元及开采规划，应统一开采的矿床，只能设立1个采矿权</w:t>
            </w:r>
            <w:r>
              <w:rPr>
                <w:rFonts w:hint="eastAsia"/>
                <w:lang w:eastAsia="zh-CN"/>
              </w:rPr>
              <w:t>；</w:t>
            </w:r>
          </w:p>
        </w:tc>
        <w:tc>
          <w:tcPr>
            <w:tcW w:w="1647" w:type="pct"/>
            <w:vAlign w:val="center"/>
          </w:tcPr>
          <w:p w14:paraId="7086D15B">
            <w:pPr>
              <w:pStyle w:val="43"/>
              <w:bidi w:val="0"/>
              <w:rPr>
                <w:rFonts w:hint="default"/>
                <w:lang w:val="en-US"/>
              </w:rPr>
            </w:pPr>
            <w:r>
              <w:rPr>
                <w:rFonts w:hint="eastAsia"/>
                <w:lang w:val="en-US" w:eastAsia="zh-CN"/>
              </w:rPr>
              <w:t>项目属于现有矿山进行扩建，不存在矿业权重叠。</w:t>
            </w:r>
          </w:p>
        </w:tc>
        <w:tc>
          <w:tcPr>
            <w:tcW w:w="499" w:type="pct"/>
            <w:vAlign w:val="center"/>
          </w:tcPr>
          <w:p w14:paraId="5E0514E4">
            <w:pPr>
              <w:pStyle w:val="43"/>
              <w:bidi w:val="0"/>
              <w:rPr>
                <w:rFonts w:hint="default"/>
              </w:rPr>
            </w:pPr>
            <w:r>
              <w:rPr>
                <w:rFonts w:hint="default"/>
              </w:rPr>
              <w:t>符合</w:t>
            </w:r>
          </w:p>
        </w:tc>
      </w:tr>
      <w:tr w14:paraId="5141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064C509C">
            <w:pPr>
              <w:pStyle w:val="43"/>
              <w:bidi w:val="0"/>
              <w:rPr>
                <w:rFonts w:hint="default"/>
              </w:rPr>
            </w:pPr>
            <w:r>
              <w:rPr>
                <w:rFonts w:hint="default"/>
              </w:rPr>
              <w:t>6</w:t>
            </w:r>
          </w:p>
        </w:tc>
        <w:tc>
          <w:tcPr>
            <w:tcW w:w="2478" w:type="pct"/>
            <w:vAlign w:val="center"/>
          </w:tcPr>
          <w:p w14:paraId="21B00544">
            <w:pPr>
              <w:pStyle w:val="43"/>
              <w:bidi w:val="0"/>
              <w:rPr>
                <w:rFonts w:hint="eastAsia"/>
                <w:lang w:eastAsia="zh-CN"/>
              </w:rPr>
            </w:pPr>
            <w:r>
              <w:rPr>
                <w:rFonts w:hint="default"/>
              </w:rPr>
              <w:t>采矿权新立、扩大、缩小、变更，应通过同级有关主管部门安全条件初步审查和环境影响评价</w:t>
            </w:r>
            <w:r>
              <w:rPr>
                <w:rFonts w:hint="eastAsia"/>
                <w:lang w:eastAsia="zh-CN"/>
              </w:rPr>
              <w:t>；</w:t>
            </w:r>
          </w:p>
        </w:tc>
        <w:tc>
          <w:tcPr>
            <w:tcW w:w="1647" w:type="pct"/>
            <w:vAlign w:val="center"/>
          </w:tcPr>
          <w:p w14:paraId="2B48DFC0">
            <w:pPr>
              <w:pStyle w:val="43"/>
              <w:bidi w:val="0"/>
              <w:rPr>
                <w:rFonts w:hint="default"/>
              </w:rPr>
            </w:pPr>
            <w:r>
              <w:rPr>
                <w:rFonts w:hint="default"/>
              </w:rPr>
              <w:t>目前矿山正在办理环评手续</w:t>
            </w:r>
            <w:r>
              <w:rPr>
                <w:rFonts w:hint="eastAsia"/>
                <w:lang w:eastAsia="zh-CN"/>
              </w:rPr>
              <w:t>，</w:t>
            </w:r>
            <w:r>
              <w:rPr>
                <w:rFonts w:hint="eastAsia"/>
                <w:lang w:val="en-US" w:eastAsia="zh-CN"/>
              </w:rPr>
              <w:t>其他手续陆续办理中</w:t>
            </w:r>
            <w:r>
              <w:rPr>
                <w:rFonts w:hint="default"/>
              </w:rPr>
              <w:t>。</w:t>
            </w:r>
          </w:p>
        </w:tc>
        <w:tc>
          <w:tcPr>
            <w:tcW w:w="499" w:type="pct"/>
            <w:vAlign w:val="center"/>
          </w:tcPr>
          <w:p w14:paraId="531411A3">
            <w:pPr>
              <w:pStyle w:val="43"/>
              <w:bidi w:val="0"/>
              <w:rPr>
                <w:rFonts w:hint="default"/>
              </w:rPr>
            </w:pPr>
            <w:r>
              <w:rPr>
                <w:rFonts w:hint="default"/>
              </w:rPr>
              <w:t>符合</w:t>
            </w:r>
          </w:p>
        </w:tc>
      </w:tr>
      <w:tr w14:paraId="0209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74" w:type="pct"/>
            <w:vAlign w:val="center"/>
          </w:tcPr>
          <w:p w14:paraId="6BA6EE44">
            <w:pPr>
              <w:pStyle w:val="43"/>
              <w:bidi w:val="0"/>
              <w:rPr>
                <w:rFonts w:hint="default"/>
              </w:rPr>
            </w:pPr>
            <w:r>
              <w:rPr>
                <w:rFonts w:hint="default"/>
              </w:rPr>
              <w:t>7</w:t>
            </w:r>
          </w:p>
        </w:tc>
        <w:tc>
          <w:tcPr>
            <w:tcW w:w="2478" w:type="pct"/>
            <w:vAlign w:val="center"/>
          </w:tcPr>
          <w:p w14:paraId="36002A54">
            <w:pPr>
              <w:pStyle w:val="43"/>
              <w:bidi w:val="0"/>
              <w:rPr>
                <w:rFonts w:hint="default"/>
              </w:rPr>
            </w:pPr>
            <w:r>
              <w:rPr>
                <w:rFonts w:hint="default"/>
              </w:rPr>
              <w:t>非煤矿山新、改、扩建项目以及对矿山进行整合，应按照国家有关规定严格履行安全设施和职业卫生“三同时”手续。</w:t>
            </w:r>
          </w:p>
        </w:tc>
        <w:tc>
          <w:tcPr>
            <w:tcW w:w="1647" w:type="pct"/>
            <w:vAlign w:val="center"/>
          </w:tcPr>
          <w:p w14:paraId="124EF9D2">
            <w:pPr>
              <w:pStyle w:val="43"/>
              <w:bidi w:val="0"/>
              <w:rPr>
                <w:rFonts w:hint="default"/>
              </w:rPr>
            </w:pPr>
            <w:r>
              <w:rPr>
                <w:rFonts w:hint="eastAsia"/>
                <w:lang w:val="en-US" w:eastAsia="zh-CN"/>
              </w:rPr>
              <w:t>项目将及时履行</w:t>
            </w:r>
            <w:r>
              <w:rPr>
                <w:rFonts w:hint="default"/>
              </w:rPr>
              <w:t>安全设施和职业卫生“三同时”手续。</w:t>
            </w:r>
          </w:p>
        </w:tc>
        <w:tc>
          <w:tcPr>
            <w:tcW w:w="499" w:type="pct"/>
            <w:vAlign w:val="center"/>
          </w:tcPr>
          <w:p w14:paraId="33096EB6">
            <w:pPr>
              <w:pStyle w:val="43"/>
              <w:bidi w:val="0"/>
              <w:rPr>
                <w:rFonts w:hint="default"/>
              </w:rPr>
            </w:pPr>
            <w:r>
              <w:rPr>
                <w:rFonts w:hint="default"/>
              </w:rPr>
              <w:t>符合</w:t>
            </w:r>
          </w:p>
        </w:tc>
      </w:tr>
    </w:tbl>
    <w:p w14:paraId="2DAD8519">
      <w:pPr>
        <w:pStyle w:val="41"/>
        <w:bidi w:val="0"/>
        <w:rPr>
          <w:rFonts w:hint="default"/>
          <w:lang w:val="en-US" w:eastAsia="zh-CN"/>
        </w:rPr>
      </w:pPr>
      <w:r>
        <w:rPr>
          <w:rFonts w:hint="default"/>
          <w:lang w:val="zh-CN" w:eastAsia="zh-CN"/>
        </w:rPr>
        <w:t>由上表可知</w:t>
      </w:r>
      <w:r>
        <w:rPr>
          <w:rFonts w:hint="eastAsia"/>
          <w:lang w:val="zh-CN" w:eastAsia="zh-CN"/>
        </w:rPr>
        <w:t>，</w:t>
      </w:r>
      <w:r>
        <w:rPr>
          <w:rFonts w:hint="default"/>
          <w:lang w:val="zh-CN" w:eastAsia="zh-CN"/>
        </w:rPr>
        <w:t>本项目建设符合《云南省人民政府关于促进非煤矿山转型升级的实施意见》（云政发〔2015〕38号）中相关要求。</w:t>
      </w:r>
    </w:p>
    <w:p w14:paraId="1C82FA98">
      <w:pPr>
        <w:pStyle w:val="4"/>
        <w:bidi w:val="0"/>
        <w:rPr>
          <w:rFonts w:hint="default"/>
          <w:lang w:val="en-US" w:eastAsia="zh-CN"/>
        </w:rPr>
      </w:pPr>
      <w:bookmarkStart w:id="558" w:name="_Toc6808"/>
      <w:bookmarkStart w:id="559" w:name="_Toc27290"/>
      <w:r>
        <w:rPr>
          <w:rFonts w:hint="eastAsia"/>
          <w:lang w:val="en-US" w:eastAsia="zh-CN"/>
        </w:rPr>
        <w:t>与《云南省环境保护厅关于加强砂石开采行业环境监管工作的通知》（云环通〔2016〕172号）符合性分析</w:t>
      </w:r>
      <w:bookmarkEnd w:id="558"/>
      <w:bookmarkEnd w:id="559"/>
    </w:p>
    <w:p w14:paraId="5726301E">
      <w:pPr>
        <w:pStyle w:val="41"/>
        <w:bidi w:val="0"/>
        <w:rPr>
          <w:rFonts w:hint="default"/>
          <w:lang w:val="zh-CN" w:eastAsia="zh-CN"/>
        </w:rPr>
      </w:pPr>
      <w:r>
        <w:rPr>
          <w:rFonts w:hint="default"/>
          <w:lang w:val="zh-CN" w:eastAsia="zh-CN"/>
        </w:rPr>
        <w:t>根据《云南省环境保护厅关于加强砂石开采行业环境监管工作的通知》（云环通〔2016〕172号）中严格环境准入的相关要求与本项目对照情况见表1-</w:t>
      </w:r>
      <w:r>
        <w:rPr>
          <w:rFonts w:hint="eastAsia"/>
          <w:lang w:val="en-US" w:eastAsia="zh-CN"/>
        </w:rPr>
        <w:t>5</w:t>
      </w:r>
      <w:r>
        <w:rPr>
          <w:rFonts w:hint="default"/>
          <w:lang w:val="zh-CN" w:eastAsia="zh-CN"/>
        </w:rPr>
        <w:t>。</w:t>
      </w:r>
    </w:p>
    <w:p w14:paraId="48ED9419">
      <w:pPr>
        <w:pStyle w:val="45"/>
        <w:bidi w:val="0"/>
        <w:rPr>
          <w:rFonts w:hint="default" w:ascii="Times New Roman" w:hAnsi="Times New Roman" w:cs="Times New Roman"/>
          <w:b/>
          <w:bCs/>
          <w:color w:val="000000" w:themeColor="text1"/>
          <w:highlight w:val="none"/>
          <w:lang w:val="zh-CN" w:eastAsia="zh-CN"/>
          <w14:textFill>
            <w14:solidFill>
              <w14:schemeClr w14:val="tx1"/>
            </w14:solidFill>
          </w14:textFill>
        </w:rPr>
      </w:pPr>
      <w:r>
        <w:rPr>
          <w:rFonts w:hint="default"/>
          <w:lang w:val="zh-CN" w:eastAsia="zh-CN"/>
        </w:rPr>
        <w:t>表</w:t>
      </w:r>
      <w:r>
        <w:rPr>
          <w:rFonts w:hint="eastAsia"/>
          <w:lang w:val="en-US" w:eastAsia="zh-CN"/>
        </w:rPr>
        <w:t>9.5-2</w:t>
      </w:r>
      <w:r>
        <w:rPr>
          <w:rFonts w:hint="default"/>
          <w:lang w:val="zh-CN" w:eastAsia="zh-CN"/>
        </w:rPr>
        <w:t xml:space="preserve">  项目与</w:t>
      </w:r>
      <w:r>
        <w:rPr>
          <w:rFonts w:hint="eastAsia"/>
          <w:lang w:val="zh-CN" w:eastAsia="zh-CN"/>
        </w:rPr>
        <w:t>（</w:t>
      </w:r>
      <w:r>
        <w:rPr>
          <w:rFonts w:hint="default"/>
          <w:lang w:val="zh-CN" w:eastAsia="zh-CN"/>
        </w:rPr>
        <w:t>云环通〔2016〕172号</w:t>
      </w:r>
      <w:r>
        <w:rPr>
          <w:rFonts w:hint="eastAsia"/>
          <w:lang w:val="zh-CN" w:eastAsia="zh-CN"/>
        </w:rPr>
        <w:t>）</w:t>
      </w:r>
      <w:r>
        <w:rPr>
          <w:rFonts w:hint="default"/>
          <w:lang w:val="zh-CN" w:eastAsia="zh-CN"/>
        </w:rPr>
        <w:t>文符合性对照表</w:t>
      </w:r>
    </w:p>
    <w:tbl>
      <w:tblPr>
        <w:tblStyle w:val="3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9"/>
        <w:gridCol w:w="3350"/>
        <w:gridCol w:w="3738"/>
        <w:gridCol w:w="723"/>
      </w:tblGrid>
      <w:tr w14:paraId="60E2C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21" w:type="pct"/>
            <w:tcBorders>
              <w:top w:val="single" w:color="auto" w:sz="4" w:space="0"/>
              <w:left w:val="single" w:color="auto" w:sz="4" w:space="0"/>
              <w:bottom w:val="single" w:color="auto" w:sz="4" w:space="0"/>
              <w:right w:val="single" w:color="auto" w:sz="4" w:space="0"/>
            </w:tcBorders>
            <w:noWrap w:val="0"/>
            <w:vAlign w:val="center"/>
          </w:tcPr>
          <w:p w14:paraId="34F3122F">
            <w:pPr>
              <w:pStyle w:val="43"/>
              <w:bidi w:val="0"/>
              <w:rPr>
                <w:rFonts w:hint="default"/>
                <w:b/>
                <w:bCs/>
                <w:lang w:val="zh-CN" w:eastAsia="zh-CN"/>
              </w:rPr>
            </w:pPr>
            <w:r>
              <w:rPr>
                <w:rFonts w:hint="default"/>
                <w:b/>
                <w:bCs/>
                <w:lang w:val="zh-CN" w:eastAsia="zh-CN"/>
              </w:rPr>
              <w:t>序号</w:t>
            </w:r>
          </w:p>
        </w:tc>
        <w:tc>
          <w:tcPr>
            <w:tcW w:w="1963" w:type="pct"/>
            <w:tcBorders>
              <w:top w:val="single" w:color="auto" w:sz="4" w:space="0"/>
              <w:left w:val="single" w:color="auto" w:sz="4" w:space="0"/>
              <w:bottom w:val="single" w:color="auto" w:sz="4" w:space="0"/>
              <w:right w:val="single" w:color="auto" w:sz="4" w:space="0"/>
            </w:tcBorders>
            <w:noWrap w:val="0"/>
            <w:vAlign w:val="center"/>
          </w:tcPr>
          <w:p w14:paraId="2D390A6F">
            <w:pPr>
              <w:pStyle w:val="43"/>
              <w:bidi w:val="0"/>
              <w:rPr>
                <w:rFonts w:hint="default"/>
                <w:b/>
                <w:bCs/>
                <w:lang w:val="zh-CN" w:eastAsia="zh-CN"/>
              </w:rPr>
            </w:pPr>
            <w:r>
              <w:rPr>
                <w:rFonts w:hint="default"/>
                <w:b/>
                <w:bCs/>
                <w:lang w:val="zh-CN" w:eastAsia="zh-CN"/>
              </w:rPr>
              <w:t>（云环通〔2016〕172）相关要求</w:t>
            </w:r>
          </w:p>
        </w:tc>
        <w:tc>
          <w:tcPr>
            <w:tcW w:w="2191" w:type="pct"/>
            <w:tcBorders>
              <w:top w:val="single" w:color="auto" w:sz="4" w:space="0"/>
              <w:left w:val="single" w:color="auto" w:sz="4" w:space="0"/>
              <w:bottom w:val="single" w:color="auto" w:sz="4" w:space="0"/>
              <w:right w:val="single" w:color="auto" w:sz="4" w:space="0"/>
            </w:tcBorders>
            <w:noWrap w:val="0"/>
            <w:vAlign w:val="center"/>
          </w:tcPr>
          <w:p w14:paraId="05596F8C">
            <w:pPr>
              <w:pStyle w:val="43"/>
              <w:bidi w:val="0"/>
              <w:rPr>
                <w:rFonts w:hint="default"/>
                <w:b/>
                <w:bCs/>
                <w:lang w:val="zh-CN" w:eastAsia="zh-CN"/>
              </w:rPr>
            </w:pPr>
            <w:r>
              <w:rPr>
                <w:rFonts w:hint="default"/>
                <w:b/>
                <w:bCs/>
                <w:lang w:val="zh-CN" w:eastAsia="zh-CN"/>
              </w:rPr>
              <w:t>项目情况</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45072802">
            <w:pPr>
              <w:pStyle w:val="43"/>
              <w:bidi w:val="0"/>
              <w:rPr>
                <w:rFonts w:hint="default"/>
                <w:b/>
                <w:bCs/>
                <w:lang w:val="zh-CN" w:eastAsia="zh-CN"/>
              </w:rPr>
            </w:pPr>
            <w:r>
              <w:rPr>
                <w:rFonts w:hint="default"/>
                <w:b/>
                <w:bCs/>
                <w:lang w:val="zh-CN" w:eastAsia="zh-CN"/>
              </w:rPr>
              <w:t>符合性</w:t>
            </w:r>
          </w:p>
        </w:tc>
      </w:tr>
      <w:tr w14:paraId="380A2F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1" w:type="pct"/>
            <w:tcBorders>
              <w:top w:val="single" w:color="auto" w:sz="4" w:space="0"/>
              <w:left w:val="single" w:color="auto" w:sz="4" w:space="0"/>
              <w:bottom w:val="single" w:color="auto" w:sz="4" w:space="0"/>
              <w:right w:val="single" w:color="auto" w:sz="4" w:space="0"/>
            </w:tcBorders>
            <w:noWrap w:val="0"/>
            <w:vAlign w:val="center"/>
          </w:tcPr>
          <w:p w14:paraId="0553B043">
            <w:pPr>
              <w:pStyle w:val="43"/>
              <w:bidi w:val="0"/>
              <w:rPr>
                <w:rFonts w:hint="default"/>
                <w:lang w:val="zh-CN" w:eastAsia="zh-CN"/>
              </w:rPr>
            </w:pPr>
            <w:r>
              <w:rPr>
                <w:rFonts w:hint="default"/>
                <w:lang w:val="zh-CN" w:eastAsia="zh-CN"/>
              </w:rPr>
              <w:t>1</w:t>
            </w:r>
          </w:p>
        </w:tc>
        <w:tc>
          <w:tcPr>
            <w:tcW w:w="1963" w:type="pct"/>
            <w:tcBorders>
              <w:top w:val="single" w:color="auto" w:sz="4" w:space="0"/>
              <w:left w:val="single" w:color="auto" w:sz="4" w:space="0"/>
              <w:bottom w:val="single" w:color="auto" w:sz="4" w:space="0"/>
              <w:right w:val="single" w:color="auto" w:sz="4" w:space="0"/>
            </w:tcBorders>
            <w:noWrap w:val="0"/>
            <w:vAlign w:val="center"/>
          </w:tcPr>
          <w:p w14:paraId="46D15DAC">
            <w:pPr>
              <w:pStyle w:val="43"/>
              <w:bidi w:val="0"/>
              <w:rPr>
                <w:rFonts w:hint="default"/>
                <w:lang w:val="zh-CN" w:eastAsia="zh-CN"/>
              </w:rPr>
            </w:pPr>
            <w:r>
              <w:rPr>
                <w:rFonts w:hint="default"/>
                <w:lang w:val="zh-CN" w:eastAsia="zh-CN"/>
              </w:rPr>
              <w:t>不得位于自然保护区、风景名胜区、饮用水水源保护区、世界文化和自然遗产地等环境敏感区域的；</w:t>
            </w:r>
          </w:p>
        </w:tc>
        <w:tc>
          <w:tcPr>
            <w:tcW w:w="2191" w:type="pct"/>
            <w:tcBorders>
              <w:top w:val="single" w:color="auto" w:sz="4" w:space="0"/>
              <w:left w:val="single" w:color="auto" w:sz="4" w:space="0"/>
              <w:bottom w:val="single" w:color="auto" w:sz="4" w:space="0"/>
              <w:right w:val="single" w:color="auto" w:sz="4" w:space="0"/>
            </w:tcBorders>
            <w:noWrap w:val="0"/>
            <w:vAlign w:val="center"/>
          </w:tcPr>
          <w:p w14:paraId="4B3437A0">
            <w:pPr>
              <w:pStyle w:val="43"/>
              <w:bidi w:val="0"/>
              <w:rPr>
                <w:rFonts w:hint="default"/>
                <w:lang w:val="zh-CN" w:eastAsia="zh-CN"/>
              </w:rPr>
            </w:pPr>
            <w:r>
              <w:rPr>
                <w:rFonts w:hint="default"/>
                <w:lang w:val="zh-CN" w:eastAsia="zh-CN"/>
              </w:rPr>
              <w:t>根据</w:t>
            </w:r>
            <w:r>
              <w:rPr>
                <w:rFonts w:hint="eastAsia"/>
                <w:lang w:val="en-US" w:eastAsia="zh-CN"/>
              </w:rPr>
              <w:t>生态环境分区管控及三区三线查询结果</w:t>
            </w:r>
            <w:r>
              <w:rPr>
                <w:rFonts w:hint="eastAsia"/>
                <w:lang w:val="zh-CN" w:eastAsia="zh-CN"/>
              </w:rPr>
              <w:t>，</w:t>
            </w:r>
            <w:r>
              <w:rPr>
                <w:rFonts w:hint="default"/>
                <w:lang w:val="zh-CN" w:eastAsia="zh-CN"/>
              </w:rPr>
              <w:t>项目不占用基本农田</w:t>
            </w:r>
            <w:r>
              <w:rPr>
                <w:rFonts w:hint="eastAsia"/>
                <w:lang w:val="zh-CN" w:eastAsia="zh-CN"/>
              </w:rPr>
              <w:t>，</w:t>
            </w:r>
            <w:r>
              <w:rPr>
                <w:rFonts w:hint="default"/>
                <w:lang w:val="zh-CN" w:eastAsia="zh-CN"/>
              </w:rPr>
              <w:t>不</w:t>
            </w:r>
            <w:r>
              <w:rPr>
                <w:rFonts w:hint="eastAsia"/>
                <w:lang w:val="en-US" w:eastAsia="zh-CN"/>
              </w:rPr>
              <w:t>占用</w:t>
            </w:r>
            <w:r>
              <w:rPr>
                <w:rFonts w:hint="default"/>
                <w:lang w:val="zh-CN" w:eastAsia="zh-CN"/>
              </w:rPr>
              <w:t>生态红线</w:t>
            </w:r>
            <w:r>
              <w:rPr>
                <w:rFonts w:hint="eastAsia"/>
                <w:lang w:val="zh-CN" w:eastAsia="zh-CN"/>
              </w:rPr>
              <w:t>，</w:t>
            </w:r>
            <w:r>
              <w:rPr>
                <w:rFonts w:hint="default"/>
                <w:lang w:val="zh-CN" w:eastAsia="zh-CN"/>
              </w:rPr>
              <w:t>项目周边无自然保护区、风景名胜区、饮用水水源保护区、世界文化和自然遗产地等环境敏感区域。</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776745D1">
            <w:pPr>
              <w:pStyle w:val="43"/>
              <w:bidi w:val="0"/>
              <w:rPr>
                <w:rFonts w:hint="default"/>
                <w:lang w:val="zh-CN" w:eastAsia="zh-CN"/>
              </w:rPr>
            </w:pPr>
            <w:r>
              <w:rPr>
                <w:rFonts w:hint="default"/>
                <w:lang w:val="zh-CN" w:eastAsia="zh-CN"/>
              </w:rPr>
              <w:t>符合</w:t>
            </w:r>
          </w:p>
        </w:tc>
      </w:tr>
      <w:tr w14:paraId="6E2F0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1" w:type="pct"/>
            <w:tcBorders>
              <w:top w:val="single" w:color="auto" w:sz="4" w:space="0"/>
              <w:left w:val="single" w:color="auto" w:sz="4" w:space="0"/>
              <w:bottom w:val="single" w:color="auto" w:sz="4" w:space="0"/>
              <w:right w:val="single" w:color="auto" w:sz="4" w:space="0"/>
            </w:tcBorders>
            <w:noWrap w:val="0"/>
            <w:vAlign w:val="center"/>
          </w:tcPr>
          <w:p w14:paraId="76294568">
            <w:pPr>
              <w:pStyle w:val="43"/>
              <w:bidi w:val="0"/>
              <w:rPr>
                <w:rFonts w:hint="default"/>
                <w:lang w:val="zh-CN" w:eastAsia="zh-CN"/>
              </w:rPr>
            </w:pPr>
            <w:r>
              <w:rPr>
                <w:rFonts w:hint="default"/>
                <w:lang w:val="zh-CN" w:eastAsia="zh-CN"/>
              </w:rPr>
              <w:t>2</w:t>
            </w:r>
          </w:p>
        </w:tc>
        <w:tc>
          <w:tcPr>
            <w:tcW w:w="1963" w:type="pct"/>
            <w:tcBorders>
              <w:top w:val="single" w:color="auto" w:sz="4" w:space="0"/>
              <w:left w:val="single" w:color="auto" w:sz="4" w:space="0"/>
              <w:bottom w:val="single" w:color="auto" w:sz="4" w:space="0"/>
              <w:right w:val="single" w:color="auto" w:sz="4" w:space="0"/>
            </w:tcBorders>
            <w:noWrap w:val="0"/>
            <w:vAlign w:val="center"/>
          </w:tcPr>
          <w:p w14:paraId="31709D4A">
            <w:pPr>
              <w:pStyle w:val="43"/>
              <w:bidi w:val="0"/>
              <w:rPr>
                <w:rFonts w:hint="default"/>
                <w:lang w:val="zh-CN" w:eastAsia="zh-CN"/>
              </w:rPr>
            </w:pPr>
            <w:r>
              <w:rPr>
                <w:rFonts w:hint="default"/>
                <w:lang w:val="zh-CN" w:eastAsia="zh-CN"/>
              </w:rPr>
              <w:t>不得位于重要城镇、城市面山的；</w:t>
            </w:r>
          </w:p>
        </w:tc>
        <w:tc>
          <w:tcPr>
            <w:tcW w:w="2191" w:type="pct"/>
            <w:tcBorders>
              <w:top w:val="single" w:color="auto" w:sz="4" w:space="0"/>
              <w:left w:val="single" w:color="auto" w:sz="4" w:space="0"/>
              <w:bottom w:val="single" w:color="auto" w:sz="4" w:space="0"/>
              <w:right w:val="single" w:color="auto" w:sz="4" w:space="0"/>
            </w:tcBorders>
            <w:noWrap w:val="0"/>
            <w:vAlign w:val="center"/>
          </w:tcPr>
          <w:p w14:paraId="3A8C0EC6">
            <w:pPr>
              <w:pStyle w:val="43"/>
              <w:bidi w:val="0"/>
              <w:rPr>
                <w:rFonts w:hint="default"/>
                <w:lang w:val="zh-CN" w:eastAsia="zh-CN"/>
              </w:rPr>
            </w:pPr>
            <w:r>
              <w:rPr>
                <w:rFonts w:hint="default"/>
                <w:lang w:val="zh-CN" w:eastAsia="zh-CN"/>
              </w:rPr>
              <w:t>项目位于</w:t>
            </w:r>
            <w:r>
              <w:rPr>
                <w:rFonts w:hint="eastAsia"/>
                <w:lang w:val="zh-CN" w:eastAsia="zh-CN"/>
              </w:rPr>
              <w:t>云南省文山州砚山县江那镇铳卡石门坎，</w:t>
            </w:r>
            <w:r>
              <w:rPr>
                <w:rFonts w:hint="default"/>
                <w:lang w:val="zh-CN" w:eastAsia="zh-CN"/>
              </w:rPr>
              <w:t>根据现场踏勘</w:t>
            </w:r>
            <w:r>
              <w:rPr>
                <w:rFonts w:hint="eastAsia"/>
                <w:lang w:val="zh-CN" w:eastAsia="zh-CN"/>
              </w:rPr>
              <w:t>，</w:t>
            </w:r>
            <w:r>
              <w:rPr>
                <w:rFonts w:hint="default"/>
                <w:lang w:val="zh-CN" w:eastAsia="zh-CN"/>
              </w:rPr>
              <w:t>项目不在重要城镇、城市面山一侧。</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1470CD70">
            <w:pPr>
              <w:pStyle w:val="43"/>
              <w:bidi w:val="0"/>
              <w:rPr>
                <w:rFonts w:hint="default"/>
                <w:lang w:val="zh-CN" w:eastAsia="zh-CN"/>
              </w:rPr>
            </w:pPr>
            <w:r>
              <w:rPr>
                <w:rFonts w:hint="default"/>
                <w:lang w:val="zh-CN" w:eastAsia="zh-CN"/>
              </w:rPr>
              <w:t>符合</w:t>
            </w:r>
          </w:p>
        </w:tc>
      </w:tr>
      <w:tr w14:paraId="063BF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1" w:type="pct"/>
            <w:tcBorders>
              <w:top w:val="single" w:color="auto" w:sz="4" w:space="0"/>
              <w:left w:val="single" w:color="auto" w:sz="4" w:space="0"/>
              <w:bottom w:val="single" w:color="auto" w:sz="4" w:space="0"/>
              <w:right w:val="single" w:color="auto" w:sz="4" w:space="0"/>
            </w:tcBorders>
            <w:noWrap w:val="0"/>
            <w:vAlign w:val="center"/>
          </w:tcPr>
          <w:p w14:paraId="2A631EF5">
            <w:pPr>
              <w:pStyle w:val="43"/>
              <w:bidi w:val="0"/>
              <w:rPr>
                <w:rFonts w:hint="default"/>
                <w:lang w:val="zh-CN" w:eastAsia="zh-CN"/>
              </w:rPr>
            </w:pPr>
            <w:r>
              <w:rPr>
                <w:rFonts w:hint="default"/>
                <w:lang w:val="zh-CN" w:eastAsia="zh-CN"/>
              </w:rPr>
              <w:t>3</w:t>
            </w:r>
          </w:p>
        </w:tc>
        <w:tc>
          <w:tcPr>
            <w:tcW w:w="1963" w:type="pct"/>
            <w:tcBorders>
              <w:top w:val="single" w:color="auto" w:sz="4" w:space="0"/>
              <w:left w:val="single" w:color="auto" w:sz="4" w:space="0"/>
              <w:bottom w:val="single" w:color="auto" w:sz="4" w:space="0"/>
              <w:right w:val="single" w:color="auto" w:sz="4" w:space="0"/>
            </w:tcBorders>
            <w:noWrap w:val="0"/>
            <w:vAlign w:val="center"/>
          </w:tcPr>
          <w:p w14:paraId="7B7C4C79">
            <w:pPr>
              <w:pStyle w:val="43"/>
              <w:bidi w:val="0"/>
              <w:rPr>
                <w:rFonts w:hint="default"/>
                <w:lang w:val="zh-CN" w:eastAsia="zh-CN"/>
              </w:rPr>
            </w:pPr>
            <w:r>
              <w:rPr>
                <w:rFonts w:hint="default"/>
                <w:lang w:val="zh-CN" w:eastAsia="zh-CN"/>
              </w:rPr>
              <w:t>露天采石（砂）场矿界与村庄距离不小于500米；</w:t>
            </w:r>
          </w:p>
        </w:tc>
        <w:tc>
          <w:tcPr>
            <w:tcW w:w="2191" w:type="pct"/>
            <w:tcBorders>
              <w:top w:val="single" w:color="auto" w:sz="4" w:space="0"/>
              <w:left w:val="single" w:color="auto" w:sz="4" w:space="0"/>
              <w:bottom w:val="single" w:color="auto" w:sz="4" w:space="0"/>
              <w:right w:val="single" w:color="auto" w:sz="4" w:space="0"/>
            </w:tcBorders>
            <w:noWrap w:val="0"/>
            <w:vAlign w:val="center"/>
          </w:tcPr>
          <w:p w14:paraId="4399881B">
            <w:pPr>
              <w:pStyle w:val="43"/>
              <w:bidi w:val="0"/>
              <w:rPr>
                <w:rFonts w:hint="default"/>
                <w:lang w:val="en-US" w:eastAsia="zh-CN"/>
              </w:rPr>
            </w:pPr>
            <w:r>
              <w:rPr>
                <w:rFonts w:hint="eastAsia"/>
                <w:lang w:val="en-US" w:eastAsia="zh-CN"/>
              </w:rPr>
              <w:t>项目矿界与村庄的最近距离为西北侧1050m的红舍克村。满足＞500m范围要求。</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2EEA8778">
            <w:pPr>
              <w:pStyle w:val="43"/>
              <w:bidi w:val="0"/>
              <w:rPr>
                <w:rFonts w:hint="default"/>
                <w:lang w:val="zh-CN" w:eastAsia="zh-CN"/>
              </w:rPr>
            </w:pPr>
            <w:r>
              <w:rPr>
                <w:rFonts w:hint="eastAsia"/>
                <w:lang w:val="en-US" w:eastAsia="zh-CN"/>
              </w:rPr>
              <w:t>符合</w:t>
            </w:r>
          </w:p>
        </w:tc>
      </w:tr>
      <w:tr w14:paraId="7ABF5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1" w:type="pct"/>
            <w:tcBorders>
              <w:top w:val="single" w:color="auto" w:sz="4" w:space="0"/>
              <w:left w:val="single" w:color="auto" w:sz="4" w:space="0"/>
              <w:bottom w:val="single" w:color="auto" w:sz="4" w:space="0"/>
              <w:right w:val="single" w:color="auto" w:sz="4" w:space="0"/>
            </w:tcBorders>
            <w:noWrap w:val="0"/>
            <w:vAlign w:val="center"/>
          </w:tcPr>
          <w:p w14:paraId="46DCD464">
            <w:pPr>
              <w:pStyle w:val="43"/>
              <w:bidi w:val="0"/>
              <w:rPr>
                <w:rFonts w:hint="default"/>
                <w:lang w:val="zh-CN" w:eastAsia="zh-CN"/>
              </w:rPr>
            </w:pPr>
            <w:r>
              <w:rPr>
                <w:rFonts w:hint="default"/>
                <w:lang w:val="zh-CN" w:eastAsia="zh-CN"/>
              </w:rPr>
              <w:t>4</w:t>
            </w:r>
          </w:p>
        </w:tc>
        <w:tc>
          <w:tcPr>
            <w:tcW w:w="1963" w:type="pct"/>
            <w:tcBorders>
              <w:top w:val="single" w:color="auto" w:sz="4" w:space="0"/>
              <w:left w:val="single" w:color="auto" w:sz="4" w:space="0"/>
              <w:bottom w:val="single" w:color="auto" w:sz="4" w:space="0"/>
              <w:right w:val="single" w:color="auto" w:sz="4" w:space="0"/>
            </w:tcBorders>
            <w:noWrap w:val="0"/>
            <w:vAlign w:val="center"/>
          </w:tcPr>
          <w:p w14:paraId="43FEDF7E">
            <w:pPr>
              <w:pStyle w:val="43"/>
              <w:bidi w:val="0"/>
              <w:rPr>
                <w:rFonts w:hint="default"/>
                <w:lang w:val="zh-CN" w:eastAsia="zh-CN"/>
              </w:rPr>
            </w:pPr>
            <w:r>
              <w:rPr>
                <w:rFonts w:hint="default"/>
                <w:lang w:val="zh-CN" w:eastAsia="zh-CN"/>
              </w:rPr>
              <w:t>不得位于铁路、高速公路、国道、省道等重要交通干线和旅游线路两侧可视范围内的；</w:t>
            </w:r>
          </w:p>
        </w:tc>
        <w:tc>
          <w:tcPr>
            <w:tcW w:w="2191" w:type="pct"/>
            <w:tcBorders>
              <w:top w:val="single" w:color="auto" w:sz="4" w:space="0"/>
              <w:left w:val="single" w:color="auto" w:sz="4" w:space="0"/>
              <w:bottom w:val="single" w:color="auto" w:sz="4" w:space="0"/>
              <w:right w:val="single" w:color="auto" w:sz="4" w:space="0"/>
            </w:tcBorders>
            <w:noWrap w:val="0"/>
            <w:vAlign w:val="center"/>
          </w:tcPr>
          <w:p w14:paraId="29209531">
            <w:pPr>
              <w:pStyle w:val="43"/>
              <w:bidi w:val="0"/>
              <w:rPr>
                <w:rFonts w:hint="default"/>
                <w:lang w:val="en-US" w:eastAsia="zh-CN"/>
              </w:rPr>
            </w:pPr>
            <w:r>
              <w:rPr>
                <w:rFonts w:hint="eastAsia"/>
                <w:lang w:val="en-US" w:eastAsia="zh-CN"/>
              </w:rPr>
              <w:t>项目</w:t>
            </w:r>
            <w:r>
              <w:rPr>
                <w:rFonts w:hint="default"/>
                <w:lang w:val="zh-CN" w:eastAsia="zh-CN"/>
              </w:rPr>
              <w:t>周边不存在铁路、国道、省道等重要交通干线和旅游线路。</w:t>
            </w:r>
            <w:r>
              <w:rPr>
                <w:rFonts w:hint="eastAsia"/>
                <w:lang w:val="en-US" w:eastAsia="zh-CN"/>
              </w:rPr>
              <w:t>项目北侧为在建的砚丘高速，项目矿山进行了退让，高速公路与本项目矿区之间有退让出的山地进行阻隔。</w:t>
            </w:r>
          </w:p>
        </w:tc>
        <w:tc>
          <w:tcPr>
            <w:tcW w:w="423" w:type="pct"/>
            <w:tcBorders>
              <w:top w:val="single" w:color="auto" w:sz="4" w:space="0"/>
              <w:left w:val="single" w:color="auto" w:sz="4" w:space="0"/>
              <w:bottom w:val="single" w:color="auto" w:sz="4" w:space="0"/>
              <w:right w:val="single" w:color="auto" w:sz="4" w:space="0"/>
            </w:tcBorders>
            <w:noWrap w:val="0"/>
            <w:vAlign w:val="center"/>
          </w:tcPr>
          <w:p w14:paraId="0EC86FA4">
            <w:pPr>
              <w:pStyle w:val="43"/>
              <w:bidi w:val="0"/>
              <w:rPr>
                <w:rFonts w:hint="default"/>
                <w:lang w:val="zh-CN" w:eastAsia="zh-CN"/>
              </w:rPr>
            </w:pPr>
            <w:r>
              <w:rPr>
                <w:rFonts w:hint="default"/>
                <w:lang w:val="zh-CN" w:eastAsia="zh-CN"/>
              </w:rPr>
              <w:t>符合</w:t>
            </w:r>
          </w:p>
        </w:tc>
      </w:tr>
    </w:tbl>
    <w:p w14:paraId="461A9365">
      <w:pPr>
        <w:pStyle w:val="41"/>
        <w:bidi w:val="0"/>
        <w:rPr>
          <w:rFonts w:hint="default"/>
          <w:lang w:val="en-US" w:eastAsia="zh-CN"/>
        </w:rPr>
      </w:pPr>
      <w:r>
        <w:rPr>
          <w:rFonts w:hint="default"/>
          <w:lang w:val="zh-CN" w:eastAsia="zh-CN"/>
        </w:rPr>
        <w:t>由上表可知</w:t>
      </w:r>
      <w:r>
        <w:rPr>
          <w:rFonts w:hint="eastAsia"/>
          <w:lang w:val="zh-CN" w:eastAsia="zh-CN"/>
        </w:rPr>
        <w:t>，</w:t>
      </w:r>
      <w:r>
        <w:rPr>
          <w:rFonts w:hint="default"/>
          <w:lang w:val="zh-CN" w:eastAsia="zh-CN"/>
        </w:rPr>
        <w:t>项目符合《云南省环境保护厅关于加强砂石开采行业环境监管工作的通知》（云环通〔2016〕172号）的相关要求。</w:t>
      </w:r>
    </w:p>
    <w:p w14:paraId="1FF6B546">
      <w:pPr>
        <w:pStyle w:val="4"/>
        <w:bidi w:val="0"/>
        <w:rPr>
          <w:rFonts w:hint="default"/>
          <w:lang w:val="en-US" w:eastAsia="zh-CN"/>
        </w:rPr>
      </w:pPr>
      <w:bookmarkStart w:id="560" w:name="_Toc30603"/>
      <w:bookmarkStart w:id="561" w:name="_Toc20664"/>
      <w:r>
        <w:rPr>
          <w:rFonts w:hint="default"/>
          <w:lang w:val="en-US" w:eastAsia="zh-CN"/>
        </w:rPr>
        <w:t>与《云南省人民政府办公厅关于印发〈云南省全面加强非煤矿山安全生产工作若干措施〉的通知》（云政办发〔2024〕44号）符合性分析</w:t>
      </w:r>
      <w:bookmarkEnd w:id="560"/>
      <w:bookmarkEnd w:id="561"/>
    </w:p>
    <w:p w14:paraId="5C1174A8">
      <w:pPr>
        <w:pStyle w:val="41"/>
        <w:bidi w:val="0"/>
        <w:rPr>
          <w:rFonts w:hint="default"/>
          <w:lang w:val="en-US" w:eastAsia="zh-CN"/>
        </w:rPr>
      </w:pPr>
      <w:r>
        <w:rPr>
          <w:rFonts w:hint="eastAsia"/>
          <w:lang w:val="en-US" w:eastAsia="zh-CN"/>
        </w:rPr>
        <w:t>本项目与《云南省全面加强非煤矿山安全生产工作若干措施》符合性分析如下表：</w:t>
      </w:r>
    </w:p>
    <w:p w14:paraId="46FECD21">
      <w:pPr>
        <w:pStyle w:val="45"/>
        <w:bidi w:val="0"/>
        <w:rPr>
          <w:rFonts w:hint="default"/>
          <w:lang w:val="zh-CN" w:eastAsia="zh-CN"/>
        </w:rPr>
      </w:pPr>
      <w:r>
        <w:rPr>
          <w:rFonts w:hint="default"/>
          <w:lang w:val="zh-CN" w:eastAsia="zh-CN"/>
        </w:rPr>
        <w:t>表</w:t>
      </w:r>
      <w:r>
        <w:rPr>
          <w:rFonts w:hint="eastAsia"/>
          <w:lang w:val="en-US" w:eastAsia="zh-CN"/>
        </w:rPr>
        <w:t>9.5-3</w:t>
      </w:r>
      <w:r>
        <w:rPr>
          <w:rFonts w:hint="default"/>
          <w:lang w:val="zh-CN" w:eastAsia="zh-CN"/>
        </w:rPr>
        <w:t xml:space="preserve">  项目与（云政办发〔2024〕44号）文符合性对照表</w:t>
      </w:r>
    </w:p>
    <w:tbl>
      <w:tblPr>
        <w:tblStyle w:val="3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3"/>
        <w:gridCol w:w="4050"/>
        <w:gridCol w:w="2849"/>
        <w:gridCol w:w="914"/>
      </w:tblGrid>
      <w:tr w14:paraId="001C2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266194D8">
            <w:pPr>
              <w:pStyle w:val="43"/>
              <w:bidi w:val="0"/>
              <w:rPr>
                <w:rFonts w:hint="default"/>
                <w:b/>
                <w:bCs/>
                <w:lang w:val="zh-CN" w:eastAsia="zh-CN"/>
              </w:rPr>
            </w:pPr>
            <w:r>
              <w:rPr>
                <w:rFonts w:hint="default"/>
                <w:b/>
                <w:bCs/>
                <w:lang w:val="zh-CN" w:eastAsia="zh-CN"/>
              </w:rPr>
              <w:t>序号</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4AF69EDD">
            <w:pPr>
              <w:pStyle w:val="43"/>
              <w:bidi w:val="0"/>
              <w:rPr>
                <w:rFonts w:hint="default"/>
                <w:b/>
                <w:bCs/>
                <w:lang w:val="zh-CN" w:eastAsia="zh-CN"/>
              </w:rPr>
            </w:pPr>
            <w:r>
              <w:rPr>
                <w:rFonts w:hint="default"/>
                <w:b/>
                <w:bCs/>
                <w:lang w:val="zh-CN" w:eastAsia="zh-CN"/>
              </w:rPr>
              <w:t>（云政办发〔2024〕44号）要求</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0438F830">
            <w:pPr>
              <w:pStyle w:val="43"/>
              <w:bidi w:val="0"/>
              <w:rPr>
                <w:rFonts w:hint="default"/>
                <w:b/>
                <w:bCs/>
                <w:lang w:val="zh-CN" w:eastAsia="zh-CN"/>
              </w:rPr>
            </w:pPr>
            <w:r>
              <w:rPr>
                <w:rFonts w:hint="default"/>
                <w:b/>
                <w:bCs/>
                <w:lang w:val="zh-CN" w:eastAsia="zh-CN"/>
              </w:rPr>
              <w:t>项目情况</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515F5541">
            <w:pPr>
              <w:pStyle w:val="43"/>
              <w:bidi w:val="0"/>
              <w:rPr>
                <w:rFonts w:hint="default"/>
                <w:b/>
                <w:bCs/>
                <w:lang w:val="zh-CN" w:eastAsia="zh-CN"/>
              </w:rPr>
            </w:pPr>
            <w:r>
              <w:rPr>
                <w:rFonts w:hint="default"/>
                <w:b/>
                <w:bCs/>
                <w:lang w:val="zh-CN" w:eastAsia="zh-CN"/>
              </w:rPr>
              <w:t>符合性</w:t>
            </w:r>
          </w:p>
        </w:tc>
      </w:tr>
      <w:tr w14:paraId="59BB2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6CF12AF4">
            <w:pPr>
              <w:pStyle w:val="43"/>
              <w:bidi w:val="0"/>
              <w:rPr>
                <w:rFonts w:hint="default"/>
                <w:b/>
                <w:bCs/>
                <w:lang w:val="en-US" w:eastAsia="zh-CN"/>
              </w:rPr>
            </w:pPr>
            <w:r>
              <w:rPr>
                <w:rFonts w:hint="eastAsia"/>
                <w:b/>
                <w:bCs/>
                <w:lang w:val="en-US" w:eastAsia="zh-CN"/>
              </w:rPr>
              <w:t>一、严格非煤矿山市场准入</w:t>
            </w:r>
          </w:p>
        </w:tc>
      </w:tr>
      <w:tr w14:paraId="2E5DAB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24A99F6C">
            <w:pPr>
              <w:pStyle w:val="43"/>
              <w:bidi w:val="0"/>
              <w:rPr>
                <w:rFonts w:hint="default"/>
                <w:lang w:val="zh-CN" w:eastAsia="zh-CN"/>
              </w:rPr>
            </w:pPr>
            <w:r>
              <w:rPr>
                <w:rFonts w:hint="default"/>
                <w:lang w:val="zh-CN" w:eastAsia="zh-CN"/>
              </w:rPr>
              <w:t>1</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78745777">
            <w:pPr>
              <w:pStyle w:val="43"/>
              <w:bidi w:val="0"/>
              <w:rPr>
                <w:rFonts w:hint="default"/>
                <w:lang w:val="zh-CN" w:eastAsia="zh-CN"/>
              </w:rPr>
            </w:pPr>
            <w:r>
              <w:rPr>
                <w:rFonts w:hint="default"/>
                <w:lang w:val="zh-CN" w:eastAsia="zh-CN"/>
              </w:rPr>
              <w:t>提高露天采石（砂）准入门槛。除硅石、石英砂等特殊需求矿产外</w:t>
            </w:r>
            <w:r>
              <w:rPr>
                <w:rFonts w:hint="eastAsia"/>
                <w:lang w:val="zh-CN" w:eastAsia="zh-CN"/>
              </w:rPr>
              <w:t>，</w:t>
            </w:r>
            <w:r>
              <w:rPr>
                <w:rFonts w:hint="default"/>
                <w:lang w:val="zh-CN" w:eastAsia="zh-CN"/>
              </w:rPr>
              <w:t>停止新建开采规模低于100万吨/年的露天采石（砂）场。将现有采石（砂）场最小开采规模提高到50万吨/年</w:t>
            </w:r>
            <w:r>
              <w:rPr>
                <w:rFonts w:hint="eastAsia"/>
                <w:lang w:val="zh-CN" w:eastAsia="zh-CN"/>
              </w:rPr>
              <w:t>，</w:t>
            </w:r>
            <w:r>
              <w:rPr>
                <w:rFonts w:hint="default"/>
                <w:lang w:val="zh-CN" w:eastAsia="zh-CN"/>
              </w:rPr>
              <w:t>达不到该标准要求的</w:t>
            </w:r>
            <w:r>
              <w:rPr>
                <w:rFonts w:hint="eastAsia"/>
                <w:lang w:val="zh-CN" w:eastAsia="zh-CN"/>
              </w:rPr>
              <w:t>，</w:t>
            </w:r>
            <w:r>
              <w:rPr>
                <w:rFonts w:hint="default"/>
                <w:lang w:val="zh-CN" w:eastAsia="zh-CN"/>
              </w:rPr>
              <w:t>给予3年过渡期实施升级改造</w:t>
            </w:r>
            <w:r>
              <w:rPr>
                <w:rFonts w:hint="eastAsia"/>
                <w:lang w:val="zh-CN" w:eastAsia="zh-CN"/>
              </w:rPr>
              <w:t>，</w:t>
            </w:r>
            <w:r>
              <w:rPr>
                <w:rFonts w:hint="default"/>
                <w:lang w:val="zh-CN" w:eastAsia="zh-CN"/>
              </w:rPr>
              <w:t>到2026年底仍达不到标准要求的</w:t>
            </w:r>
            <w:r>
              <w:rPr>
                <w:rFonts w:hint="eastAsia"/>
                <w:lang w:val="zh-CN" w:eastAsia="zh-CN"/>
              </w:rPr>
              <w:t>，</w:t>
            </w:r>
            <w:r>
              <w:rPr>
                <w:rFonts w:hint="default"/>
                <w:lang w:val="zh-CN" w:eastAsia="zh-CN"/>
              </w:rPr>
              <w:t>由属地县级政府积极引导退出</w:t>
            </w:r>
            <w:r>
              <w:rPr>
                <w:rFonts w:hint="eastAsia"/>
                <w:lang w:val="zh-CN" w:eastAsia="zh-CN"/>
              </w:rPr>
              <w:t>。</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6B34BDEE">
            <w:pPr>
              <w:pStyle w:val="43"/>
              <w:bidi w:val="0"/>
              <w:rPr>
                <w:rFonts w:hint="default"/>
                <w:lang w:val="zh-CN" w:eastAsia="zh-CN"/>
              </w:rPr>
            </w:pPr>
            <w:r>
              <w:rPr>
                <w:rFonts w:hint="eastAsia"/>
                <w:lang w:val="en-US" w:eastAsia="zh-CN"/>
              </w:rPr>
              <w:t>项目为现有矿山进行扩建，扩建后生产开采规模为50万吨/a</w:t>
            </w:r>
            <w:r>
              <w:rPr>
                <w:rFonts w:hint="default"/>
                <w:lang w:val="zh-CN" w:eastAsia="zh-CN"/>
              </w:rPr>
              <w:t>。</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71E52902">
            <w:pPr>
              <w:pStyle w:val="43"/>
              <w:bidi w:val="0"/>
              <w:rPr>
                <w:rFonts w:hint="default"/>
                <w:lang w:val="zh-CN" w:eastAsia="zh-CN"/>
              </w:rPr>
            </w:pPr>
            <w:r>
              <w:rPr>
                <w:rFonts w:hint="default"/>
                <w:lang w:val="zh-CN" w:eastAsia="zh-CN"/>
              </w:rPr>
              <w:t>符合</w:t>
            </w:r>
          </w:p>
        </w:tc>
      </w:tr>
      <w:tr w14:paraId="01E3C1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1D7B0810">
            <w:pPr>
              <w:pStyle w:val="43"/>
              <w:bidi w:val="0"/>
              <w:rPr>
                <w:rFonts w:hint="default"/>
                <w:lang w:val="zh-CN" w:eastAsia="zh-CN"/>
              </w:rPr>
            </w:pPr>
            <w:r>
              <w:rPr>
                <w:rFonts w:hint="default"/>
                <w:lang w:val="zh-CN" w:eastAsia="zh-CN"/>
              </w:rPr>
              <w:t>2</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1EE891B3">
            <w:pPr>
              <w:pStyle w:val="43"/>
              <w:bidi w:val="0"/>
              <w:rPr>
                <w:rFonts w:hint="default"/>
                <w:lang w:val="zh-CN" w:eastAsia="zh-CN"/>
              </w:rPr>
            </w:pPr>
            <w:r>
              <w:rPr>
                <w:rFonts w:hint="default"/>
                <w:lang w:val="zh-CN" w:eastAsia="zh-CN"/>
              </w:rPr>
              <w:t>严格执行最小（低）开采规模标准。除前述规定的采石（砂）场外的其他非煤矿山</w:t>
            </w:r>
            <w:r>
              <w:rPr>
                <w:rFonts w:hint="eastAsia"/>
                <w:lang w:val="zh-CN" w:eastAsia="zh-CN"/>
              </w:rPr>
              <w:t>，</w:t>
            </w:r>
            <w:r>
              <w:rPr>
                <w:rFonts w:hint="default"/>
                <w:lang w:val="zh-CN" w:eastAsia="zh-CN"/>
              </w:rPr>
              <w:t>按照</w:t>
            </w:r>
            <w:r>
              <w:rPr>
                <w:rFonts w:hint="eastAsia"/>
                <w:lang w:val="zh-CN" w:eastAsia="zh-CN"/>
              </w:rPr>
              <w:t>“</w:t>
            </w:r>
            <w:r>
              <w:rPr>
                <w:rFonts w:hint="default"/>
                <w:lang w:val="zh-CN" w:eastAsia="zh-CN"/>
              </w:rPr>
              <w:t>就高不就低</w:t>
            </w:r>
            <w:r>
              <w:rPr>
                <w:rFonts w:hint="eastAsia"/>
                <w:lang w:val="zh-CN" w:eastAsia="zh-CN"/>
              </w:rPr>
              <w:t>”</w:t>
            </w:r>
            <w:r>
              <w:rPr>
                <w:rFonts w:hint="default"/>
                <w:lang w:val="zh-CN" w:eastAsia="zh-CN"/>
              </w:rPr>
              <w:t>原则</w:t>
            </w:r>
            <w:r>
              <w:rPr>
                <w:rFonts w:hint="eastAsia"/>
                <w:lang w:val="zh-CN" w:eastAsia="zh-CN"/>
              </w:rPr>
              <w:t>，</w:t>
            </w:r>
            <w:r>
              <w:rPr>
                <w:rFonts w:hint="default"/>
                <w:lang w:val="zh-CN" w:eastAsia="zh-CN"/>
              </w:rPr>
              <w:t>严格执行云南省人民政府2015年规定的非煤矿山最小开采规模、全国矿产资源总体规划（2021—2025年）和云南省第四轮矿产资源规划规定的部分矿种矿山最低开采规模3者中的上限标准。对现有矿山达不到最小（低）开采规模标准的</w:t>
            </w:r>
            <w:r>
              <w:rPr>
                <w:rFonts w:hint="eastAsia"/>
                <w:lang w:val="zh-CN" w:eastAsia="zh-CN"/>
              </w:rPr>
              <w:t>，</w:t>
            </w:r>
            <w:r>
              <w:rPr>
                <w:rFonts w:hint="default"/>
                <w:lang w:val="zh-CN" w:eastAsia="zh-CN"/>
              </w:rPr>
              <w:t>给予3年过渡期实施升级改造</w:t>
            </w:r>
            <w:r>
              <w:rPr>
                <w:rFonts w:hint="eastAsia"/>
                <w:lang w:val="zh-CN" w:eastAsia="zh-CN"/>
              </w:rPr>
              <w:t>，</w:t>
            </w:r>
            <w:r>
              <w:rPr>
                <w:rFonts w:hint="default"/>
                <w:lang w:val="zh-CN" w:eastAsia="zh-CN"/>
              </w:rPr>
              <w:t>到2026年底仍达不到标准要求的</w:t>
            </w:r>
            <w:r>
              <w:rPr>
                <w:rFonts w:hint="eastAsia"/>
                <w:lang w:val="zh-CN" w:eastAsia="zh-CN"/>
              </w:rPr>
              <w:t>，</w:t>
            </w:r>
            <w:r>
              <w:rPr>
                <w:rFonts w:hint="default"/>
                <w:lang w:val="zh-CN" w:eastAsia="zh-CN"/>
              </w:rPr>
              <w:t>由属地县级政府积极引导退出。</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0AEDC26D">
            <w:pPr>
              <w:pStyle w:val="43"/>
              <w:bidi w:val="0"/>
              <w:rPr>
                <w:rFonts w:hint="default"/>
                <w:lang w:val="zh-CN" w:eastAsia="zh-CN"/>
              </w:rPr>
            </w:pPr>
            <w:r>
              <w:rPr>
                <w:rFonts w:hint="eastAsia"/>
                <w:lang w:val="en-US" w:eastAsia="zh-CN"/>
              </w:rPr>
              <w:t>项目开采规模及服务年限符合《云南省人民政府关于促进非煤矿山转型升级的实施意见》（云政发〔2015〕38号）</w:t>
            </w:r>
            <w:r>
              <w:rPr>
                <w:rFonts w:hint="default"/>
                <w:lang w:val="zh-CN" w:eastAsia="zh-CN"/>
              </w:rPr>
              <w:t>全国矿产资源总体规划（2021—2025年）和云南省第四轮矿产资源规划规定的部分矿种矿山最低开采规模3者中的上限标准。</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5EC07DC9">
            <w:pPr>
              <w:pStyle w:val="43"/>
              <w:bidi w:val="0"/>
              <w:rPr>
                <w:rFonts w:hint="default"/>
                <w:lang w:val="zh-CN" w:eastAsia="zh-CN"/>
              </w:rPr>
            </w:pPr>
            <w:r>
              <w:rPr>
                <w:rFonts w:hint="default"/>
                <w:lang w:val="zh-CN" w:eastAsia="zh-CN"/>
              </w:rPr>
              <w:t>符合</w:t>
            </w:r>
          </w:p>
        </w:tc>
      </w:tr>
      <w:tr w14:paraId="36B27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6C5C8BD5">
            <w:pPr>
              <w:pStyle w:val="43"/>
              <w:bidi w:val="0"/>
              <w:rPr>
                <w:rFonts w:hint="default"/>
                <w:lang w:val="zh-CN" w:eastAsia="zh-CN"/>
              </w:rPr>
            </w:pPr>
            <w:r>
              <w:rPr>
                <w:rFonts w:hint="default"/>
                <w:lang w:val="zh-CN" w:eastAsia="zh-CN"/>
              </w:rPr>
              <w:t>3</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6F175124">
            <w:pPr>
              <w:pStyle w:val="43"/>
              <w:bidi w:val="0"/>
              <w:rPr>
                <w:rFonts w:hint="default"/>
                <w:lang w:val="zh-CN" w:eastAsia="zh-CN"/>
              </w:rPr>
            </w:pPr>
            <w:r>
              <w:rPr>
                <w:rFonts w:hint="default"/>
                <w:lang w:val="zh-CN" w:eastAsia="zh-CN"/>
              </w:rPr>
              <w:t>常</w:t>
            </w:r>
            <w:r>
              <w:rPr>
                <w:rFonts w:hint="eastAsia"/>
                <w:lang w:val="zh-CN" w:eastAsia="zh-CN"/>
              </w:rPr>
              <w:t>态化</w:t>
            </w:r>
            <w:r>
              <w:rPr>
                <w:rFonts w:hint="default"/>
                <w:lang w:val="zh-CN" w:eastAsia="zh-CN"/>
              </w:rPr>
              <w:t>开展非煤矿山清理处置。市、县两级政府应当依法对不符合采矿许可证、安全生产许可证、环评审批等办理条件的非煤矿山进行全面清理处置</w:t>
            </w:r>
            <w:r>
              <w:rPr>
                <w:rFonts w:hint="eastAsia"/>
                <w:lang w:val="zh-CN" w:eastAsia="zh-CN"/>
              </w:rPr>
              <w:t>，</w:t>
            </w:r>
            <w:r>
              <w:rPr>
                <w:rFonts w:hint="default"/>
                <w:lang w:val="zh-CN" w:eastAsia="zh-CN"/>
              </w:rPr>
              <w:t>对不符合保留条件依法作出关闭决定的</w:t>
            </w:r>
            <w:r>
              <w:rPr>
                <w:rFonts w:hint="eastAsia"/>
                <w:lang w:val="zh-CN" w:eastAsia="zh-CN"/>
              </w:rPr>
              <w:t>，应当</w:t>
            </w:r>
            <w:r>
              <w:rPr>
                <w:rFonts w:hint="default"/>
                <w:lang w:val="zh-CN" w:eastAsia="zh-CN"/>
              </w:rPr>
              <w:t>明确关闭后非煤矿山生态修复等法定义务履行责任主体及责任履行时限并向社会公告</w:t>
            </w:r>
            <w:r>
              <w:rPr>
                <w:rFonts w:hint="eastAsia"/>
                <w:lang w:val="zh-CN" w:eastAsia="zh-CN"/>
              </w:rPr>
              <w:t>，</w:t>
            </w:r>
            <w:r>
              <w:rPr>
                <w:rFonts w:hint="default"/>
                <w:lang w:val="zh-CN" w:eastAsia="zh-CN"/>
              </w:rPr>
              <w:t>由有权限机关办理相关证照注销（吊销）手续</w:t>
            </w:r>
            <w:r>
              <w:rPr>
                <w:rFonts w:hint="eastAsia"/>
                <w:lang w:val="zh-CN" w:eastAsia="zh-CN"/>
              </w:rPr>
              <w:t>，</w:t>
            </w:r>
            <w:r>
              <w:rPr>
                <w:rFonts w:hint="default"/>
                <w:lang w:val="zh-CN" w:eastAsia="zh-CN"/>
              </w:rPr>
              <w:t>未依法履行法定义务的</w:t>
            </w:r>
            <w:r>
              <w:rPr>
                <w:rFonts w:hint="eastAsia"/>
                <w:lang w:val="zh-CN" w:eastAsia="zh-CN"/>
              </w:rPr>
              <w:t>，</w:t>
            </w:r>
            <w:r>
              <w:rPr>
                <w:rFonts w:hint="default"/>
                <w:lang w:val="zh-CN" w:eastAsia="zh-CN"/>
              </w:rPr>
              <w:t>由县级政府依法依规追究法律责任；对继续保留的</w:t>
            </w:r>
            <w:r>
              <w:rPr>
                <w:rFonts w:hint="eastAsia"/>
                <w:lang w:val="zh-CN" w:eastAsia="zh-CN"/>
              </w:rPr>
              <w:t>，</w:t>
            </w:r>
            <w:r>
              <w:rPr>
                <w:rFonts w:hint="default"/>
                <w:lang w:val="zh-CN" w:eastAsia="zh-CN"/>
              </w:rPr>
              <w:t>各有关部门应指导非煤矿山企业限期完善相关手续</w:t>
            </w:r>
            <w:r>
              <w:rPr>
                <w:rFonts w:hint="eastAsia"/>
                <w:lang w:val="zh-CN" w:eastAsia="zh-CN"/>
              </w:rPr>
              <w:t>，</w:t>
            </w:r>
            <w:r>
              <w:rPr>
                <w:rFonts w:hint="default"/>
                <w:lang w:val="zh-CN" w:eastAsia="zh-CN"/>
              </w:rPr>
              <w:t>按照优化营商环境的有关要求加快办理。</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1E8FEB9C">
            <w:pPr>
              <w:pStyle w:val="43"/>
              <w:bidi w:val="0"/>
              <w:rPr>
                <w:rFonts w:hint="default"/>
                <w:lang w:val="en-US" w:eastAsia="zh-CN"/>
              </w:rPr>
            </w:pPr>
            <w:r>
              <w:rPr>
                <w:rFonts w:hint="eastAsia"/>
                <w:lang w:val="en-US" w:eastAsia="zh-CN"/>
              </w:rPr>
              <w:t>项目为现有矿山，原项目已按要求办理</w:t>
            </w:r>
            <w:r>
              <w:rPr>
                <w:rFonts w:hint="default"/>
                <w:lang w:val="zh-CN" w:eastAsia="zh-CN"/>
              </w:rPr>
              <w:t>采矿许可证、安全生产许可证、环评审批</w:t>
            </w:r>
            <w:r>
              <w:rPr>
                <w:rFonts w:hint="eastAsia"/>
                <w:lang w:val="zh-CN" w:eastAsia="zh-CN"/>
              </w:rPr>
              <w:t>。</w:t>
            </w:r>
            <w:r>
              <w:rPr>
                <w:rFonts w:hint="eastAsia"/>
                <w:lang w:val="en-US" w:eastAsia="zh-CN"/>
              </w:rPr>
              <w:t>针对扩建项目，目前正在进行环境影响评价报告编制，办理相关安全生产许可证手续，取得环评等各类审批文件才允许开工建设。</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6C5DF074">
            <w:pPr>
              <w:pStyle w:val="43"/>
              <w:bidi w:val="0"/>
              <w:rPr>
                <w:rFonts w:hint="default"/>
                <w:lang w:val="zh-CN" w:eastAsia="zh-CN"/>
              </w:rPr>
            </w:pPr>
            <w:r>
              <w:rPr>
                <w:rFonts w:hint="default"/>
                <w:lang w:val="zh-CN" w:eastAsia="zh-CN"/>
              </w:rPr>
              <w:t>符合</w:t>
            </w:r>
          </w:p>
        </w:tc>
      </w:tr>
      <w:tr w14:paraId="4343F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1C258ABA">
            <w:pPr>
              <w:pStyle w:val="43"/>
              <w:bidi w:val="0"/>
              <w:rPr>
                <w:rFonts w:hint="default"/>
                <w:lang w:val="en-US" w:eastAsia="zh-CN"/>
              </w:rPr>
            </w:pPr>
            <w:r>
              <w:rPr>
                <w:rFonts w:hint="eastAsia"/>
                <w:lang w:val="en-US" w:eastAsia="zh-CN"/>
              </w:rPr>
              <w:t>二、强化非煤矿山源头控制</w:t>
            </w:r>
          </w:p>
        </w:tc>
      </w:tr>
      <w:tr w14:paraId="450FB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4AA6D9CA">
            <w:pPr>
              <w:pStyle w:val="43"/>
              <w:bidi w:val="0"/>
              <w:rPr>
                <w:rFonts w:hint="default"/>
                <w:lang w:val="zh-CN" w:eastAsia="zh-CN"/>
              </w:rPr>
            </w:pPr>
            <w:r>
              <w:rPr>
                <w:rFonts w:hint="default"/>
                <w:lang w:val="zh-CN" w:eastAsia="zh-CN"/>
              </w:rPr>
              <w:t>4</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64E7B073">
            <w:pPr>
              <w:pStyle w:val="43"/>
              <w:bidi w:val="0"/>
              <w:rPr>
                <w:rFonts w:hint="default"/>
                <w:lang w:val="zh-CN" w:eastAsia="zh-CN"/>
              </w:rPr>
            </w:pPr>
            <w:r>
              <w:rPr>
                <w:rFonts w:hint="default"/>
                <w:lang w:val="zh-CN" w:eastAsia="zh-CN"/>
              </w:rPr>
              <w:t>科学合理设置矿权。矿产资源勘查应达到规定程度。非煤矿山与周边重要设施的最小安全距离、相邻非煤矿山生产建设作业范围最小距离应满足有关安全规定；普通建筑用砂石露天非煤矿山不得以山脊划界；在平均坡度大于35度的地形坡面不得新设置露天采石（砂）场。除符合规定的情形外</w:t>
            </w:r>
            <w:r>
              <w:rPr>
                <w:rFonts w:hint="eastAsia"/>
                <w:lang w:val="zh-CN" w:eastAsia="zh-CN"/>
              </w:rPr>
              <w:t>，</w:t>
            </w:r>
            <w:r>
              <w:rPr>
                <w:rFonts w:hint="default"/>
                <w:lang w:val="zh-CN" w:eastAsia="zh-CN"/>
              </w:rPr>
              <w:t>新设采矿权范围不得与已设采矿权垂直投影范围重叠；可集中开发的同一矿体不得设立2个以上采矿权。严禁在生态保护红线区及特定生态保护区范围内新设矿权。新立露天非煤矿山的采矿许可证范围应当不涉及永久基本农田、用林用草禁止区。</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393D35B8">
            <w:pPr>
              <w:pStyle w:val="43"/>
              <w:bidi w:val="0"/>
              <w:rPr>
                <w:rFonts w:hint="default"/>
                <w:lang w:val="en-US" w:eastAsia="zh-CN"/>
              </w:rPr>
            </w:pPr>
            <w:r>
              <w:rPr>
                <w:rFonts w:hint="eastAsia"/>
                <w:lang w:val="en-US" w:eastAsia="zh-CN"/>
              </w:rPr>
              <w:t>①项目已</w:t>
            </w:r>
            <w:r>
              <w:rPr>
                <w:rFonts w:hint="default"/>
                <w:lang w:val="zh-CN" w:eastAsia="zh-CN"/>
              </w:rPr>
              <w:t>达到</w:t>
            </w:r>
            <w:r>
              <w:rPr>
                <w:rFonts w:hint="eastAsia"/>
                <w:lang w:val="en-US" w:eastAsia="zh-CN"/>
              </w:rPr>
              <w:t>详查</w:t>
            </w:r>
            <w:r>
              <w:rPr>
                <w:rFonts w:hint="default"/>
                <w:lang w:val="zh-CN" w:eastAsia="zh-CN"/>
              </w:rPr>
              <w:t>程度</w:t>
            </w:r>
            <w:r>
              <w:rPr>
                <w:rFonts w:hint="eastAsia"/>
                <w:lang w:val="zh-CN" w:eastAsia="zh-CN"/>
              </w:rPr>
              <w:t>，</w:t>
            </w:r>
            <w:r>
              <w:rPr>
                <w:rFonts w:hint="eastAsia"/>
                <w:lang w:val="en-US" w:eastAsia="zh-CN"/>
              </w:rPr>
              <w:t>编制了储量核实报告及开发利用方案。②项目矿区</w:t>
            </w:r>
            <w:r>
              <w:rPr>
                <w:rFonts w:hint="default"/>
                <w:lang w:val="zh-CN" w:eastAsia="zh-CN"/>
              </w:rPr>
              <w:t>与周边重要设施的最小安全距离、相邻非煤矿山生产建设作业范围最小距离满足有关安全规定</w:t>
            </w:r>
            <w:r>
              <w:rPr>
                <w:rFonts w:hint="eastAsia"/>
                <w:lang w:val="zh-CN" w:eastAsia="zh-CN"/>
              </w:rPr>
              <w:t>；</w:t>
            </w:r>
            <w:r>
              <w:rPr>
                <w:rFonts w:hint="eastAsia"/>
                <w:lang w:val="en-US" w:eastAsia="zh-CN"/>
              </w:rPr>
              <w:t>③矿界不</w:t>
            </w:r>
            <w:r>
              <w:rPr>
                <w:rFonts w:hint="eastAsia"/>
                <w:lang w:val="zh-CN" w:eastAsia="zh-CN"/>
              </w:rPr>
              <w:t>以山脊划界，平均坡度</w:t>
            </w:r>
            <w:r>
              <w:rPr>
                <w:rFonts w:hint="eastAsia"/>
                <w:lang w:val="en-US" w:eastAsia="zh-CN"/>
              </w:rPr>
              <w:t>小于</w:t>
            </w:r>
            <w:r>
              <w:rPr>
                <w:rFonts w:hint="eastAsia"/>
                <w:lang w:val="zh-CN" w:eastAsia="zh-CN"/>
              </w:rPr>
              <w:t>35度</w:t>
            </w:r>
            <w:r>
              <w:rPr>
                <w:rFonts w:hint="eastAsia"/>
                <w:lang w:val="en-US" w:eastAsia="zh-CN"/>
              </w:rPr>
              <w:t>；④项目</w:t>
            </w:r>
            <w:r>
              <w:rPr>
                <w:rFonts w:hint="default"/>
                <w:lang w:val="zh-CN" w:eastAsia="zh-CN"/>
              </w:rPr>
              <w:t>采矿权范围不与已设采矿权垂直投影范围重叠</w:t>
            </w:r>
            <w:r>
              <w:rPr>
                <w:rFonts w:hint="eastAsia"/>
                <w:lang w:val="zh-CN" w:eastAsia="zh-CN"/>
              </w:rPr>
              <w:t>；</w:t>
            </w:r>
            <w:r>
              <w:rPr>
                <w:rFonts w:hint="eastAsia"/>
                <w:lang w:val="en-US" w:eastAsia="zh-CN"/>
              </w:rPr>
              <w:t>⑤矿区范围内仅建设单位一个唯一采矿权人；⑥项目矿界未占用生态保护红线、未涉及永久基本农田、用林用草禁止区。</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6AEB6A6F">
            <w:pPr>
              <w:pStyle w:val="43"/>
              <w:bidi w:val="0"/>
              <w:rPr>
                <w:rFonts w:hint="default"/>
                <w:lang w:val="zh-CN" w:eastAsia="zh-CN"/>
              </w:rPr>
            </w:pPr>
            <w:r>
              <w:rPr>
                <w:rFonts w:hint="default"/>
                <w:lang w:val="zh-CN" w:eastAsia="zh-CN"/>
              </w:rPr>
              <w:t>符合</w:t>
            </w:r>
          </w:p>
        </w:tc>
      </w:tr>
      <w:tr w14:paraId="6666D8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3612AE56">
            <w:pPr>
              <w:pStyle w:val="43"/>
              <w:bidi w:val="0"/>
              <w:rPr>
                <w:rFonts w:hint="default"/>
                <w:lang w:val="zh-CN" w:eastAsia="zh-CN"/>
              </w:rPr>
            </w:pPr>
            <w:r>
              <w:rPr>
                <w:rFonts w:hint="default"/>
                <w:lang w:val="zh-CN" w:eastAsia="zh-CN"/>
              </w:rPr>
              <w:t>5</w:t>
            </w:r>
          </w:p>
        </w:tc>
        <w:tc>
          <w:tcPr>
            <w:tcW w:w="2375" w:type="pct"/>
            <w:tcBorders>
              <w:top w:val="single" w:color="auto" w:sz="4" w:space="0"/>
              <w:left w:val="single" w:color="auto" w:sz="4" w:space="0"/>
              <w:bottom w:val="single" w:color="auto" w:sz="4" w:space="0"/>
              <w:right w:val="single" w:color="auto" w:sz="4" w:space="0"/>
            </w:tcBorders>
            <w:noWrap w:val="0"/>
            <w:vAlign w:val="center"/>
          </w:tcPr>
          <w:p w14:paraId="1579488D">
            <w:pPr>
              <w:pStyle w:val="43"/>
              <w:bidi w:val="0"/>
              <w:rPr>
                <w:rFonts w:hint="default"/>
                <w:lang w:val="zh-CN" w:eastAsia="zh-CN"/>
              </w:rPr>
            </w:pPr>
            <w:r>
              <w:rPr>
                <w:rFonts w:hint="default"/>
                <w:lang w:val="zh-CN" w:eastAsia="zh-CN"/>
              </w:rPr>
              <w:t>科学确定生产建设规模。采矿许可证证载规模是拟建设规模</w:t>
            </w:r>
            <w:r>
              <w:rPr>
                <w:rFonts w:hint="eastAsia"/>
                <w:lang w:val="zh-CN" w:eastAsia="zh-CN"/>
              </w:rPr>
              <w:t>，</w:t>
            </w:r>
            <w:r>
              <w:rPr>
                <w:rFonts w:hint="default"/>
                <w:lang w:val="zh-CN" w:eastAsia="zh-CN"/>
              </w:rPr>
              <w:t>非煤矿山确需扩大生产建设规模的</w:t>
            </w:r>
            <w:r>
              <w:rPr>
                <w:rFonts w:hint="eastAsia"/>
                <w:lang w:val="zh-CN" w:eastAsia="zh-CN"/>
              </w:rPr>
              <w:t>，</w:t>
            </w:r>
            <w:r>
              <w:rPr>
                <w:rFonts w:hint="default"/>
                <w:lang w:val="zh-CN" w:eastAsia="zh-CN"/>
              </w:rPr>
              <w:t>由企业结合实际编制项目可行性研究报告</w:t>
            </w:r>
            <w:r>
              <w:rPr>
                <w:rFonts w:hint="eastAsia"/>
                <w:lang w:val="zh-CN" w:eastAsia="zh-CN"/>
              </w:rPr>
              <w:t>，</w:t>
            </w:r>
            <w:r>
              <w:rPr>
                <w:rFonts w:hint="default"/>
                <w:lang w:val="zh-CN" w:eastAsia="zh-CN"/>
              </w:rPr>
              <w:t>并按照我省企业投资项目核准和备案实施办法等有关规定</w:t>
            </w:r>
            <w:r>
              <w:rPr>
                <w:rFonts w:hint="eastAsia"/>
                <w:lang w:val="zh-CN" w:eastAsia="zh-CN"/>
              </w:rPr>
              <w:t>，</w:t>
            </w:r>
            <w:r>
              <w:rPr>
                <w:rFonts w:hint="default"/>
                <w:lang w:val="zh-CN" w:eastAsia="zh-CN"/>
              </w:rPr>
              <w:t>报请发展改革部门核准或属地有关部门备案</w:t>
            </w:r>
            <w:r>
              <w:rPr>
                <w:rFonts w:hint="eastAsia"/>
                <w:lang w:val="zh-CN" w:eastAsia="zh-CN"/>
              </w:rPr>
              <w:t>，</w:t>
            </w:r>
            <w:r>
              <w:rPr>
                <w:rFonts w:hint="default"/>
                <w:lang w:val="zh-CN" w:eastAsia="zh-CN"/>
              </w:rPr>
              <w:t>明确拟生产建设规模。非煤矿山设计单位要在项目可行性研究基础上</w:t>
            </w:r>
            <w:r>
              <w:rPr>
                <w:rFonts w:hint="eastAsia"/>
                <w:lang w:val="zh-CN" w:eastAsia="zh-CN"/>
              </w:rPr>
              <w:t>，</w:t>
            </w:r>
            <w:r>
              <w:rPr>
                <w:rFonts w:hint="default"/>
                <w:lang w:val="zh-CN" w:eastAsia="zh-CN"/>
              </w:rPr>
              <w:t>充分考虑资源高效利用、安全生产、生态环境保护等因素</w:t>
            </w:r>
            <w:r>
              <w:rPr>
                <w:rFonts w:hint="eastAsia"/>
                <w:lang w:val="zh-CN" w:eastAsia="zh-CN"/>
              </w:rPr>
              <w:t>，</w:t>
            </w:r>
            <w:r>
              <w:rPr>
                <w:rFonts w:hint="default"/>
                <w:lang w:val="zh-CN" w:eastAsia="zh-CN"/>
              </w:rPr>
              <w:t>在非煤矿山初步设计和安全设施设计中科学论证并确定实际生产建设规模。非煤矿山企业必须严格按照经审查批准的设计能力建设、生产。</w:t>
            </w:r>
          </w:p>
        </w:tc>
        <w:tc>
          <w:tcPr>
            <w:tcW w:w="1671" w:type="pct"/>
            <w:tcBorders>
              <w:top w:val="single" w:color="auto" w:sz="4" w:space="0"/>
              <w:left w:val="single" w:color="auto" w:sz="4" w:space="0"/>
              <w:bottom w:val="single" w:color="auto" w:sz="4" w:space="0"/>
              <w:right w:val="single" w:color="auto" w:sz="4" w:space="0"/>
            </w:tcBorders>
            <w:noWrap w:val="0"/>
            <w:vAlign w:val="center"/>
          </w:tcPr>
          <w:p w14:paraId="72251225">
            <w:pPr>
              <w:pStyle w:val="43"/>
              <w:bidi w:val="0"/>
              <w:rPr>
                <w:rFonts w:hint="default"/>
                <w:lang w:val="en-US" w:eastAsia="zh-CN"/>
              </w:rPr>
            </w:pPr>
            <w:r>
              <w:rPr>
                <w:rFonts w:hint="eastAsia"/>
                <w:lang w:val="en-US" w:eastAsia="zh-CN"/>
              </w:rPr>
              <w:t>项目为现有矿山扩建，扩建项目已办理了备案证，将严格按照采矿许可证允许规模进行开采。</w:t>
            </w:r>
          </w:p>
        </w:tc>
        <w:tc>
          <w:tcPr>
            <w:tcW w:w="534" w:type="pct"/>
            <w:tcBorders>
              <w:top w:val="single" w:color="auto" w:sz="4" w:space="0"/>
              <w:left w:val="single" w:color="auto" w:sz="4" w:space="0"/>
              <w:bottom w:val="single" w:color="auto" w:sz="4" w:space="0"/>
              <w:right w:val="single" w:color="auto" w:sz="4" w:space="0"/>
            </w:tcBorders>
            <w:noWrap w:val="0"/>
            <w:vAlign w:val="center"/>
          </w:tcPr>
          <w:p w14:paraId="222D3E6B">
            <w:pPr>
              <w:pStyle w:val="43"/>
              <w:bidi w:val="0"/>
              <w:rPr>
                <w:rFonts w:hint="default"/>
                <w:lang w:val="zh-CN" w:eastAsia="zh-CN"/>
              </w:rPr>
            </w:pPr>
            <w:r>
              <w:rPr>
                <w:rFonts w:hint="default"/>
                <w:lang w:val="zh-CN" w:eastAsia="zh-CN"/>
              </w:rPr>
              <w:t>符合</w:t>
            </w:r>
          </w:p>
        </w:tc>
      </w:tr>
    </w:tbl>
    <w:p w14:paraId="2957314C">
      <w:pPr>
        <w:pStyle w:val="41"/>
        <w:bidi w:val="0"/>
        <w:rPr>
          <w:rFonts w:hint="default"/>
          <w:lang w:val="en-US" w:eastAsia="zh-CN"/>
        </w:rPr>
      </w:pPr>
      <w:r>
        <w:rPr>
          <w:rFonts w:hint="eastAsia"/>
          <w:lang w:val="en-US" w:eastAsia="zh-CN"/>
        </w:rPr>
        <w:t>综上，项目符合《云南省人民政府办公厅关于印发〈云南省全面加强非煤矿山安全生产工作若干措施〉的通知》（云政办发〔2024〕44号）相关要求。</w:t>
      </w:r>
    </w:p>
    <w:p w14:paraId="61564347">
      <w:pPr>
        <w:pStyle w:val="3"/>
        <w:bidi w:val="0"/>
        <w:rPr>
          <w:rFonts w:hint="default"/>
          <w:lang w:val="en-US" w:eastAsia="zh-CN"/>
        </w:rPr>
      </w:pPr>
      <w:bookmarkStart w:id="562" w:name="_Toc32576"/>
      <w:bookmarkStart w:id="563" w:name="_Toc1787"/>
      <w:r>
        <w:rPr>
          <w:rFonts w:hint="eastAsia"/>
          <w:lang w:val="en-US" w:eastAsia="zh-CN"/>
        </w:rPr>
        <w:t>与矿产资源规划的符合性分析</w:t>
      </w:r>
      <w:bookmarkEnd w:id="562"/>
      <w:bookmarkEnd w:id="563"/>
    </w:p>
    <w:p w14:paraId="77018F61">
      <w:pPr>
        <w:pStyle w:val="4"/>
        <w:bidi w:val="0"/>
        <w:rPr>
          <w:rFonts w:hint="eastAsia"/>
          <w:lang w:val="en-US" w:eastAsia="zh-CN"/>
        </w:rPr>
      </w:pPr>
      <w:bookmarkStart w:id="564" w:name="_Toc7073"/>
      <w:bookmarkStart w:id="565" w:name="_Toc19858"/>
      <w:r>
        <w:rPr>
          <w:rFonts w:hint="eastAsia"/>
          <w:lang w:val="en-US" w:eastAsia="zh-CN"/>
        </w:rPr>
        <w:t>与《云南省矿产资源总体规划（2021-2025年）》的符合性分析</w:t>
      </w:r>
      <w:bookmarkEnd w:id="564"/>
      <w:bookmarkEnd w:id="565"/>
    </w:p>
    <w:p w14:paraId="405D1ADF">
      <w:pPr>
        <w:pStyle w:val="41"/>
        <w:bidi w:val="0"/>
        <w:rPr>
          <w:rFonts w:hint="default"/>
        </w:rPr>
      </w:pPr>
      <w:r>
        <w:rPr>
          <w:rFonts w:hint="default"/>
        </w:rPr>
        <w:t>根据《云南省矿产资源总体规划（2021—2025年）》中提出的相关要求</w:t>
      </w:r>
      <w:r>
        <w:rPr>
          <w:rFonts w:hint="eastAsia"/>
          <w:lang w:eastAsia="zh-CN"/>
        </w:rPr>
        <w:t>，</w:t>
      </w:r>
      <w:r>
        <w:rPr>
          <w:rFonts w:hint="default"/>
        </w:rPr>
        <w:t>本项目与该规划要求的对比分析见下表。</w:t>
      </w:r>
    </w:p>
    <w:p w14:paraId="76D55723">
      <w:pPr>
        <w:pStyle w:val="45"/>
        <w:bidi w:val="0"/>
        <w:rPr>
          <w:rFonts w:hint="default"/>
        </w:rPr>
      </w:pPr>
      <w:r>
        <w:rPr>
          <w:rFonts w:hint="default"/>
        </w:rPr>
        <w:t>表</w:t>
      </w:r>
      <w:r>
        <w:rPr>
          <w:rFonts w:hint="eastAsia"/>
          <w:lang w:val="en-US" w:eastAsia="zh-CN"/>
        </w:rPr>
        <w:t xml:space="preserve">9.6-1 </w:t>
      </w:r>
      <w:r>
        <w:rPr>
          <w:rFonts w:hint="default"/>
        </w:rPr>
        <w:t xml:space="preserve"> 项目与《云南省矿产资源总体规划（2021—2025年）》符合性分析</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43"/>
        <w:gridCol w:w="3637"/>
        <w:gridCol w:w="3302"/>
        <w:gridCol w:w="830"/>
      </w:tblGrid>
      <w:tr w14:paraId="0C4A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tblHeader/>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E774B9">
            <w:pPr>
              <w:pStyle w:val="43"/>
              <w:bidi w:val="0"/>
              <w:rPr>
                <w:rFonts w:hint="default"/>
                <w:b/>
                <w:bCs/>
              </w:rPr>
            </w:pPr>
            <w:r>
              <w:rPr>
                <w:rFonts w:hint="default"/>
                <w:b/>
                <w:bCs/>
              </w:rPr>
              <w:t>序号</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A215DA">
            <w:pPr>
              <w:pStyle w:val="43"/>
              <w:bidi w:val="0"/>
              <w:rPr>
                <w:rFonts w:hint="default"/>
                <w:b/>
                <w:bCs/>
              </w:rPr>
            </w:pPr>
            <w:r>
              <w:rPr>
                <w:rFonts w:hint="default"/>
                <w:b/>
                <w:bCs/>
              </w:rPr>
              <w:t>《云南省矿产资源总体规划（2021—2025年）》的相关要求</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51A938">
            <w:pPr>
              <w:pStyle w:val="43"/>
              <w:bidi w:val="0"/>
              <w:rPr>
                <w:rFonts w:hint="default"/>
                <w:b/>
                <w:bCs/>
              </w:rPr>
            </w:pPr>
            <w:r>
              <w:rPr>
                <w:rFonts w:hint="default"/>
                <w:b/>
                <w:bCs/>
              </w:rPr>
              <w:t>本项目建设情况</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17E602">
            <w:pPr>
              <w:pStyle w:val="43"/>
              <w:bidi w:val="0"/>
              <w:rPr>
                <w:rFonts w:hint="default"/>
                <w:b/>
                <w:bCs/>
              </w:rPr>
            </w:pPr>
            <w:r>
              <w:rPr>
                <w:rFonts w:hint="default"/>
                <w:b/>
                <w:bCs/>
              </w:rPr>
              <w:t>相符性</w:t>
            </w:r>
          </w:p>
        </w:tc>
      </w:tr>
      <w:tr w14:paraId="4170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77CF99">
            <w:pPr>
              <w:pStyle w:val="43"/>
              <w:bidi w:val="0"/>
              <w:rPr>
                <w:rFonts w:hint="default"/>
              </w:rPr>
            </w:pPr>
            <w:r>
              <w:rPr>
                <w:rFonts w:hint="default"/>
              </w:rPr>
              <w:t>1</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2220CD">
            <w:pPr>
              <w:pStyle w:val="43"/>
              <w:bidi w:val="0"/>
              <w:rPr>
                <w:rFonts w:hint="default"/>
              </w:rPr>
            </w:pPr>
            <w:r>
              <w:rPr>
                <w:rFonts w:hint="default"/>
              </w:rPr>
              <w:t>加强非煤矿山管控。提高矿山准入门槛</w:t>
            </w:r>
            <w:r>
              <w:rPr>
                <w:rFonts w:hint="eastAsia"/>
                <w:lang w:eastAsia="zh-CN"/>
              </w:rPr>
              <w:t>，</w:t>
            </w:r>
            <w:r>
              <w:rPr>
                <w:rFonts w:hint="default"/>
              </w:rPr>
              <w:t>严格执行非煤矿山最低开采规模和服务年限标准</w:t>
            </w:r>
            <w:r>
              <w:rPr>
                <w:rFonts w:hint="eastAsia"/>
                <w:lang w:eastAsia="zh-CN"/>
              </w:rPr>
              <w:t>，</w:t>
            </w:r>
            <w:r>
              <w:rPr>
                <w:rFonts w:hint="default"/>
              </w:rPr>
              <w:t>切实提高非煤矿山开采规模</w:t>
            </w:r>
            <w:r>
              <w:rPr>
                <w:rFonts w:hint="eastAsia"/>
                <w:lang w:eastAsia="zh-CN"/>
              </w:rPr>
              <w:t>，</w:t>
            </w:r>
            <w:r>
              <w:rPr>
                <w:rFonts w:hint="default"/>
              </w:rPr>
              <w:t>严防边关闭边低水平重复建设。逐步优化非煤矿山布局</w:t>
            </w:r>
            <w:r>
              <w:rPr>
                <w:rFonts w:hint="eastAsia"/>
                <w:lang w:eastAsia="zh-CN"/>
              </w:rPr>
              <w:t>，</w:t>
            </w:r>
            <w:r>
              <w:rPr>
                <w:rFonts w:hint="default"/>
              </w:rPr>
              <w:t>提升非煤矿山资源保障能力。综合考虑矿产资源潜力、市场供求状况、资源保障程度、采矿权设置等因素</w:t>
            </w:r>
            <w:r>
              <w:rPr>
                <w:rFonts w:hint="eastAsia"/>
                <w:lang w:eastAsia="zh-CN"/>
              </w:rPr>
              <w:t>，</w:t>
            </w:r>
            <w:r>
              <w:rPr>
                <w:rFonts w:hint="default"/>
              </w:rPr>
              <w:t>合理确定年度开采总量。到2025年</w:t>
            </w:r>
            <w:r>
              <w:rPr>
                <w:rFonts w:hint="eastAsia"/>
                <w:lang w:eastAsia="zh-CN"/>
              </w:rPr>
              <w:t>，</w:t>
            </w:r>
            <w:r>
              <w:rPr>
                <w:rFonts w:hint="default"/>
              </w:rPr>
              <w:t>在巩固和深化非煤矿山专项整治工作的基础上</w:t>
            </w:r>
            <w:r>
              <w:rPr>
                <w:rFonts w:hint="eastAsia"/>
                <w:lang w:eastAsia="zh-CN"/>
              </w:rPr>
              <w:t>，</w:t>
            </w:r>
            <w:r>
              <w:rPr>
                <w:rFonts w:hint="default"/>
              </w:rPr>
              <w:t>全省非煤矿山总量控制、动态管理、依法监管机制进一步健全和完善。</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C88DE8">
            <w:pPr>
              <w:pStyle w:val="43"/>
              <w:bidi w:val="0"/>
              <w:rPr>
                <w:rFonts w:hint="default"/>
              </w:rPr>
            </w:pPr>
            <w:r>
              <w:rPr>
                <w:rFonts w:hint="default"/>
              </w:rPr>
              <w:t>根据2015年5月29日云南省人民政府颁发《云南省人民政府关于促进非煤矿山转型升级的实施意见》（云政发〔2015〕38号）要求</w:t>
            </w:r>
            <w:r>
              <w:rPr>
                <w:rFonts w:hint="eastAsia"/>
                <w:lang w:eastAsia="zh-CN"/>
              </w:rPr>
              <w:t>，</w:t>
            </w:r>
            <w:r>
              <w:rPr>
                <w:rFonts w:hint="eastAsia"/>
                <w:lang w:val="en-US" w:eastAsia="zh-CN"/>
              </w:rPr>
              <w:t>现有</w:t>
            </w:r>
            <w:r>
              <w:rPr>
                <w:rFonts w:hint="eastAsia"/>
                <w:lang w:eastAsia="zh-CN"/>
              </w:rPr>
              <w:t>“建筑用石料类”≥</w:t>
            </w:r>
            <w:r>
              <w:rPr>
                <w:rFonts w:hint="eastAsia"/>
                <w:lang w:val="en-US" w:eastAsia="zh-CN"/>
              </w:rPr>
              <w:t>1</w:t>
            </w:r>
            <w:r>
              <w:rPr>
                <w:rFonts w:hint="eastAsia"/>
                <w:lang w:eastAsia="zh-CN"/>
              </w:rPr>
              <w:t>0万t/a，且露天开采矿山最低服务年限为6年。</w:t>
            </w:r>
            <w:r>
              <w:rPr>
                <w:rFonts w:hint="default"/>
              </w:rPr>
              <w:t>项目为建筑用灰岩矿</w:t>
            </w:r>
            <w:r>
              <w:rPr>
                <w:rFonts w:hint="eastAsia"/>
                <w:lang w:val="en-US" w:eastAsia="zh-CN"/>
              </w:rPr>
              <w:t>开采加工</w:t>
            </w:r>
            <w:r>
              <w:rPr>
                <w:rFonts w:hint="eastAsia"/>
                <w:lang w:eastAsia="zh-CN"/>
              </w:rPr>
              <w:t>，</w:t>
            </w:r>
            <w:r>
              <w:rPr>
                <w:rFonts w:hint="default"/>
              </w:rPr>
              <w:t>矿山为</w:t>
            </w:r>
            <w:r>
              <w:rPr>
                <w:rFonts w:hint="eastAsia"/>
                <w:lang w:val="en-US" w:eastAsia="zh-CN"/>
              </w:rPr>
              <w:t>露天</w:t>
            </w:r>
            <w:r>
              <w:rPr>
                <w:rFonts w:hint="default"/>
              </w:rPr>
              <w:t>开采</w:t>
            </w:r>
            <w:r>
              <w:rPr>
                <w:rFonts w:hint="eastAsia"/>
                <w:lang w:eastAsia="zh-CN"/>
              </w:rPr>
              <w:t>，</w:t>
            </w:r>
            <w:r>
              <w:rPr>
                <w:rFonts w:hint="default"/>
              </w:rPr>
              <w:t>设计开采规模为</w:t>
            </w:r>
            <w:r>
              <w:rPr>
                <w:rFonts w:hint="eastAsia"/>
                <w:lang w:val="en-US" w:eastAsia="zh-CN"/>
              </w:rPr>
              <w:t>50</w:t>
            </w:r>
            <w:r>
              <w:rPr>
                <w:rFonts w:hint="default"/>
              </w:rPr>
              <w:t>万t/a</w:t>
            </w:r>
            <w:r>
              <w:rPr>
                <w:rFonts w:hint="eastAsia"/>
                <w:lang w:eastAsia="zh-CN"/>
              </w:rPr>
              <w:t>，</w:t>
            </w:r>
            <w:r>
              <w:rPr>
                <w:rFonts w:hint="default"/>
              </w:rPr>
              <w:t>矿山生产服务年限为</w:t>
            </w:r>
            <w:r>
              <w:rPr>
                <w:rFonts w:hint="eastAsia"/>
                <w:lang w:val="en-US" w:eastAsia="zh-CN"/>
              </w:rPr>
              <w:t>35.1</w:t>
            </w:r>
            <w:r>
              <w:rPr>
                <w:rFonts w:hint="default"/>
              </w:rPr>
              <w:t>年。满足最低开采规模和服务年限标准。</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68CECC">
            <w:pPr>
              <w:pStyle w:val="43"/>
              <w:bidi w:val="0"/>
              <w:rPr>
                <w:rFonts w:hint="default"/>
              </w:rPr>
            </w:pPr>
            <w:r>
              <w:rPr>
                <w:rFonts w:hint="default"/>
              </w:rPr>
              <w:t>符合</w:t>
            </w:r>
          </w:p>
        </w:tc>
      </w:tr>
      <w:tr w14:paraId="73D2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733587">
            <w:pPr>
              <w:pStyle w:val="43"/>
              <w:bidi w:val="0"/>
              <w:rPr>
                <w:rFonts w:hint="eastAsia"/>
                <w:lang w:val="en-US" w:eastAsia="zh-CN"/>
              </w:rPr>
            </w:pPr>
            <w:r>
              <w:rPr>
                <w:rFonts w:hint="eastAsia"/>
                <w:lang w:val="en-US" w:eastAsia="zh-CN"/>
              </w:rPr>
              <w:t>2</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73B34C">
            <w:pPr>
              <w:pStyle w:val="43"/>
              <w:bidi w:val="0"/>
              <w:rPr>
                <w:rFonts w:hint="default"/>
              </w:rPr>
            </w:pPr>
            <w:r>
              <w:rPr>
                <w:rFonts w:hint="default"/>
              </w:rPr>
              <w:t>鼓励开采页岩气、煤层气、地热、铁、锰、铜、铝土矿、锡、金、银、硅石矿等矿产。禁止开采蓝石棉、可耕地砖瓦用粘土等矿产。不再新建汞矿山</w:t>
            </w:r>
            <w:r>
              <w:rPr>
                <w:rFonts w:hint="eastAsia"/>
                <w:lang w:eastAsia="zh-CN"/>
              </w:rPr>
              <w:t>，</w:t>
            </w:r>
            <w:r>
              <w:rPr>
                <w:rFonts w:hint="default"/>
              </w:rPr>
              <w:t>禁止开采新的原生汞矿</w:t>
            </w:r>
            <w:r>
              <w:rPr>
                <w:rFonts w:hint="eastAsia"/>
                <w:lang w:eastAsia="zh-CN"/>
              </w:rPr>
              <w:t>，</w:t>
            </w:r>
            <w:r>
              <w:rPr>
                <w:rFonts w:hint="default"/>
              </w:rPr>
              <w:t>逐步停止汞矿开采。限制开采高硫、高灰、高砷、高氟煤炭</w:t>
            </w:r>
            <w:r>
              <w:rPr>
                <w:rFonts w:hint="eastAsia"/>
                <w:lang w:eastAsia="zh-CN"/>
              </w:rPr>
              <w:t>，</w:t>
            </w:r>
            <w:r>
              <w:rPr>
                <w:rFonts w:hint="default"/>
              </w:rPr>
              <w:t>湿地泥炭和砂金、砂铁等</w:t>
            </w:r>
            <w:r>
              <w:rPr>
                <w:rFonts w:hint="eastAsia"/>
                <w:lang w:eastAsia="zh-CN"/>
              </w:rPr>
              <w:t>，</w:t>
            </w:r>
            <w:r>
              <w:rPr>
                <w:rFonts w:hint="default"/>
              </w:rPr>
              <w:t>从严控制采矿权投放。</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960432">
            <w:pPr>
              <w:pStyle w:val="43"/>
              <w:bidi w:val="0"/>
              <w:rPr>
                <w:rFonts w:hint="eastAsia"/>
                <w:lang w:val="en-US" w:eastAsia="zh-CN"/>
              </w:rPr>
            </w:pPr>
            <w:r>
              <w:rPr>
                <w:rFonts w:hint="default"/>
              </w:rPr>
              <w:t>项目开采矿种为建筑用灰岩矿</w:t>
            </w:r>
            <w:r>
              <w:rPr>
                <w:rFonts w:hint="eastAsia"/>
                <w:lang w:eastAsia="zh-CN"/>
              </w:rPr>
              <w:t>，</w:t>
            </w:r>
            <w:r>
              <w:rPr>
                <w:rFonts w:hint="eastAsia"/>
                <w:lang w:val="en-US" w:eastAsia="zh-CN"/>
              </w:rPr>
              <w:t>不属于禁止及限制类矿产</w:t>
            </w:r>
            <w:r>
              <w:rPr>
                <w:rFonts w:hint="eastAsia"/>
                <w:lang w:eastAsia="zh-CN"/>
              </w:rPr>
              <w:t>。</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08158B">
            <w:pPr>
              <w:pStyle w:val="43"/>
              <w:bidi w:val="0"/>
              <w:rPr>
                <w:rFonts w:hint="eastAsia"/>
                <w:lang w:val="en-US" w:eastAsia="zh-CN"/>
              </w:rPr>
            </w:pPr>
            <w:r>
              <w:rPr>
                <w:rFonts w:hint="eastAsia"/>
                <w:lang w:val="en-US" w:eastAsia="zh-CN"/>
              </w:rPr>
              <w:t>不冲突</w:t>
            </w:r>
          </w:p>
        </w:tc>
      </w:tr>
      <w:tr w14:paraId="71C2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B9DC6D">
            <w:pPr>
              <w:pStyle w:val="43"/>
              <w:bidi w:val="0"/>
              <w:rPr>
                <w:rFonts w:hint="eastAsia"/>
                <w:lang w:eastAsia="zh-CN"/>
              </w:rPr>
            </w:pPr>
            <w:r>
              <w:rPr>
                <w:rFonts w:hint="eastAsia"/>
                <w:lang w:val="en-US" w:eastAsia="zh-CN"/>
              </w:rPr>
              <w:t>3</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9E83DA">
            <w:pPr>
              <w:pStyle w:val="43"/>
              <w:bidi w:val="0"/>
              <w:rPr>
                <w:rFonts w:hint="default"/>
              </w:rPr>
            </w:pPr>
            <w:r>
              <w:rPr>
                <w:rFonts w:hint="default"/>
              </w:rPr>
              <w:t>加强重要非金属矿产开发利用。加大硅石矿、建材等非金属矿产供应。促进</w:t>
            </w:r>
            <w:r>
              <w:rPr>
                <w:rFonts w:hint="eastAsia"/>
                <w:lang w:eastAsia="zh-CN"/>
              </w:rPr>
              <w:t>硅</w:t>
            </w:r>
            <w:r>
              <w:rPr>
                <w:rFonts w:hint="default"/>
              </w:rPr>
              <w:t>矿绿色开采、规模发展</w:t>
            </w:r>
            <w:r>
              <w:rPr>
                <w:rFonts w:hint="eastAsia"/>
                <w:lang w:eastAsia="zh-CN"/>
              </w:rPr>
              <w:t>，</w:t>
            </w:r>
            <w:r>
              <w:rPr>
                <w:rFonts w:hint="default"/>
              </w:rPr>
              <w:t>为发展绿色硅产业提供资源保障。以开采天然装饰石材、建筑用石材、水泥灰岩、冶金辅助原料和化工辅助原料等非金属矿产为重点</w:t>
            </w:r>
            <w:r>
              <w:rPr>
                <w:rFonts w:hint="eastAsia"/>
                <w:lang w:eastAsia="zh-CN"/>
              </w:rPr>
              <w:t>，</w:t>
            </w:r>
            <w:r>
              <w:rPr>
                <w:rFonts w:hint="default"/>
              </w:rPr>
              <w:t>引导规模开采、绿色开采</w:t>
            </w:r>
            <w:r>
              <w:rPr>
                <w:rFonts w:hint="eastAsia"/>
                <w:lang w:eastAsia="zh-CN"/>
              </w:rPr>
              <w:t>，</w:t>
            </w:r>
            <w:r>
              <w:rPr>
                <w:rFonts w:hint="default"/>
              </w:rPr>
              <w:t>推进资源集约化、规模化开发。</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55D803">
            <w:pPr>
              <w:pStyle w:val="43"/>
              <w:bidi w:val="0"/>
              <w:rPr>
                <w:rFonts w:hint="default"/>
              </w:rPr>
            </w:pPr>
            <w:r>
              <w:rPr>
                <w:rFonts w:hint="default"/>
              </w:rPr>
              <w:t>项目</w:t>
            </w:r>
            <w:r>
              <w:rPr>
                <w:rFonts w:hint="eastAsia"/>
                <w:lang w:val="en-US" w:eastAsia="zh-CN"/>
              </w:rPr>
              <w:t>为</w:t>
            </w:r>
            <w:r>
              <w:rPr>
                <w:rFonts w:hint="default"/>
              </w:rPr>
              <w:t>建筑用灰岩矿</w:t>
            </w:r>
            <w:r>
              <w:rPr>
                <w:rFonts w:hint="eastAsia"/>
                <w:lang w:val="en-US" w:eastAsia="zh-CN"/>
              </w:rPr>
              <w:t>开采加工</w:t>
            </w:r>
            <w:r>
              <w:rPr>
                <w:rFonts w:hint="eastAsia"/>
                <w:lang w:eastAsia="zh-CN"/>
              </w:rPr>
              <w:t>，</w:t>
            </w:r>
            <w:r>
              <w:rPr>
                <w:rFonts w:hint="default"/>
              </w:rPr>
              <w:t>属于规划中开采重点</w:t>
            </w:r>
            <w:r>
              <w:rPr>
                <w:rFonts w:hint="eastAsia"/>
                <w:lang w:eastAsia="zh-CN"/>
              </w:rPr>
              <w:t>，</w:t>
            </w:r>
            <w:r>
              <w:rPr>
                <w:rFonts w:hint="default"/>
              </w:rPr>
              <w:t>开采规模满足要求</w:t>
            </w:r>
            <w:r>
              <w:rPr>
                <w:rFonts w:hint="eastAsia"/>
                <w:lang w:eastAsia="zh-CN"/>
              </w:rPr>
              <w:t>，</w:t>
            </w:r>
            <w:r>
              <w:rPr>
                <w:rFonts w:hint="default"/>
              </w:rPr>
              <w:t>矿山按照绿色开采</w:t>
            </w:r>
            <w:r>
              <w:rPr>
                <w:rFonts w:hint="eastAsia"/>
                <w:lang w:eastAsia="zh-CN"/>
              </w:rPr>
              <w:t>、</w:t>
            </w:r>
            <w:r>
              <w:rPr>
                <w:rFonts w:hint="default"/>
              </w:rPr>
              <w:t>资源集约化、规模化开发要求进行建设。</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B7CF76">
            <w:pPr>
              <w:pStyle w:val="43"/>
              <w:bidi w:val="0"/>
              <w:rPr>
                <w:rFonts w:hint="default"/>
              </w:rPr>
            </w:pPr>
            <w:r>
              <w:rPr>
                <w:rFonts w:hint="default"/>
              </w:rPr>
              <w:t>符合</w:t>
            </w:r>
          </w:p>
        </w:tc>
      </w:tr>
      <w:tr w14:paraId="2246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29905A">
            <w:pPr>
              <w:pStyle w:val="43"/>
              <w:bidi w:val="0"/>
              <w:rPr>
                <w:rFonts w:hint="eastAsia"/>
                <w:lang w:eastAsia="zh-CN"/>
              </w:rPr>
            </w:pPr>
            <w:r>
              <w:rPr>
                <w:rFonts w:hint="eastAsia"/>
                <w:lang w:val="en-US" w:eastAsia="zh-CN"/>
              </w:rPr>
              <w:t>4</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F44D48">
            <w:pPr>
              <w:pStyle w:val="43"/>
              <w:bidi w:val="0"/>
              <w:rPr>
                <w:rFonts w:hint="default"/>
              </w:rPr>
            </w:pPr>
            <w:r>
              <w:rPr>
                <w:rFonts w:hint="default"/>
              </w:rPr>
              <w:t>实施矿产资源差别化管理。实施矿种差别化、区域差别化管理。对紧缺矿产</w:t>
            </w:r>
            <w:r>
              <w:rPr>
                <w:rFonts w:hint="eastAsia"/>
                <w:lang w:eastAsia="zh-CN"/>
              </w:rPr>
              <w:t>，</w:t>
            </w:r>
            <w:r>
              <w:rPr>
                <w:rFonts w:hint="default"/>
              </w:rPr>
              <w:t>实施鼓励性勘查开发政策。对优势矿产</w:t>
            </w:r>
            <w:r>
              <w:rPr>
                <w:rFonts w:hint="eastAsia"/>
                <w:lang w:eastAsia="zh-CN"/>
              </w:rPr>
              <w:t>，</w:t>
            </w:r>
            <w:r>
              <w:rPr>
                <w:rFonts w:hint="default"/>
              </w:rPr>
              <w:t>合理调控开发利用总量。对产能过剩类矿产</w:t>
            </w:r>
            <w:r>
              <w:rPr>
                <w:rFonts w:hint="eastAsia"/>
                <w:lang w:eastAsia="zh-CN"/>
              </w:rPr>
              <w:t>，</w:t>
            </w:r>
            <w:r>
              <w:rPr>
                <w:rFonts w:hint="default"/>
              </w:rPr>
              <w:t>严格控制新增产能</w:t>
            </w:r>
            <w:r>
              <w:rPr>
                <w:rFonts w:hint="eastAsia"/>
                <w:lang w:eastAsia="zh-CN"/>
              </w:rPr>
              <w:t>，</w:t>
            </w:r>
            <w:r>
              <w:rPr>
                <w:rFonts w:hint="default"/>
              </w:rPr>
              <w:t>淘汰落后产能。妥善处置各类保护区内的矿业权。生态保护红线范围内原则上禁止不符合生态保护红线管控要求的矿产资源勘查开采</w:t>
            </w:r>
            <w:r>
              <w:rPr>
                <w:rFonts w:hint="eastAsia"/>
                <w:lang w:eastAsia="zh-CN"/>
              </w:rPr>
              <w:t>，</w:t>
            </w:r>
            <w:r>
              <w:rPr>
                <w:rFonts w:hint="default"/>
              </w:rPr>
              <w:t>对生态保护红线、自然保护地、永久基本农田内战略性矿产矿业权实施差别化管理。</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F7C249">
            <w:pPr>
              <w:pStyle w:val="43"/>
              <w:bidi w:val="0"/>
              <w:rPr>
                <w:rFonts w:hint="default"/>
              </w:rPr>
            </w:pPr>
            <w:r>
              <w:rPr>
                <w:rFonts w:hint="default"/>
              </w:rPr>
              <w:t>项目</w:t>
            </w:r>
            <w:r>
              <w:rPr>
                <w:rFonts w:hint="eastAsia"/>
                <w:lang w:val="en-US" w:eastAsia="zh-CN"/>
              </w:rPr>
              <w:t>为</w:t>
            </w:r>
            <w:r>
              <w:rPr>
                <w:rFonts w:hint="default"/>
              </w:rPr>
              <w:t>建筑用灰岩矿</w:t>
            </w:r>
            <w:r>
              <w:rPr>
                <w:rFonts w:hint="eastAsia"/>
                <w:lang w:val="en-US" w:eastAsia="zh-CN"/>
              </w:rPr>
              <w:t>开采加工</w:t>
            </w:r>
            <w:r>
              <w:rPr>
                <w:rFonts w:hint="eastAsia"/>
                <w:lang w:eastAsia="zh-CN"/>
              </w:rPr>
              <w:t>，</w:t>
            </w:r>
            <w:r>
              <w:rPr>
                <w:rFonts w:hint="default"/>
              </w:rPr>
              <w:t>不属于产能过剩类矿产</w:t>
            </w:r>
            <w:r>
              <w:rPr>
                <w:rFonts w:hint="eastAsia"/>
                <w:lang w:eastAsia="zh-CN"/>
              </w:rPr>
              <w:t>，</w:t>
            </w:r>
            <w:r>
              <w:rPr>
                <w:rFonts w:hint="default"/>
              </w:rPr>
              <w:t>也不属于淘汰落后产能。根据</w:t>
            </w:r>
            <w:r>
              <w:rPr>
                <w:rFonts w:hint="eastAsia"/>
                <w:lang w:val="en-US" w:eastAsia="zh-CN"/>
              </w:rPr>
              <w:t>相关部门</w:t>
            </w:r>
            <w:r>
              <w:rPr>
                <w:rFonts w:hint="default"/>
              </w:rPr>
              <w:t>的查询结果</w:t>
            </w:r>
            <w:r>
              <w:rPr>
                <w:rFonts w:hint="eastAsia"/>
                <w:lang w:eastAsia="zh-CN"/>
              </w:rPr>
              <w:t>，</w:t>
            </w:r>
            <w:r>
              <w:rPr>
                <w:rFonts w:hint="default"/>
              </w:rPr>
              <w:t>项目不占用基本农田</w:t>
            </w:r>
            <w:r>
              <w:rPr>
                <w:rFonts w:hint="eastAsia"/>
                <w:lang w:eastAsia="zh-CN"/>
              </w:rPr>
              <w:t>、</w:t>
            </w:r>
            <w:r>
              <w:rPr>
                <w:rFonts w:hint="default"/>
              </w:rPr>
              <w:t>生态保护红线、自然保护地。</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BEACA7">
            <w:pPr>
              <w:pStyle w:val="43"/>
              <w:bidi w:val="0"/>
              <w:rPr>
                <w:rFonts w:hint="default"/>
              </w:rPr>
            </w:pPr>
            <w:r>
              <w:rPr>
                <w:rFonts w:hint="default"/>
              </w:rPr>
              <w:t>符合</w:t>
            </w:r>
          </w:p>
        </w:tc>
      </w:tr>
      <w:tr w14:paraId="68C5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ABBF1A">
            <w:pPr>
              <w:pStyle w:val="43"/>
              <w:bidi w:val="0"/>
              <w:rPr>
                <w:rFonts w:hint="eastAsia"/>
                <w:lang w:eastAsia="zh-CN"/>
              </w:rPr>
            </w:pPr>
            <w:r>
              <w:rPr>
                <w:rFonts w:hint="eastAsia"/>
                <w:lang w:val="en-US" w:eastAsia="zh-CN"/>
              </w:rPr>
              <w:t>5</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A3A20C">
            <w:pPr>
              <w:pStyle w:val="43"/>
              <w:bidi w:val="0"/>
              <w:rPr>
                <w:rFonts w:hint="default"/>
              </w:rPr>
            </w:pPr>
            <w:r>
              <w:rPr>
                <w:rFonts w:hint="default"/>
              </w:rPr>
              <w:t>严格矿山最低开采规模。落实全国矿产资源规划有关要求</w:t>
            </w:r>
            <w:r>
              <w:rPr>
                <w:rFonts w:hint="eastAsia"/>
                <w:lang w:eastAsia="zh-CN"/>
              </w:rPr>
              <w:t>，</w:t>
            </w:r>
            <w:r>
              <w:rPr>
                <w:rFonts w:hint="default"/>
              </w:rPr>
              <w:t>新建、扩建矿山严格执行规划确定的矿山最低开采规模和最低服务年限。产业政策准入要求高于最低开采规模设计标准的</w:t>
            </w:r>
            <w:r>
              <w:rPr>
                <w:rFonts w:hint="eastAsia"/>
                <w:lang w:eastAsia="zh-CN"/>
              </w:rPr>
              <w:t>，</w:t>
            </w:r>
            <w:r>
              <w:rPr>
                <w:rFonts w:hint="default"/>
              </w:rPr>
              <w:t>以产业政策为准。</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13E9D4">
            <w:pPr>
              <w:pStyle w:val="43"/>
              <w:bidi w:val="0"/>
              <w:rPr>
                <w:rFonts w:hint="default"/>
              </w:rPr>
            </w:pPr>
            <w:r>
              <w:rPr>
                <w:rFonts w:hint="default"/>
              </w:rPr>
              <w:t>项目开采矿种为建筑用灰岩矿</w:t>
            </w:r>
            <w:r>
              <w:rPr>
                <w:rFonts w:hint="eastAsia"/>
                <w:lang w:eastAsia="zh-CN"/>
              </w:rPr>
              <w:t>，</w:t>
            </w:r>
            <w:r>
              <w:rPr>
                <w:rFonts w:hint="default"/>
              </w:rPr>
              <w:t>不属于《规划</w:t>
            </w:r>
            <w:r>
              <w:rPr>
                <w:rFonts w:hint="eastAsia"/>
                <w:lang w:eastAsia="zh-CN"/>
              </w:rPr>
              <w:t>》</w:t>
            </w:r>
            <w:r>
              <w:rPr>
                <w:rFonts w:hint="default"/>
              </w:rPr>
              <w:t>第六章第1</w:t>
            </w:r>
            <w:r>
              <w:rPr>
                <w:rFonts w:hint="eastAsia"/>
              </w:rPr>
              <w:t>节</w:t>
            </w:r>
            <w:r>
              <w:rPr>
                <w:rFonts w:hint="eastAsia"/>
                <w:lang w:eastAsia="zh-CN"/>
              </w:rPr>
              <w:t>“</w:t>
            </w:r>
            <w:r>
              <w:rPr>
                <w:rFonts w:hint="eastAsia"/>
              </w:rPr>
              <w:t>严格矿山最低开采规模</w:t>
            </w:r>
            <w:r>
              <w:rPr>
                <w:rFonts w:hint="eastAsia"/>
                <w:lang w:eastAsia="zh-CN"/>
              </w:rPr>
              <w:t>”</w:t>
            </w:r>
            <w:r>
              <w:rPr>
                <w:rFonts w:hint="eastAsia"/>
              </w:rPr>
              <w:t>中所</w:t>
            </w:r>
            <w:r>
              <w:rPr>
                <w:rFonts w:hint="default"/>
              </w:rPr>
              <w:t>列矿种。项目开采规模</w:t>
            </w:r>
            <w:r>
              <w:rPr>
                <w:rFonts w:hint="eastAsia"/>
                <w:lang w:val="en-US" w:eastAsia="zh-CN"/>
              </w:rPr>
              <w:t>和</w:t>
            </w:r>
            <w:r>
              <w:rPr>
                <w:rFonts w:hint="default"/>
              </w:rPr>
              <w:t>服务年限满足《云南省人民政府关于促进非煤矿山转型升级的实施意见》（云政发〔2015〕38号）要求。</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CF52E8">
            <w:pPr>
              <w:pStyle w:val="43"/>
              <w:bidi w:val="0"/>
              <w:rPr>
                <w:rFonts w:hint="default"/>
              </w:rPr>
            </w:pPr>
            <w:r>
              <w:rPr>
                <w:rFonts w:hint="default"/>
              </w:rPr>
              <w:t>符合</w:t>
            </w:r>
          </w:p>
        </w:tc>
      </w:tr>
      <w:tr w14:paraId="0BA8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CE1CAA">
            <w:pPr>
              <w:pStyle w:val="43"/>
              <w:bidi w:val="0"/>
              <w:rPr>
                <w:rFonts w:hint="eastAsia"/>
                <w:lang w:eastAsia="zh-CN"/>
              </w:rPr>
            </w:pPr>
            <w:r>
              <w:rPr>
                <w:rFonts w:hint="eastAsia"/>
                <w:lang w:val="en-US" w:eastAsia="zh-CN"/>
              </w:rPr>
              <w:t>6</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EDCBF9">
            <w:pPr>
              <w:pStyle w:val="43"/>
              <w:bidi w:val="0"/>
              <w:rPr>
                <w:rFonts w:hint="default"/>
              </w:rPr>
            </w:pPr>
            <w:r>
              <w:rPr>
                <w:rFonts w:hint="default"/>
              </w:rPr>
              <w:t>推进绿色矿山建设。新建矿山按照绿色矿山标准进行规划、设计、建设和运营管理</w:t>
            </w:r>
            <w:r>
              <w:rPr>
                <w:rFonts w:hint="eastAsia"/>
                <w:lang w:eastAsia="zh-CN"/>
              </w:rPr>
              <w:t>，</w:t>
            </w:r>
            <w:r>
              <w:rPr>
                <w:rFonts w:hint="default"/>
              </w:rPr>
              <w:t>生产矿山加快改造升级</w:t>
            </w:r>
            <w:r>
              <w:rPr>
                <w:rFonts w:hint="eastAsia"/>
                <w:lang w:eastAsia="zh-CN"/>
              </w:rPr>
              <w:t>，</w:t>
            </w:r>
            <w:r>
              <w:rPr>
                <w:rFonts w:hint="default"/>
              </w:rPr>
              <w:t>逐步达标。</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EE8FC3">
            <w:pPr>
              <w:pStyle w:val="43"/>
              <w:bidi w:val="0"/>
              <w:rPr>
                <w:rFonts w:hint="default"/>
              </w:rPr>
            </w:pPr>
            <w:r>
              <w:rPr>
                <w:rFonts w:hint="default"/>
              </w:rPr>
              <w:t>项目矿山按照绿色矿山标准进行规划、设计、建设和运营管理。</w:t>
            </w:r>
            <w:r>
              <w:rPr>
                <w:rFonts w:hint="eastAsia"/>
                <w:lang w:val="en-US" w:eastAsia="zh-CN"/>
              </w:rPr>
              <w:t>运营期矿山开采、加工</w:t>
            </w:r>
            <w:r>
              <w:rPr>
                <w:rFonts w:hint="default"/>
              </w:rPr>
              <w:t>采取环评提出的</w:t>
            </w:r>
            <w:r>
              <w:rPr>
                <w:rFonts w:hint="eastAsia"/>
                <w:lang w:val="en-US" w:eastAsia="zh-CN"/>
              </w:rPr>
              <w:t>各项</w:t>
            </w:r>
            <w:r>
              <w:rPr>
                <w:rFonts w:hint="default"/>
              </w:rPr>
              <w:t>污染防治措施后</w:t>
            </w:r>
            <w:r>
              <w:rPr>
                <w:rFonts w:hint="eastAsia"/>
                <w:lang w:eastAsia="zh-CN"/>
              </w:rPr>
              <w:t>，</w:t>
            </w:r>
            <w:r>
              <w:rPr>
                <w:rFonts w:hint="default"/>
              </w:rPr>
              <w:t>污染物均能达标排放</w:t>
            </w:r>
            <w:r>
              <w:rPr>
                <w:rFonts w:hint="eastAsia"/>
                <w:lang w:eastAsia="zh-CN"/>
              </w:rPr>
              <w:t>，</w:t>
            </w:r>
            <w:r>
              <w:rPr>
                <w:rFonts w:hint="default"/>
              </w:rPr>
              <w:t>固废</w:t>
            </w:r>
            <w:r>
              <w:rPr>
                <w:rFonts w:hint="eastAsia"/>
                <w:lang w:val="en-US" w:eastAsia="zh-CN"/>
              </w:rPr>
              <w:t>均能得到妥善处置</w:t>
            </w:r>
            <w:r>
              <w:rPr>
                <w:rFonts w:hint="eastAsia"/>
                <w:lang w:eastAsia="zh-CN"/>
              </w:rPr>
              <w:t>，</w:t>
            </w:r>
            <w:r>
              <w:rPr>
                <w:rFonts w:hint="default"/>
              </w:rPr>
              <w:t>对周边环境影响较小。</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2D997D">
            <w:pPr>
              <w:pStyle w:val="43"/>
              <w:bidi w:val="0"/>
              <w:rPr>
                <w:rFonts w:hint="default"/>
              </w:rPr>
            </w:pPr>
            <w:r>
              <w:rPr>
                <w:rFonts w:hint="default"/>
              </w:rPr>
              <w:t>符合</w:t>
            </w:r>
          </w:p>
        </w:tc>
      </w:tr>
      <w:tr w14:paraId="1686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 w:hRule="atLeast"/>
          <w:jc w:val="center"/>
        </w:trPr>
        <w:tc>
          <w:tcPr>
            <w:tcW w:w="38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9FD68E">
            <w:pPr>
              <w:pStyle w:val="43"/>
              <w:bidi w:val="0"/>
              <w:rPr>
                <w:rFonts w:hint="default"/>
              </w:rPr>
            </w:pPr>
            <w:r>
              <w:rPr>
                <w:rFonts w:hint="default"/>
              </w:rPr>
              <w:t>7</w:t>
            </w:r>
          </w:p>
        </w:tc>
        <w:tc>
          <w:tcPr>
            <w:tcW w:w="21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F9C251">
            <w:pPr>
              <w:pStyle w:val="43"/>
              <w:bidi w:val="0"/>
              <w:rPr>
                <w:rFonts w:hint="default"/>
              </w:rPr>
            </w:pPr>
            <w:r>
              <w:rPr>
                <w:rFonts w:hint="default"/>
              </w:rPr>
              <w:t>强化矿山企业生态修复责任。新建和生产矿山要明确预防地质环境问题的措施</w:t>
            </w:r>
            <w:r>
              <w:rPr>
                <w:rFonts w:hint="eastAsia"/>
                <w:lang w:eastAsia="zh-CN"/>
              </w:rPr>
              <w:t>，</w:t>
            </w:r>
            <w:r>
              <w:rPr>
                <w:rFonts w:hint="default"/>
              </w:rPr>
              <w:t>严格落实矿区生态保护责任。矿山企业应当按</w:t>
            </w:r>
            <w:r>
              <w:rPr>
                <w:rFonts w:hint="eastAsia"/>
              </w:rPr>
              <w:t>照</w:t>
            </w:r>
            <w:r>
              <w:rPr>
                <w:rFonts w:hint="eastAsia"/>
                <w:lang w:eastAsia="zh-CN"/>
              </w:rPr>
              <w:t>“</w:t>
            </w:r>
            <w:r>
              <w:rPr>
                <w:rFonts w:hint="eastAsia"/>
              </w:rPr>
              <w:t>谁开发、谁保护、谁破坏、谁治理</w:t>
            </w:r>
            <w:r>
              <w:rPr>
                <w:rFonts w:hint="eastAsia"/>
                <w:lang w:eastAsia="zh-CN"/>
              </w:rPr>
              <w:t>”</w:t>
            </w:r>
            <w:r>
              <w:rPr>
                <w:rFonts w:hint="eastAsia"/>
              </w:rPr>
              <w:t>的原</w:t>
            </w:r>
            <w:r>
              <w:rPr>
                <w:rFonts w:hint="default"/>
              </w:rPr>
              <w:t>则</w:t>
            </w:r>
            <w:r>
              <w:rPr>
                <w:rFonts w:hint="eastAsia"/>
                <w:lang w:eastAsia="zh-CN"/>
              </w:rPr>
              <w:t>，</w:t>
            </w:r>
            <w:r>
              <w:rPr>
                <w:rFonts w:hint="default"/>
              </w:rPr>
              <w:t>编制《矿山地质环境保护和土地复垦方案》</w:t>
            </w:r>
            <w:r>
              <w:rPr>
                <w:rFonts w:hint="eastAsia"/>
                <w:lang w:eastAsia="zh-CN"/>
              </w:rPr>
              <w:t>，</w:t>
            </w:r>
            <w:r>
              <w:rPr>
                <w:rFonts w:hint="default"/>
              </w:rPr>
              <w:t>建立矿山地质环境治理恢复基金</w:t>
            </w:r>
            <w:r>
              <w:rPr>
                <w:rFonts w:hint="eastAsia"/>
                <w:lang w:eastAsia="zh-CN"/>
              </w:rPr>
              <w:t>，</w:t>
            </w:r>
            <w:r>
              <w:rPr>
                <w:rFonts w:hint="default"/>
              </w:rPr>
              <w:t>结合矿山生产实际</w:t>
            </w:r>
            <w:r>
              <w:rPr>
                <w:rFonts w:hint="eastAsia"/>
                <w:lang w:eastAsia="zh-CN"/>
              </w:rPr>
              <w:t>，</w:t>
            </w:r>
            <w:r>
              <w:rPr>
                <w:rFonts w:hint="default"/>
              </w:rPr>
              <w:t>切实履行矿山地质环境保护与土地复垦义务。</w:t>
            </w:r>
          </w:p>
        </w:tc>
        <w:tc>
          <w:tcPr>
            <w:tcW w:w="19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C61A81">
            <w:pPr>
              <w:pStyle w:val="43"/>
              <w:bidi w:val="0"/>
              <w:rPr>
                <w:rFonts w:hint="default"/>
              </w:rPr>
            </w:pPr>
            <w:r>
              <w:rPr>
                <w:rFonts w:hint="default"/>
              </w:rPr>
              <w:t>项目为</w:t>
            </w:r>
            <w:r>
              <w:rPr>
                <w:rFonts w:hint="eastAsia"/>
                <w:lang w:val="en-US" w:eastAsia="zh-CN"/>
              </w:rPr>
              <w:t>现有矿山扩建</w:t>
            </w:r>
            <w:r>
              <w:rPr>
                <w:rFonts w:hint="eastAsia"/>
                <w:lang w:eastAsia="zh-CN"/>
              </w:rPr>
              <w:t>，</w:t>
            </w:r>
            <w:r>
              <w:rPr>
                <w:rFonts w:hint="default"/>
              </w:rPr>
              <w:t>建设单位</w:t>
            </w:r>
            <w:r>
              <w:rPr>
                <w:rFonts w:hint="eastAsia"/>
                <w:lang w:eastAsia="zh-CN"/>
              </w:rPr>
              <w:t>已委托有资质单位进行《矿山地质环境保护与土地复垦方案》编制，</w:t>
            </w:r>
            <w:r>
              <w:rPr>
                <w:rFonts w:hint="default"/>
              </w:rPr>
              <w:t>后续将按照相关要求</w:t>
            </w:r>
            <w:r>
              <w:rPr>
                <w:rFonts w:hint="eastAsia"/>
                <w:lang w:eastAsia="zh-CN"/>
              </w:rPr>
              <w:t>，</w:t>
            </w:r>
            <w:r>
              <w:rPr>
                <w:rFonts w:hint="default"/>
              </w:rPr>
              <w:t>进行土地复垦</w:t>
            </w:r>
            <w:r>
              <w:rPr>
                <w:rFonts w:hint="eastAsia"/>
                <w:lang w:eastAsia="zh-CN"/>
              </w:rPr>
              <w:t>，</w:t>
            </w:r>
            <w:r>
              <w:rPr>
                <w:rFonts w:hint="default"/>
              </w:rPr>
              <w:t>闭矿后将对整个矿区进行生态修复。建设单位承诺切实履行矿山地质环境保护与土地复垦义务。</w:t>
            </w:r>
          </w:p>
        </w:tc>
        <w:tc>
          <w:tcPr>
            <w:tcW w:w="4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ABA828">
            <w:pPr>
              <w:pStyle w:val="43"/>
              <w:bidi w:val="0"/>
              <w:rPr>
                <w:rFonts w:hint="default"/>
              </w:rPr>
            </w:pPr>
            <w:r>
              <w:rPr>
                <w:rFonts w:hint="default"/>
              </w:rPr>
              <w:t>符合</w:t>
            </w:r>
          </w:p>
        </w:tc>
      </w:tr>
    </w:tbl>
    <w:p w14:paraId="1E9DC120">
      <w:pPr>
        <w:pStyle w:val="41"/>
        <w:bidi w:val="0"/>
        <w:rPr>
          <w:rFonts w:hint="default"/>
          <w:lang w:val="en-US" w:eastAsia="zh-CN"/>
        </w:rPr>
      </w:pPr>
      <w:r>
        <w:rPr>
          <w:rFonts w:hint="default"/>
        </w:rPr>
        <w:t>根据上表分析可知</w:t>
      </w:r>
      <w:r>
        <w:rPr>
          <w:rFonts w:hint="eastAsia"/>
          <w:lang w:eastAsia="zh-CN"/>
        </w:rPr>
        <w:t>，</w:t>
      </w:r>
      <w:r>
        <w:rPr>
          <w:rFonts w:hint="default"/>
        </w:rPr>
        <w:t>项目建设与《云南省矿产资源总体规划（2021</w:t>
      </w:r>
      <w:r>
        <w:rPr>
          <w:rFonts w:hint="eastAsia"/>
          <w:lang w:val="en-US" w:eastAsia="zh-CN"/>
        </w:rPr>
        <w:t>-</w:t>
      </w:r>
      <w:r>
        <w:rPr>
          <w:rFonts w:hint="default"/>
        </w:rPr>
        <w:t>2025年）》要求不冲突。</w:t>
      </w:r>
    </w:p>
    <w:p w14:paraId="053F9C28">
      <w:pPr>
        <w:pStyle w:val="4"/>
        <w:bidi w:val="0"/>
        <w:rPr>
          <w:rFonts w:hint="eastAsia"/>
          <w:lang w:val="en-US" w:eastAsia="zh-CN"/>
        </w:rPr>
      </w:pPr>
      <w:bookmarkStart w:id="566" w:name="_Toc5121"/>
      <w:bookmarkStart w:id="567" w:name="_Toc15998"/>
      <w:r>
        <w:rPr>
          <w:rFonts w:hint="default"/>
          <w:lang w:val="en-US" w:eastAsia="zh-CN"/>
        </w:rPr>
        <w:t>与《云南省矿产资源总体规划（2021-2025年）环境影响报告书》审查意见的符合性</w:t>
      </w:r>
      <w:bookmarkEnd w:id="566"/>
      <w:bookmarkEnd w:id="567"/>
    </w:p>
    <w:p w14:paraId="2BFBB36E">
      <w:pPr>
        <w:pStyle w:val="41"/>
        <w:bidi w:val="0"/>
        <w:rPr>
          <w:rFonts w:hint="default"/>
        </w:rPr>
      </w:pPr>
      <w:r>
        <w:rPr>
          <w:rFonts w:hint="eastAsia"/>
        </w:rPr>
        <w:t>根据《云南省矿产资源总体规划（2021-2025）环境影响报告书》审查意见</w:t>
      </w:r>
      <w:r>
        <w:rPr>
          <w:rFonts w:hint="eastAsia"/>
          <w:lang w:eastAsia="zh-CN"/>
        </w:rPr>
        <w:t>，</w:t>
      </w:r>
      <w:r>
        <w:rPr>
          <w:rFonts w:hint="eastAsia"/>
        </w:rPr>
        <w:t>项目与该审查意见的符合性分析具体</w:t>
      </w:r>
      <w:r>
        <w:rPr>
          <w:rFonts w:hint="eastAsia"/>
          <w:lang w:eastAsia="zh-CN"/>
        </w:rPr>
        <w:t>见下</w:t>
      </w:r>
      <w:r>
        <w:rPr>
          <w:rFonts w:hint="eastAsia"/>
        </w:rPr>
        <w:t>表。</w:t>
      </w:r>
    </w:p>
    <w:p w14:paraId="7C835FF3">
      <w:pPr>
        <w:pStyle w:val="45"/>
        <w:bidi w:val="0"/>
        <w:rPr>
          <w:rFonts w:hint="default"/>
        </w:rPr>
      </w:pPr>
      <w:r>
        <w:rPr>
          <w:rFonts w:hint="eastAsia"/>
        </w:rPr>
        <w:t>表</w:t>
      </w:r>
      <w:r>
        <w:rPr>
          <w:rFonts w:hint="eastAsia"/>
          <w:lang w:val="en-US" w:eastAsia="zh-CN"/>
        </w:rPr>
        <w:t>9.6-2  项目</w:t>
      </w:r>
      <w:r>
        <w:rPr>
          <w:rFonts w:hint="eastAsia"/>
        </w:rPr>
        <w:t>与《云南省矿产资源总体规划（2021-2025）环境影响报告书》审查意见的符合性</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3744"/>
        <w:gridCol w:w="3511"/>
        <w:gridCol w:w="665"/>
      </w:tblGrid>
      <w:tr w14:paraId="517C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D6057B">
            <w:pPr>
              <w:pStyle w:val="43"/>
              <w:bidi w:val="0"/>
              <w:rPr>
                <w:rFonts w:hint="default"/>
                <w:b/>
                <w:bCs/>
                <w:lang w:val="en-US" w:eastAsia="zh-CN"/>
              </w:rPr>
            </w:pPr>
            <w:r>
              <w:rPr>
                <w:rFonts w:hint="eastAsia"/>
                <w:b/>
                <w:bCs/>
                <w:lang w:val="en-US" w:eastAsia="zh-CN"/>
              </w:rPr>
              <w:t>序号</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8F98DD">
            <w:pPr>
              <w:pStyle w:val="43"/>
              <w:bidi w:val="0"/>
              <w:rPr>
                <w:rFonts w:hint="default"/>
                <w:b/>
                <w:bCs/>
                <w:lang w:val="en-US" w:eastAsia="zh-CN"/>
              </w:rPr>
            </w:pPr>
            <w:r>
              <w:rPr>
                <w:rFonts w:hint="eastAsia"/>
                <w:b/>
                <w:bCs/>
                <w:lang w:val="en-US" w:eastAsia="zh-CN"/>
              </w:rPr>
              <w:t>审查意见相关要求</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282126">
            <w:pPr>
              <w:pStyle w:val="43"/>
              <w:bidi w:val="0"/>
              <w:rPr>
                <w:rFonts w:hint="default"/>
                <w:b/>
                <w:bCs/>
                <w:lang w:val="en-US" w:eastAsia="zh-CN"/>
              </w:rPr>
            </w:pPr>
            <w:r>
              <w:rPr>
                <w:rFonts w:hint="eastAsia"/>
                <w:b/>
                <w:bCs/>
                <w:lang w:val="en-US" w:eastAsia="zh-CN"/>
              </w:rPr>
              <w:t>本项目情况</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D8142C">
            <w:pPr>
              <w:pStyle w:val="43"/>
              <w:bidi w:val="0"/>
              <w:rPr>
                <w:rFonts w:hint="default"/>
                <w:b/>
                <w:bCs/>
                <w:lang w:val="en-US" w:eastAsia="zh-CN"/>
              </w:rPr>
            </w:pPr>
            <w:r>
              <w:rPr>
                <w:rFonts w:hint="eastAsia"/>
                <w:b/>
                <w:bCs/>
                <w:lang w:val="en-US" w:eastAsia="zh-CN"/>
              </w:rPr>
              <w:t>相符性</w:t>
            </w:r>
          </w:p>
        </w:tc>
      </w:tr>
      <w:tr w14:paraId="6766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CD3FFF">
            <w:pPr>
              <w:pStyle w:val="43"/>
              <w:bidi w:val="0"/>
              <w:rPr>
                <w:rFonts w:hint="default"/>
                <w:lang w:val="en-US" w:eastAsia="zh-CN"/>
              </w:rPr>
            </w:pPr>
            <w:r>
              <w:rPr>
                <w:rFonts w:hint="default"/>
                <w:lang w:val="en-US" w:eastAsia="zh-CN"/>
              </w:rPr>
              <w:t>1</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620665">
            <w:pPr>
              <w:pStyle w:val="43"/>
              <w:bidi w:val="0"/>
              <w:rPr>
                <w:rFonts w:hint="default"/>
                <w:lang w:val="en-US" w:eastAsia="zh-CN"/>
              </w:rPr>
            </w:pPr>
            <w:r>
              <w:rPr>
                <w:rFonts w:hint="eastAsia"/>
                <w:lang w:val="en-US" w:eastAsia="zh-CN"/>
              </w:rPr>
              <w:t>坚持生态优先、绿色发展。坚持以习近平生态文明思想为指导，严格落实《中华人民共和国长江保护法》，按照“共抓大保护、不搞大开发”的要求，立足于生态系统稳定和生态环境质量改善，处理好生态环境保护与矿产资源开发的关系，合理控制矿产资源开发规模与强度，不得占用依法应当禁止开发的区域，优先避让生态环境敏感区域。进一步强化《规划》对生态环境保护总体要求，将细化后的大中型矿山比例、矿山“三率”水平、绿色矿山数量等绿色开发、生态修复等相关目标、指标作为《规划》实施的硬约束。</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AFE95B">
            <w:pPr>
              <w:pStyle w:val="43"/>
              <w:bidi w:val="0"/>
              <w:rPr>
                <w:rFonts w:hint="default"/>
                <w:lang w:val="en-US" w:eastAsia="zh-CN"/>
              </w:rPr>
            </w:pPr>
            <w:r>
              <w:rPr>
                <w:rFonts w:hint="eastAsia"/>
                <w:lang w:val="en-US" w:eastAsia="zh-CN"/>
              </w:rPr>
              <w:t>本矿山坚持生态优先、绿色发展的原则，根据相关部门查询结果，矿区范围未占用依法应当禁止开发的区域，不占用生态环境敏感区域。根据《开发利用方案》项目采矿回采率为97%。</w:t>
            </w:r>
            <w:r>
              <w:rPr>
                <w:rFonts w:hint="eastAsia"/>
                <w:lang w:eastAsia="zh-CN"/>
              </w:rPr>
              <w:t>项目为建筑用灰岩矿开采加工，</w:t>
            </w:r>
            <w:r>
              <w:rPr>
                <w:rFonts w:hint="default"/>
              </w:rPr>
              <w:t>矿山为</w:t>
            </w:r>
            <w:r>
              <w:rPr>
                <w:rFonts w:hint="eastAsia"/>
                <w:lang w:val="en-US" w:eastAsia="zh-CN"/>
              </w:rPr>
              <w:t>露天开采</w:t>
            </w:r>
            <w:r>
              <w:rPr>
                <w:rFonts w:hint="eastAsia"/>
                <w:lang w:eastAsia="zh-CN"/>
              </w:rPr>
              <w:t>，</w:t>
            </w:r>
            <w:r>
              <w:rPr>
                <w:rFonts w:hint="default"/>
              </w:rPr>
              <w:t>设计开采规模为</w:t>
            </w:r>
            <w:r>
              <w:rPr>
                <w:rFonts w:hint="eastAsia"/>
                <w:lang w:val="en-US" w:eastAsia="zh-CN"/>
              </w:rPr>
              <w:t>50</w:t>
            </w:r>
            <w:r>
              <w:rPr>
                <w:rFonts w:hint="default"/>
              </w:rPr>
              <w:t>万t/a</w:t>
            </w:r>
            <w:r>
              <w:rPr>
                <w:rFonts w:hint="eastAsia"/>
                <w:lang w:eastAsia="zh-CN"/>
              </w:rPr>
              <w:t>，</w:t>
            </w:r>
            <w:r>
              <w:rPr>
                <w:rFonts w:hint="default"/>
              </w:rPr>
              <w:t>矿山生产服务年限为</w:t>
            </w:r>
            <w:r>
              <w:rPr>
                <w:rFonts w:hint="eastAsia"/>
                <w:lang w:val="en-US" w:eastAsia="zh-CN"/>
              </w:rPr>
              <w:t>35.1</w:t>
            </w:r>
            <w:r>
              <w:rPr>
                <w:rFonts w:hint="default"/>
              </w:rPr>
              <w:t>年。满足最低开采规模和服务年限标准。建设单位</w:t>
            </w:r>
            <w:r>
              <w:rPr>
                <w:rFonts w:hint="eastAsia"/>
                <w:lang w:eastAsia="zh-CN"/>
              </w:rPr>
              <w:t>已委托有资质单位进行《矿山地质环境保护与土地复垦方案》编制，</w:t>
            </w:r>
            <w:r>
              <w:rPr>
                <w:rFonts w:hint="default"/>
              </w:rPr>
              <w:t>后续将按照相关要求</w:t>
            </w:r>
            <w:r>
              <w:rPr>
                <w:rFonts w:hint="eastAsia"/>
                <w:lang w:eastAsia="zh-CN"/>
              </w:rPr>
              <w:t>，</w:t>
            </w:r>
            <w:r>
              <w:rPr>
                <w:rFonts w:hint="default"/>
              </w:rPr>
              <w:t>进行土地复垦</w:t>
            </w:r>
            <w:r>
              <w:rPr>
                <w:rFonts w:hint="eastAsia"/>
                <w:lang w:eastAsia="zh-CN"/>
              </w:rPr>
              <w:t>，</w:t>
            </w:r>
            <w:r>
              <w:rPr>
                <w:rFonts w:hint="default"/>
              </w:rPr>
              <w:t>闭矿后将对整个矿区进行生态修复。</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0C004D">
            <w:pPr>
              <w:pStyle w:val="43"/>
              <w:bidi w:val="0"/>
              <w:rPr>
                <w:rFonts w:hint="default"/>
                <w:lang w:val="en-US" w:eastAsia="zh-CN"/>
              </w:rPr>
            </w:pPr>
            <w:r>
              <w:rPr>
                <w:rFonts w:hint="eastAsia"/>
                <w:lang w:val="en-US" w:eastAsia="zh-CN"/>
              </w:rPr>
              <w:t>符合</w:t>
            </w:r>
          </w:p>
        </w:tc>
      </w:tr>
      <w:tr w14:paraId="049C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E6E71B">
            <w:pPr>
              <w:pStyle w:val="43"/>
              <w:bidi w:val="0"/>
              <w:rPr>
                <w:rFonts w:hint="default"/>
                <w:lang w:val="en-US" w:eastAsia="zh-CN"/>
              </w:rPr>
            </w:pPr>
            <w:r>
              <w:rPr>
                <w:rFonts w:hint="default"/>
                <w:lang w:val="en-US" w:eastAsia="zh-CN"/>
              </w:rPr>
              <w:t>2</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FA740A">
            <w:pPr>
              <w:pStyle w:val="43"/>
              <w:bidi w:val="0"/>
              <w:rPr>
                <w:rFonts w:hint="default"/>
                <w:lang w:val="en-US" w:eastAsia="zh-CN"/>
              </w:rPr>
            </w:pPr>
            <w:r>
              <w:rPr>
                <w:rFonts w:hint="eastAsia"/>
                <w:lang w:val="en-US" w:eastAsia="zh-CN"/>
              </w:rPr>
              <w:t>严格保护生态空间，优化《规划》布局。将生态保护红线作为保障和维护区域生态安全的底线，应进一步优化矿业权设置和空间布局，依法依规对生态空间实施严格保护。针对与生态保护红线存在空间重叠的已取得采矿权的地热、矿泉水和已取得探矿权的油气、铜矿，应进一步优化调整现有矿业权，依照生态保护红线管控要求，依法依规妥善处置。针对与自然保护区、森林公园、地质公园、湿地公园、饮用水水源保护区等存在空间重叠的5个能源资源基地、4个国家规划矿区、2个重点勘查区等，应进一步优化布局，确保满足相关生态环境敏感区管控要求。</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67B9C">
            <w:pPr>
              <w:pStyle w:val="43"/>
              <w:bidi w:val="0"/>
              <w:rPr>
                <w:rFonts w:hint="default"/>
                <w:lang w:val="en-US" w:eastAsia="zh-CN"/>
              </w:rPr>
            </w:pPr>
            <w:r>
              <w:rPr>
                <w:rFonts w:hint="eastAsia"/>
                <w:lang w:val="en-US" w:eastAsia="zh-CN"/>
              </w:rPr>
              <w:t>项目用地范围内不涉及生态保护红线，不涉及自然保护区、森林公园、地质公园、湿地公园、饮用水水源保护区。</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15CCDC">
            <w:pPr>
              <w:pStyle w:val="43"/>
              <w:bidi w:val="0"/>
              <w:rPr>
                <w:rFonts w:hint="default"/>
                <w:lang w:val="en-US" w:eastAsia="zh-CN"/>
              </w:rPr>
            </w:pPr>
            <w:r>
              <w:rPr>
                <w:rFonts w:hint="eastAsia"/>
                <w:lang w:val="en-US" w:eastAsia="zh-CN"/>
              </w:rPr>
              <w:t>符合</w:t>
            </w:r>
          </w:p>
        </w:tc>
      </w:tr>
      <w:tr w14:paraId="7CD9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A72907">
            <w:pPr>
              <w:pStyle w:val="43"/>
              <w:bidi w:val="0"/>
              <w:rPr>
                <w:rFonts w:hint="default"/>
                <w:lang w:val="en-US" w:eastAsia="zh-CN"/>
              </w:rPr>
            </w:pPr>
            <w:r>
              <w:rPr>
                <w:rFonts w:hint="default"/>
                <w:lang w:val="en-US" w:eastAsia="zh-CN"/>
              </w:rPr>
              <w:t>3</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5D243E">
            <w:pPr>
              <w:pStyle w:val="43"/>
              <w:bidi w:val="0"/>
              <w:rPr>
                <w:rFonts w:hint="default"/>
                <w:lang w:val="en-US" w:eastAsia="zh-CN"/>
              </w:rPr>
            </w:pPr>
            <w:r>
              <w:rPr>
                <w:rFonts w:hint="eastAsia"/>
                <w:lang w:val="en-US" w:eastAsia="zh-CN"/>
              </w:rPr>
              <w:t>严格产业准入，合理控制矿山开采种类和规模。严格落实《规划》目标和准入要求，重点矿种新设矿山执行最低开采规模，矿山总数控制在6400家左右，提高大中型矿山比例，加大低效产能压减、无效产能腾退力度，逐步稳妥关闭退出安全隐患突出、生态环境问题明显、违法违规问题多的“小弱散”矿山和未达到最低生产规模的矿山。禁止开采汞、蓝石棉、可耕地砖瓦用粘土及其他对生态环境可能产生严重破坏且难以恢复的矿产，限制开采高硫、高灰、高砷、高氟煤炭和湿地泥炭以及砂金、砂铁等矿产。对国家规定实行保护性开采的钨、稀土等矿产实行开采总量控制，严格按照国家下达指标开采。严格尾矿库的新建和管理，确保符合相关要求。</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725244">
            <w:pPr>
              <w:pStyle w:val="43"/>
              <w:bidi w:val="0"/>
              <w:rPr>
                <w:rFonts w:hint="default"/>
                <w:lang w:val="en-US" w:eastAsia="zh-CN"/>
              </w:rPr>
            </w:pPr>
            <w:r>
              <w:rPr>
                <w:rFonts w:hint="eastAsia"/>
                <w:lang w:eastAsia="zh-CN"/>
              </w:rPr>
              <w:t>项目开采矿种为建筑用灰岩矿，矿山为露天开采，</w:t>
            </w:r>
            <w:r>
              <w:rPr>
                <w:rFonts w:hint="default"/>
              </w:rPr>
              <w:t>设计开采规模为</w:t>
            </w:r>
            <w:r>
              <w:rPr>
                <w:rFonts w:hint="eastAsia"/>
                <w:lang w:val="en-US" w:eastAsia="zh-CN"/>
              </w:rPr>
              <w:t>50</w:t>
            </w:r>
            <w:r>
              <w:rPr>
                <w:rFonts w:hint="default"/>
              </w:rPr>
              <w:t>万t/a</w:t>
            </w:r>
            <w:r>
              <w:rPr>
                <w:rFonts w:hint="eastAsia"/>
                <w:lang w:eastAsia="zh-CN"/>
              </w:rPr>
              <w:t>，</w:t>
            </w:r>
            <w:r>
              <w:rPr>
                <w:rFonts w:hint="default"/>
              </w:rPr>
              <w:t>矿山生产服务年限为</w:t>
            </w:r>
            <w:r>
              <w:rPr>
                <w:rFonts w:hint="eastAsia"/>
                <w:lang w:val="en-US" w:eastAsia="zh-CN"/>
              </w:rPr>
              <w:t>35.1</w:t>
            </w:r>
            <w:r>
              <w:rPr>
                <w:rFonts w:hint="default"/>
              </w:rPr>
              <w:t>年</w:t>
            </w:r>
            <w:r>
              <w:rPr>
                <w:rFonts w:hint="eastAsia"/>
                <w:lang w:val="en-US" w:eastAsia="zh-CN"/>
              </w:rPr>
              <w:t>。满足《云南省人民政府关于促进非煤矿山转型升级的实施意见》中</w:t>
            </w:r>
            <w:r>
              <w:rPr>
                <w:rFonts w:hint="default"/>
              </w:rPr>
              <w:t>最低开采规模和服务年限标准</w:t>
            </w:r>
            <w:r>
              <w:rPr>
                <w:rFonts w:hint="eastAsia"/>
                <w:lang w:val="en-US" w:eastAsia="zh-CN"/>
              </w:rPr>
              <w:t>。</w:t>
            </w:r>
            <w:r>
              <w:rPr>
                <w:rFonts w:hint="eastAsia"/>
                <w:lang w:eastAsia="zh-CN"/>
              </w:rPr>
              <w:t>项目开采矿种</w:t>
            </w:r>
            <w:r>
              <w:rPr>
                <w:rFonts w:hint="eastAsia"/>
                <w:lang w:val="en-US" w:eastAsia="zh-CN"/>
              </w:rPr>
              <w:t>不属于禁止开采的汞、蓝石棉、可耕地砖瓦用粘土等对生态环境可能产生严重破坏且难以恢复的矿产。不属于限制开采的高硫、高灰、高砷、高氟煤炭和湿地泥炭以及砂金、砂铁等矿产。不属于保护性开采的钨、稀土等矿产。</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713F88">
            <w:pPr>
              <w:pStyle w:val="43"/>
              <w:bidi w:val="0"/>
              <w:rPr>
                <w:rFonts w:hint="default"/>
                <w:lang w:val="en-US" w:eastAsia="zh-CN"/>
              </w:rPr>
            </w:pPr>
            <w:r>
              <w:rPr>
                <w:rFonts w:hint="eastAsia"/>
                <w:lang w:val="en-US" w:eastAsia="zh-CN"/>
              </w:rPr>
              <w:t>符合</w:t>
            </w:r>
          </w:p>
        </w:tc>
      </w:tr>
      <w:tr w14:paraId="2184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FDF800">
            <w:pPr>
              <w:pStyle w:val="43"/>
              <w:bidi w:val="0"/>
              <w:rPr>
                <w:rFonts w:hint="default"/>
                <w:lang w:val="en-US" w:eastAsia="zh-CN"/>
              </w:rPr>
            </w:pPr>
            <w:r>
              <w:rPr>
                <w:rFonts w:hint="default"/>
                <w:lang w:val="en-US" w:eastAsia="zh-CN"/>
              </w:rPr>
              <w:t>4</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D79937">
            <w:pPr>
              <w:pStyle w:val="43"/>
              <w:bidi w:val="0"/>
              <w:rPr>
                <w:rFonts w:hint="default"/>
                <w:lang w:val="en-US" w:eastAsia="zh-CN"/>
              </w:rPr>
            </w:pPr>
            <w:r>
              <w:rPr>
                <w:rFonts w:hint="eastAsia"/>
                <w:lang w:val="en-US" w:eastAsia="zh-CN"/>
              </w:rPr>
              <w:t>严格环境准入，保护区域生态功能。按照云南省生态环境分区管控方案、生态环境保护规划等新要求，严格落实绿色勘查、绿色开采及矿山生态保护修复相关要求，确保生态系统结构稳定和生态功能不退化。涉及水环境优先保护分区的磷矿开采规划区块，应按照长江上游“三磷”问题治理要求严格准入和管控。对于涉及重金属污染的有色金属、稀土等矿产资源开发应严格生态环境准入要求，强化污染治理措施。严格控制涉及生物多样性保护优先区域、国家重点生态功能区、水土流失重点防治区等具有重要生态功能区域矿产勘查开采活动，并采取有针对性的保护措施，防止对区域生态功能产生不良环境影响。</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C74171">
            <w:pPr>
              <w:pStyle w:val="43"/>
              <w:bidi w:val="0"/>
              <w:rPr>
                <w:rFonts w:hint="default"/>
                <w:lang w:val="en-US" w:eastAsia="zh-CN"/>
              </w:rPr>
            </w:pPr>
            <w:r>
              <w:rPr>
                <w:rFonts w:hint="eastAsia"/>
                <w:lang w:val="en-US" w:eastAsia="zh-CN"/>
              </w:rPr>
              <w:t>项目符合生态环境分区管控要求；</w:t>
            </w:r>
            <w:r>
              <w:rPr>
                <w:rFonts w:hint="eastAsia"/>
                <w:lang w:eastAsia="zh-CN"/>
              </w:rPr>
              <w:t>项目</w:t>
            </w:r>
            <w:r>
              <w:rPr>
                <w:rFonts w:hint="eastAsia"/>
                <w:lang w:val="en-US" w:eastAsia="zh-CN"/>
              </w:rPr>
              <w:t>严格落实绿色勘查、绿色开采及矿山生态保护修复相关要求，确保生态系统结构稳定和生态功能不退化；项目不涉及水环境优先保护分区；项目为</w:t>
            </w:r>
            <w:r>
              <w:rPr>
                <w:rFonts w:hint="eastAsia"/>
                <w:lang w:eastAsia="zh-CN"/>
              </w:rPr>
              <w:t>建筑用灰岩矿开采加工，</w:t>
            </w:r>
            <w:r>
              <w:rPr>
                <w:rFonts w:hint="eastAsia"/>
                <w:lang w:val="en-US" w:eastAsia="zh-CN"/>
              </w:rPr>
              <w:t>不属于磷矿开采，不属于涉及重金属污染的有色金属、稀土等矿产资源开发；项目区域不属于生物多样性保护优先区域、国家重点生态功能区、水土流失重点防治区。</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40C489">
            <w:pPr>
              <w:pStyle w:val="43"/>
              <w:bidi w:val="0"/>
              <w:rPr>
                <w:rFonts w:hint="default"/>
                <w:lang w:val="en-US" w:eastAsia="zh-CN"/>
              </w:rPr>
            </w:pPr>
            <w:r>
              <w:rPr>
                <w:rFonts w:hint="eastAsia"/>
                <w:lang w:val="en-US" w:eastAsia="zh-CN"/>
              </w:rPr>
              <w:t>符合</w:t>
            </w:r>
          </w:p>
        </w:tc>
      </w:tr>
      <w:tr w14:paraId="5833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603C2E">
            <w:pPr>
              <w:pStyle w:val="43"/>
              <w:bidi w:val="0"/>
              <w:rPr>
                <w:rFonts w:hint="default"/>
                <w:lang w:val="en-US" w:eastAsia="zh-CN"/>
              </w:rPr>
            </w:pPr>
            <w:r>
              <w:rPr>
                <w:rFonts w:hint="default"/>
                <w:lang w:val="en-US" w:eastAsia="zh-CN"/>
              </w:rPr>
              <w:t>5</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03B299">
            <w:pPr>
              <w:pStyle w:val="43"/>
              <w:bidi w:val="0"/>
              <w:rPr>
                <w:rFonts w:hint="default"/>
                <w:lang w:val="en-US" w:eastAsia="zh-CN"/>
              </w:rPr>
            </w:pPr>
            <w:r>
              <w:rPr>
                <w:rFonts w:hint="eastAsia"/>
                <w:lang w:val="en-US" w:eastAsia="zh-CN"/>
              </w:rPr>
              <w:t>加强矿山生态修复和环境治理。结合区域生态环境质量改善目标和主要生态环境问题，分区域、分矿种确定矿山生态修复和环境治理总体要求，将规划任务分解细化到具体矿区、矿山，确保“十四五”规划期矿山生态修复治理面积达到7500公顷以上。重视关闭矿山及历史遗留矿山的生态环境问题，明确污染治理及生态修复的任务、要求和时限。对可能造成生态破坏、重金属污染等问题的矿山，进一步优化开发方式、推进结构调整，加大治理投入。</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C873F7">
            <w:pPr>
              <w:pStyle w:val="43"/>
              <w:bidi w:val="0"/>
              <w:rPr>
                <w:rFonts w:hint="default"/>
                <w:lang w:val="en-US" w:eastAsia="zh-CN"/>
              </w:rPr>
            </w:pPr>
            <w:r>
              <w:rPr>
                <w:rFonts w:hint="eastAsia"/>
                <w:lang w:val="en-US" w:eastAsia="zh-CN"/>
              </w:rPr>
              <w:t>本项目按照“边开采、边恢复”的原则制定矿山生态修复治理方案。及时开展生态修复。</w:t>
            </w:r>
            <w:r>
              <w:rPr>
                <w:rFonts w:hint="default"/>
              </w:rPr>
              <w:t>建设单位</w:t>
            </w:r>
            <w:r>
              <w:rPr>
                <w:rFonts w:hint="eastAsia"/>
                <w:lang w:eastAsia="zh-CN"/>
              </w:rPr>
              <w:t>已委托有资质单位进行《矿山地质环境保护与土地复垦方案》编制，</w:t>
            </w:r>
            <w:r>
              <w:rPr>
                <w:rFonts w:hint="default"/>
              </w:rPr>
              <w:t>后续将按照相关要求</w:t>
            </w:r>
            <w:r>
              <w:rPr>
                <w:rFonts w:hint="eastAsia"/>
                <w:lang w:eastAsia="zh-CN"/>
              </w:rPr>
              <w:t>，</w:t>
            </w:r>
            <w:r>
              <w:rPr>
                <w:rFonts w:hint="default"/>
              </w:rPr>
              <w:t>进行土地复垦</w:t>
            </w:r>
            <w:r>
              <w:rPr>
                <w:rFonts w:hint="eastAsia"/>
                <w:lang w:eastAsia="zh-CN"/>
              </w:rPr>
              <w:t>，</w:t>
            </w:r>
            <w:r>
              <w:rPr>
                <w:rFonts w:hint="default"/>
              </w:rPr>
              <w:t>闭矿后将对整个矿区进行生态修复</w:t>
            </w:r>
            <w:r>
              <w:rPr>
                <w:rFonts w:hint="eastAsia"/>
                <w:lang w:val="en-US" w:eastAsia="zh-CN"/>
              </w:rPr>
              <w:t>。</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27A7CE">
            <w:pPr>
              <w:pStyle w:val="43"/>
              <w:bidi w:val="0"/>
              <w:rPr>
                <w:rFonts w:hint="default"/>
                <w:lang w:val="en-US" w:eastAsia="zh-CN"/>
              </w:rPr>
            </w:pPr>
            <w:r>
              <w:rPr>
                <w:rFonts w:hint="eastAsia"/>
                <w:lang w:val="en-US" w:eastAsia="zh-CN"/>
              </w:rPr>
              <w:t>符合</w:t>
            </w:r>
          </w:p>
        </w:tc>
      </w:tr>
      <w:tr w14:paraId="3CEB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A30F94">
            <w:pPr>
              <w:pStyle w:val="43"/>
              <w:bidi w:val="0"/>
              <w:rPr>
                <w:rFonts w:hint="default"/>
                <w:lang w:val="en-US" w:eastAsia="zh-CN"/>
              </w:rPr>
            </w:pPr>
            <w:r>
              <w:rPr>
                <w:rFonts w:hint="default"/>
                <w:lang w:val="en-US" w:eastAsia="zh-CN"/>
              </w:rPr>
              <w:t>6</w:t>
            </w:r>
          </w:p>
        </w:tc>
        <w:tc>
          <w:tcPr>
            <w:tcW w:w="21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EDD52">
            <w:pPr>
              <w:pStyle w:val="43"/>
              <w:bidi w:val="0"/>
              <w:rPr>
                <w:rFonts w:hint="default"/>
                <w:lang w:val="en-US" w:eastAsia="zh-CN"/>
              </w:rPr>
            </w:pPr>
            <w:r>
              <w:rPr>
                <w:rFonts w:hint="eastAsia"/>
                <w:lang w:val="en-US" w:eastAsia="zh-CN"/>
              </w:rPr>
              <w:t>加强生态环境保护督察和预警。结合生态保护、饮用水水源保护区及水环境功能区水质保护及改善要求、土壤污染防治目标等，推进重点矿区建立涵盖生态、地表水、地下水、土壤等环境要素的长期监测监控体系，在用尾矿库100%安装在线监测装置，明确责任主体、强化资金保障。组织开展主要矿种集中开采区域生态修复效果评估，并根据监测和评估结果增加或优化必要的保护措施。针对地表水环境及土壤环境累积影响、地下水环境质量下降、生态退化等情形，建立预警机制。</w:t>
            </w:r>
          </w:p>
        </w:tc>
        <w:tc>
          <w:tcPr>
            <w:tcW w:w="20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C18B01">
            <w:pPr>
              <w:pStyle w:val="43"/>
              <w:bidi w:val="0"/>
              <w:rPr>
                <w:rFonts w:hint="default"/>
                <w:lang w:val="en-US" w:eastAsia="zh-CN"/>
              </w:rPr>
            </w:pPr>
            <w:r>
              <w:rPr>
                <w:rFonts w:hint="eastAsia"/>
                <w:lang w:val="en-US" w:eastAsia="zh-CN"/>
              </w:rPr>
              <w:t>项目运营期采取环评提出的各项污染防治措施后，废气、废水、噪声均能达标排放，固体废物均能得到妥善处置，环境风险可接受，项目建设对周边环境影响较小。建设单位后续将严格按照土地复垦方案开展矿山生态环境保护与恢复治理。本次环评按环保要求提出了环境监测计划，项目建成后将严格按照环评和排污许可证的要求开展自行监测。</w:t>
            </w:r>
          </w:p>
        </w:tc>
        <w:tc>
          <w:tcPr>
            <w:tcW w:w="39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03D0B6">
            <w:pPr>
              <w:pStyle w:val="43"/>
              <w:bidi w:val="0"/>
              <w:rPr>
                <w:rFonts w:hint="default"/>
                <w:lang w:val="en-US" w:eastAsia="zh-CN"/>
              </w:rPr>
            </w:pPr>
            <w:r>
              <w:rPr>
                <w:rFonts w:hint="eastAsia"/>
                <w:lang w:val="en-US" w:eastAsia="zh-CN"/>
              </w:rPr>
              <w:t>符合</w:t>
            </w:r>
          </w:p>
        </w:tc>
      </w:tr>
    </w:tbl>
    <w:p w14:paraId="28875FA6">
      <w:pPr>
        <w:pStyle w:val="41"/>
        <w:bidi w:val="0"/>
        <w:rPr>
          <w:rFonts w:hint="default"/>
          <w:lang w:val="en-US" w:eastAsia="zh-CN"/>
        </w:rPr>
      </w:pPr>
      <w:r>
        <w:rPr>
          <w:rFonts w:hint="eastAsia"/>
        </w:rPr>
        <w:t>从上表可以看出</w:t>
      </w:r>
      <w:r>
        <w:rPr>
          <w:rFonts w:hint="eastAsia"/>
          <w:lang w:eastAsia="zh-CN"/>
        </w:rPr>
        <w:t>，</w:t>
      </w:r>
      <w:r>
        <w:rPr>
          <w:rFonts w:hint="eastAsia"/>
        </w:rPr>
        <w:t>本项目的建设符合《云南省矿产资源总体规划（2021-2025年）环境影响报告书》审查意见的相关要求。</w:t>
      </w:r>
    </w:p>
    <w:p w14:paraId="31CF216C">
      <w:pPr>
        <w:pStyle w:val="4"/>
        <w:bidi w:val="0"/>
        <w:rPr>
          <w:rFonts w:hint="default"/>
          <w:lang w:val="en-US" w:eastAsia="zh-CN"/>
        </w:rPr>
      </w:pPr>
      <w:bookmarkStart w:id="568" w:name="_Toc22034"/>
      <w:bookmarkStart w:id="569" w:name="_Toc18251"/>
      <w:r>
        <w:rPr>
          <w:rFonts w:hint="eastAsia"/>
          <w:lang w:val="en-US" w:eastAsia="zh-CN"/>
        </w:rPr>
        <w:t>与</w:t>
      </w:r>
      <w:r>
        <w:rPr>
          <w:rFonts w:hint="default"/>
          <w:lang w:val="en-US" w:eastAsia="zh-CN"/>
        </w:rPr>
        <w:t>《</w:t>
      </w:r>
      <w:r>
        <w:rPr>
          <w:rFonts w:hint="eastAsia"/>
          <w:lang w:val="en-US" w:eastAsia="zh-CN"/>
        </w:rPr>
        <w:t>砚山县</w:t>
      </w:r>
      <w:r>
        <w:rPr>
          <w:rFonts w:hint="default"/>
          <w:lang w:val="en-US" w:eastAsia="zh-CN"/>
        </w:rPr>
        <w:t>矿产资源总体规划（2021-2025年）》</w:t>
      </w:r>
      <w:r>
        <w:rPr>
          <w:rFonts w:hint="eastAsia"/>
          <w:lang w:val="en-US" w:eastAsia="zh-CN"/>
        </w:rPr>
        <w:t>的符合性分析</w:t>
      </w:r>
      <w:bookmarkEnd w:id="568"/>
      <w:bookmarkEnd w:id="569"/>
    </w:p>
    <w:p w14:paraId="386AD724">
      <w:pPr>
        <w:pStyle w:val="41"/>
        <w:bidi w:val="0"/>
        <w:rPr>
          <w:rFonts w:hint="eastAsia"/>
          <w:lang w:val="en-US" w:eastAsia="zh-CN"/>
        </w:rPr>
      </w:pPr>
      <w:r>
        <w:rPr>
          <w:rFonts w:hint="eastAsia"/>
          <w:lang w:val="en-US" w:eastAsia="zh-CN"/>
        </w:rPr>
        <w:t>根据</w:t>
      </w:r>
      <w:r>
        <w:rPr>
          <w:rFonts w:hint="default"/>
          <w:lang w:val="en-US" w:eastAsia="zh-CN"/>
        </w:rPr>
        <w:t>《</w:t>
      </w:r>
      <w:r>
        <w:rPr>
          <w:rFonts w:hint="eastAsia"/>
          <w:lang w:val="en-US" w:eastAsia="zh-CN"/>
        </w:rPr>
        <w:t>砚山</w:t>
      </w:r>
      <w:r>
        <w:rPr>
          <w:rFonts w:hint="default"/>
          <w:lang w:val="en-US" w:eastAsia="zh-CN"/>
        </w:rPr>
        <w:t>县矿产资源总体规划（2021-2025年）》</w:t>
      </w:r>
      <w:r>
        <w:rPr>
          <w:rFonts w:hint="eastAsia"/>
          <w:lang w:val="en-US" w:eastAsia="zh-CN"/>
        </w:rPr>
        <w:t>相关要求：</w:t>
      </w:r>
    </w:p>
    <w:p w14:paraId="48BF46D6">
      <w:pPr>
        <w:pStyle w:val="41"/>
        <w:bidi w:val="0"/>
      </w:pPr>
      <w:r>
        <w:t>一、规划总体要求</w:t>
      </w:r>
    </w:p>
    <w:p w14:paraId="3450C187">
      <w:pPr>
        <w:pStyle w:val="41"/>
        <w:bidi w:val="0"/>
      </w:pPr>
      <w:r>
        <w:rPr>
          <w:lang w:val="en-US" w:eastAsia="zh-CN"/>
        </w:rPr>
        <w:t>规划坚持生态优先、绿色发展、空间管控、集约高效原则，统筹矿产资源开发与生态环境保护，严格落实“三线一单”管控，优化砂石土类矿产开发布局，推行规模化、规范化、绿色化开采，严禁大矿小开、一矿多开，全面推进绿色矿山建设与矿区生态修复。</w:t>
      </w:r>
    </w:p>
    <w:p w14:paraId="454908B3">
      <w:pPr>
        <w:pStyle w:val="41"/>
        <w:bidi w:val="0"/>
      </w:pPr>
      <w:r>
        <w:t>二、矿种与开采规模管控要求</w:t>
      </w:r>
    </w:p>
    <w:p w14:paraId="68E79048">
      <w:pPr>
        <w:pStyle w:val="41"/>
        <w:bidi w:val="0"/>
      </w:pPr>
      <w:r>
        <w:rPr>
          <w:lang w:val="en-US" w:eastAsia="zh-CN"/>
        </w:rPr>
        <w:t>规划明确建筑石料用灰岩为文山州鼓励规范开发的非金属矿产，允许依法合规新设、续建矿山项目，严格执行最小开采规模、资源利用率、服务年限管控标准，引导砂石矿山集约化、规范化开采，淘汰落后小型散乱矿山。</w:t>
      </w:r>
    </w:p>
    <w:p w14:paraId="486B45D0">
      <w:pPr>
        <w:pStyle w:val="41"/>
        <w:bidi w:val="0"/>
      </w:pPr>
      <w:r>
        <w:rPr>
          <w:lang w:val="en-US" w:eastAsia="zh-CN"/>
        </w:rPr>
        <w:t>本项目为建筑石料用灰岩开采项目，属于规划允许开发矿种，开采规模、资源利用方式符合规划对建材类矿产集约开发的调控方向，不属于禁止、限制开采矿种。</w:t>
      </w:r>
    </w:p>
    <w:p w14:paraId="3F2020A1">
      <w:pPr>
        <w:pStyle w:val="41"/>
        <w:bidi w:val="0"/>
      </w:pPr>
      <w:r>
        <w:t>三、空间布局与生态管控要求</w:t>
      </w:r>
    </w:p>
    <w:p w14:paraId="08523B0B">
      <w:pPr>
        <w:pStyle w:val="41"/>
        <w:bidi w:val="0"/>
      </w:pPr>
      <w:r>
        <w:rPr>
          <w:lang w:val="en-US" w:eastAsia="zh-CN"/>
        </w:rPr>
        <w:t>规划严格落实国土空间管控，生态保护红线、自然保护地、饮用水水源一、二级保护区禁止新设采矿权、禁止开采作业；准保护区严格控制开发强度，落实严格的水土保持、水污染防控、生态保护措施。</w:t>
      </w:r>
    </w:p>
    <w:p w14:paraId="20813565">
      <w:pPr>
        <w:pStyle w:val="41"/>
        <w:bidi w:val="0"/>
      </w:pPr>
      <w:r>
        <w:rPr>
          <w:lang w:val="en-US" w:eastAsia="zh-CN"/>
        </w:rPr>
        <w:t>本项目选址位于红舍克水库饮用水水源准保护区，不占用生态保护红线、永久基本农田、水源一、二级保护区、自然保护地，不在各类法定禁止开采区域内，选址符合矿产资源规划空间布局管控要求。</w:t>
      </w:r>
    </w:p>
    <w:p w14:paraId="6841B0E7">
      <w:pPr>
        <w:pStyle w:val="41"/>
        <w:bidi w:val="0"/>
      </w:pPr>
      <w:r>
        <w:t>四、绿色</w:t>
      </w:r>
      <w:r>
        <w:rPr>
          <w:rFonts w:hint="eastAsia"/>
          <w:lang w:eastAsia="zh-CN"/>
        </w:rPr>
        <w:t>矿山生态修复</w:t>
      </w:r>
      <w:r>
        <w:t>管控要求</w:t>
      </w:r>
    </w:p>
    <w:p w14:paraId="5276FE60">
      <w:pPr>
        <w:pStyle w:val="41"/>
        <w:bidi w:val="0"/>
      </w:pPr>
      <w:r>
        <w:rPr>
          <w:lang w:val="en-US" w:eastAsia="zh-CN"/>
        </w:rPr>
        <w:t>规划要求新建、在建矿山全面落实绿色勘查、绿色开采理念，全过程落实矿山地质环境治理、水土保持、扬尘防控、雨污分流、固废合规处置措施，落实“谁开发、谁保护，谁破坏、谁治理”原则，建立矿山生态修复长效机制，开采期满后完成土地复垦和生态恢复。</w:t>
      </w:r>
    </w:p>
    <w:p w14:paraId="0FD12367">
      <w:pPr>
        <w:pStyle w:val="41"/>
        <w:bidi w:val="0"/>
      </w:pPr>
      <w:r>
        <w:rPr>
          <w:lang w:val="en-US" w:eastAsia="zh-CN"/>
        </w:rPr>
        <w:t>本项目运营期严格落实雨污分流、三级沉淀回用、扬尘治理、水土保持、固废分类处置、水源保护等环保措施，同步落实矿山地质环境治理与生态修复方案，符合规划绿色矿山建设、生态环境保护及修复要求。</w:t>
      </w:r>
    </w:p>
    <w:p w14:paraId="7991D174">
      <w:pPr>
        <w:pStyle w:val="41"/>
        <w:bidi w:val="0"/>
      </w:pPr>
      <w:r>
        <w:t>五、资源高效利用管控要求</w:t>
      </w:r>
    </w:p>
    <w:p w14:paraId="72AEF1CF">
      <w:pPr>
        <w:pStyle w:val="41"/>
        <w:bidi w:val="0"/>
      </w:pPr>
      <w:r>
        <w:rPr>
          <w:lang w:val="en-US" w:eastAsia="zh-CN"/>
        </w:rPr>
        <w:t>规划要求提高矿产资源回采率、综合利用率，加强废石、弃渣综合利用，推行清洁生产，杜绝资源浪费，严控矿山开采污染物排放。</w:t>
      </w:r>
    </w:p>
    <w:p w14:paraId="652C57CC">
      <w:pPr>
        <w:pStyle w:val="41"/>
        <w:bidi w:val="0"/>
      </w:pPr>
      <w:r>
        <w:rPr>
          <w:lang w:val="en-US" w:eastAsia="zh-CN"/>
        </w:rPr>
        <w:t>本项目开采过程废石、弃渣全部综合利用，无随意弃置情况，资源利用方式集约高效，符合规划资源节约、高效利用的管控要求。</w:t>
      </w:r>
    </w:p>
    <w:p w14:paraId="0E630B51">
      <w:pPr>
        <w:pStyle w:val="41"/>
        <w:bidi w:val="0"/>
        <w:rPr>
          <w:rFonts w:hint="default"/>
          <w:lang w:val="en-US" w:eastAsia="zh-CN"/>
        </w:rPr>
      </w:pPr>
      <w:r>
        <w:rPr>
          <w:lang w:val="en-US" w:eastAsia="zh-CN"/>
        </w:rPr>
        <w:t>综上所述，本项目矿种为规划允许开发的建筑石料用灰岩，选址不涉及各类禁止开发区域，开采规模、开发方式、生态保护措施、资源利用模式均符合《文山州矿产资源总体规划（2021-2025年）》管控要求，项目建设符合区域矿产资源开发规划。</w:t>
      </w:r>
    </w:p>
    <w:p w14:paraId="03E3B60E">
      <w:pPr>
        <w:pStyle w:val="3"/>
        <w:keepNext/>
        <w:pageBreakBefore w:val="0"/>
        <w:kinsoku/>
        <w:overflowPunct/>
        <w:topLinePunct w:val="0"/>
        <w:bidi w:val="0"/>
        <w:rPr>
          <w:rFonts w:hint="default"/>
          <w:color w:val="000000" w:themeColor="text1"/>
          <w:highlight w:val="none"/>
          <w:lang w:val="en-US" w:eastAsia="zh-CN"/>
          <w14:textFill>
            <w14:solidFill>
              <w14:schemeClr w14:val="tx1"/>
            </w14:solidFill>
          </w14:textFill>
        </w:rPr>
      </w:pPr>
      <w:bookmarkStart w:id="570" w:name="_Toc23406"/>
      <w:bookmarkStart w:id="571" w:name="_Toc23070"/>
      <w:r>
        <w:rPr>
          <w:rFonts w:hint="eastAsia"/>
          <w:color w:val="000000" w:themeColor="text1"/>
          <w:highlight w:val="none"/>
          <w:lang w:val="en-US" w:eastAsia="zh-CN"/>
          <w14:textFill>
            <w14:solidFill>
              <w14:schemeClr w14:val="tx1"/>
            </w14:solidFill>
          </w14:textFill>
        </w:rPr>
        <w:t>与矿山生态环境保护政策、规范符合性分析</w:t>
      </w:r>
      <w:bookmarkEnd w:id="570"/>
      <w:bookmarkEnd w:id="571"/>
    </w:p>
    <w:p w14:paraId="4301523A">
      <w:pPr>
        <w:pStyle w:val="4"/>
        <w:bidi w:val="0"/>
        <w:rPr>
          <w:rFonts w:hint="eastAsia"/>
          <w:lang w:val="en-US" w:eastAsia="zh-CN"/>
        </w:rPr>
      </w:pPr>
      <w:bookmarkStart w:id="572" w:name="_Toc28303"/>
      <w:bookmarkStart w:id="573" w:name="_Toc6725"/>
      <w:r>
        <w:rPr>
          <w:rFonts w:hint="eastAsia"/>
          <w:lang w:val="en-US" w:eastAsia="zh-CN"/>
        </w:rPr>
        <w:t>与《矿山生态环境保护与污染防治技术政策》（环发〔2005〕109号）符合性</w:t>
      </w:r>
      <w:bookmarkEnd w:id="572"/>
      <w:bookmarkEnd w:id="573"/>
    </w:p>
    <w:p w14:paraId="2F8A23FD">
      <w:pPr>
        <w:pStyle w:val="41"/>
        <w:bidi w:val="0"/>
        <w:rPr>
          <w:rFonts w:hint="default" w:ascii="Times New Roman" w:hAnsi="Times New Roman" w:cs="Times New Roman"/>
          <w:color w:val="000000" w:themeColor="text1"/>
          <w:highlight w:val="none"/>
          <w:lang w:val="zh-CN" w:eastAsia="zh-CN"/>
          <w14:textFill>
            <w14:solidFill>
              <w14:schemeClr w14:val="tx1"/>
            </w14:solidFill>
          </w14:textFill>
        </w:rPr>
      </w:pPr>
      <w:r>
        <w:rPr>
          <w:rFonts w:hint="default"/>
          <w:lang w:val="zh-CN" w:eastAsia="zh-CN"/>
        </w:rPr>
        <w:t>项目与《矿山生态环境保护与污染防治技术政策》（环发〔2005〕109号）符合性见</w:t>
      </w:r>
      <w:r>
        <w:rPr>
          <w:rFonts w:hint="eastAsia"/>
          <w:lang w:val="en-US" w:eastAsia="zh-CN"/>
        </w:rPr>
        <w:t>下表</w:t>
      </w:r>
      <w:r>
        <w:rPr>
          <w:rFonts w:hint="default"/>
          <w:lang w:val="zh-CN" w:eastAsia="zh-CN"/>
        </w:rPr>
        <w:t>。</w:t>
      </w:r>
    </w:p>
    <w:p w14:paraId="4AB143D4">
      <w:pPr>
        <w:pStyle w:val="45"/>
        <w:bidi w:val="0"/>
        <w:rPr>
          <w:rFonts w:hint="default"/>
          <w:lang w:val="zh-CN" w:eastAsia="zh-CN"/>
        </w:rPr>
      </w:pPr>
      <w:r>
        <w:rPr>
          <w:rFonts w:hint="default"/>
          <w:lang w:val="zh-CN" w:eastAsia="zh-CN"/>
        </w:rPr>
        <w:t>表</w:t>
      </w:r>
      <w:r>
        <w:rPr>
          <w:rFonts w:hint="eastAsia"/>
          <w:lang w:val="en-US" w:eastAsia="zh-CN"/>
        </w:rPr>
        <w:t>9.7-1</w:t>
      </w:r>
      <w:r>
        <w:rPr>
          <w:rFonts w:hint="default"/>
          <w:lang w:val="zh-CN" w:eastAsia="zh-CN"/>
        </w:rPr>
        <w:t xml:space="preserve">  项目与环发〔2005〕109号文件符合性分析</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2907"/>
        <w:gridCol w:w="3806"/>
        <w:gridCol w:w="831"/>
      </w:tblGrid>
      <w:tr w14:paraId="2606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76" w:type="pct"/>
            <w:noWrap w:val="0"/>
            <w:vAlign w:val="center"/>
          </w:tcPr>
          <w:p w14:paraId="0658286A">
            <w:pPr>
              <w:pStyle w:val="43"/>
              <w:bidi w:val="0"/>
              <w:rPr>
                <w:rFonts w:hint="default"/>
                <w:b/>
                <w:bCs/>
                <w:lang w:val="zh-CN" w:eastAsia="zh-CN"/>
              </w:rPr>
            </w:pPr>
            <w:r>
              <w:rPr>
                <w:rFonts w:hint="default"/>
                <w:b/>
                <w:bCs/>
                <w:lang w:val="zh-CN" w:eastAsia="zh-CN"/>
              </w:rPr>
              <w:t>类别</w:t>
            </w:r>
          </w:p>
        </w:tc>
        <w:tc>
          <w:tcPr>
            <w:tcW w:w="1704" w:type="pct"/>
            <w:noWrap w:val="0"/>
            <w:vAlign w:val="center"/>
          </w:tcPr>
          <w:p w14:paraId="5CD9DA89">
            <w:pPr>
              <w:pStyle w:val="43"/>
              <w:bidi w:val="0"/>
              <w:rPr>
                <w:rFonts w:hint="default"/>
                <w:b/>
                <w:bCs/>
                <w:lang w:val="zh-CN" w:eastAsia="zh-CN"/>
              </w:rPr>
            </w:pPr>
            <w:r>
              <w:rPr>
                <w:rFonts w:hint="default"/>
                <w:b/>
                <w:bCs/>
                <w:lang w:val="zh-CN" w:eastAsia="zh-CN"/>
              </w:rPr>
              <w:t>（环发〔2005〕109号）相关要求</w:t>
            </w:r>
          </w:p>
        </w:tc>
        <w:tc>
          <w:tcPr>
            <w:tcW w:w="2231" w:type="pct"/>
            <w:noWrap w:val="0"/>
            <w:vAlign w:val="center"/>
          </w:tcPr>
          <w:p w14:paraId="11A2D910">
            <w:pPr>
              <w:pStyle w:val="43"/>
              <w:bidi w:val="0"/>
              <w:rPr>
                <w:rFonts w:hint="default"/>
                <w:b/>
                <w:bCs/>
                <w:lang w:val="zh-CN" w:eastAsia="zh-CN"/>
              </w:rPr>
            </w:pPr>
            <w:r>
              <w:rPr>
                <w:rFonts w:hint="default"/>
                <w:b/>
                <w:bCs/>
                <w:lang w:val="zh-CN" w:eastAsia="zh-CN"/>
              </w:rPr>
              <w:t>项目情况</w:t>
            </w:r>
          </w:p>
        </w:tc>
        <w:tc>
          <w:tcPr>
            <w:tcW w:w="487" w:type="pct"/>
            <w:noWrap w:val="0"/>
            <w:vAlign w:val="center"/>
          </w:tcPr>
          <w:p w14:paraId="69022F14">
            <w:pPr>
              <w:pStyle w:val="43"/>
              <w:bidi w:val="0"/>
              <w:rPr>
                <w:rFonts w:hint="default"/>
                <w:b/>
                <w:bCs/>
                <w:lang w:val="zh-CN" w:eastAsia="zh-CN"/>
              </w:rPr>
            </w:pPr>
            <w:r>
              <w:rPr>
                <w:rFonts w:hint="default"/>
                <w:b/>
                <w:bCs/>
                <w:lang w:val="zh-CN" w:eastAsia="zh-CN"/>
              </w:rPr>
              <w:t>符合性</w:t>
            </w:r>
          </w:p>
        </w:tc>
      </w:tr>
      <w:tr w14:paraId="6718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noWrap w:val="0"/>
            <w:vAlign w:val="center"/>
          </w:tcPr>
          <w:p w14:paraId="371DE9A7">
            <w:pPr>
              <w:pStyle w:val="43"/>
              <w:bidi w:val="0"/>
              <w:rPr>
                <w:rFonts w:hint="default"/>
                <w:lang w:val="zh-CN" w:eastAsia="zh-CN"/>
              </w:rPr>
            </w:pPr>
            <w:r>
              <w:rPr>
                <w:rFonts w:hint="default"/>
                <w:lang w:val="zh-CN" w:eastAsia="zh-CN"/>
              </w:rPr>
              <w:t>考核指标体系</w:t>
            </w:r>
          </w:p>
        </w:tc>
        <w:tc>
          <w:tcPr>
            <w:tcW w:w="1704" w:type="pct"/>
            <w:noWrap w:val="0"/>
            <w:vAlign w:val="center"/>
          </w:tcPr>
          <w:p w14:paraId="326D2AB7">
            <w:pPr>
              <w:pStyle w:val="43"/>
              <w:bidi w:val="0"/>
              <w:rPr>
                <w:rFonts w:hint="default"/>
                <w:lang w:val="zh-CN" w:eastAsia="zh-CN"/>
              </w:rPr>
            </w:pPr>
            <w:r>
              <w:rPr>
                <w:rFonts w:hint="default"/>
                <w:lang w:val="zh-CN" w:eastAsia="zh-CN"/>
              </w:rPr>
              <w:t>采矿地质资源储量利用系数、综合利用率等矿产资源开发利用指标</w:t>
            </w:r>
          </w:p>
        </w:tc>
        <w:tc>
          <w:tcPr>
            <w:tcW w:w="2231" w:type="pct"/>
            <w:noWrap w:val="0"/>
            <w:vAlign w:val="center"/>
          </w:tcPr>
          <w:p w14:paraId="6BA7B7CB">
            <w:pPr>
              <w:pStyle w:val="43"/>
              <w:bidi w:val="0"/>
              <w:rPr>
                <w:rFonts w:hint="default"/>
                <w:lang w:val="zh-CN" w:eastAsia="zh-CN"/>
              </w:rPr>
            </w:pPr>
            <w:r>
              <w:rPr>
                <w:rFonts w:hint="eastAsia"/>
                <w:lang w:val="en-US" w:eastAsia="zh-CN"/>
              </w:rPr>
              <w:t>本项目</w:t>
            </w:r>
            <w:r>
              <w:rPr>
                <w:rFonts w:hint="default"/>
                <w:lang w:val="zh-CN" w:eastAsia="zh-CN"/>
              </w:rPr>
              <w:t>选用的采矿方法的回采率指标</w:t>
            </w:r>
            <w:r>
              <w:rPr>
                <w:rFonts w:hint="eastAsia"/>
                <w:lang w:val="zh-CN" w:eastAsia="zh-CN"/>
              </w:rPr>
              <w:t>，</w:t>
            </w:r>
            <w:r>
              <w:rPr>
                <w:rFonts w:hint="default"/>
                <w:lang w:val="zh-CN" w:eastAsia="zh-CN"/>
              </w:rPr>
              <w:t>均符合《矿产资源</w:t>
            </w:r>
            <w:r>
              <w:rPr>
                <w:rFonts w:hint="eastAsia"/>
                <w:lang w:val="zh-CN" w:eastAsia="zh-CN"/>
              </w:rPr>
              <w:t>“</w:t>
            </w:r>
            <w:r>
              <w:rPr>
                <w:rFonts w:hint="default"/>
                <w:lang w:val="zh-CN" w:eastAsia="zh-CN"/>
              </w:rPr>
              <w:t>三率</w:t>
            </w:r>
            <w:r>
              <w:rPr>
                <w:rFonts w:hint="eastAsia"/>
                <w:lang w:val="zh-CN" w:eastAsia="zh-CN"/>
              </w:rPr>
              <w:t>”</w:t>
            </w:r>
            <w:r>
              <w:rPr>
                <w:rFonts w:hint="default"/>
                <w:lang w:val="zh-CN" w:eastAsia="zh-CN"/>
              </w:rPr>
              <w:t>最低指标要求》规定的</w:t>
            </w:r>
            <w:r>
              <w:rPr>
                <w:rFonts w:hint="eastAsia"/>
                <w:lang w:val="en-US" w:eastAsia="zh-CN"/>
              </w:rPr>
              <w:t>石灰岩</w:t>
            </w:r>
            <w:r>
              <w:rPr>
                <w:rFonts w:hint="default"/>
                <w:lang w:val="zh-CN" w:eastAsia="zh-CN"/>
              </w:rPr>
              <w:t>矿</w:t>
            </w:r>
            <w:r>
              <w:rPr>
                <w:rFonts w:hint="eastAsia"/>
                <w:lang w:val="en-US" w:eastAsia="zh-CN"/>
              </w:rPr>
              <w:t>露天</w:t>
            </w:r>
            <w:r>
              <w:rPr>
                <w:rFonts w:hint="default"/>
                <w:lang w:val="zh-CN" w:eastAsia="zh-CN"/>
              </w:rPr>
              <w:t>开采相对应的回采率指标要求。露天矿山开采回采率不低于90%</w:t>
            </w:r>
            <w:r>
              <w:rPr>
                <w:rFonts w:hint="eastAsia"/>
                <w:lang w:val="zh-CN" w:eastAsia="zh-CN"/>
              </w:rPr>
              <w:t>，综合利用率不低于60%，回填复垦用量不低于95%</w:t>
            </w:r>
            <w:r>
              <w:rPr>
                <w:rFonts w:hint="default"/>
                <w:lang w:val="zh-CN" w:eastAsia="zh-CN"/>
              </w:rPr>
              <w:t>。</w:t>
            </w:r>
          </w:p>
        </w:tc>
        <w:tc>
          <w:tcPr>
            <w:tcW w:w="487" w:type="pct"/>
            <w:noWrap w:val="0"/>
            <w:vAlign w:val="center"/>
          </w:tcPr>
          <w:p w14:paraId="7C728AAC">
            <w:pPr>
              <w:pStyle w:val="43"/>
              <w:bidi w:val="0"/>
              <w:rPr>
                <w:rFonts w:hint="default"/>
                <w:lang w:val="zh-CN" w:eastAsia="zh-CN"/>
              </w:rPr>
            </w:pPr>
            <w:r>
              <w:rPr>
                <w:rFonts w:hint="default"/>
                <w:lang w:val="zh-CN" w:eastAsia="zh-CN"/>
              </w:rPr>
              <w:t>符合</w:t>
            </w:r>
          </w:p>
        </w:tc>
      </w:tr>
      <w:tr w14:paraId="4F46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restart"/>
            <w:noWrap w:val="0"/>
            <w:vAlign w:val="center"/>
          </w:tcPr>
          <w:p w14:paraId="409A1A52">
            <w:pPr>
              <w:pStyle w:val="43"/>
              <w:bidi w:val="0"/>
              <w:rPr>
                <w:rFonts w:hint="default"/>
                <w:lang w:val="zh-CN" w:eastAsia="zh-CN"/>
              </w:rPr>
            </w:pPr>
            <w:r>
              <w:rPr>
                <w:rFonts w:hint="default"/>
                <w:lang w:val="zh-CN" w:eastAsia="zh-CN"/>
              </w:rPr>
              <w:t>禁止类</w:t>
            </w:r>
          </w:p>
        </w:tc>
        <w:tc>
          <w:tcPr>
            <w:tcW w:w="1704" w:type="pct"/>
            <w:noWrap w:val="0"/>
            <w:vAlign w:val="center"/>
          </w:tcPr>
          <w:p w14:paraId="677CE565">
            <w:pPr>
              <w:pStyle w:val="43"/>
              <w:bidi w:val="0"/>
              <w:rPr>
                <w:rFonts w:hint="default"/>
                <w:lang w:val="zh-CN" w:eastAsia="zh-CN"/>
              </w:rPr>
            </w:pPr>
            <w:r>
              <w:rPr>
                <w:rFonts w:hint="default"/>
                <w:lang w:val="zh-CN" w:eastAsia="zh-CN"/>
              </w:rPr>
              <w:t>禁止在依法规定的自然保护区（核心区、缓冲区）、风景名胜区、森林公园、饮用水水源保护区、重要湖泊周边、文物古迹所在地、地质遗迹保护区、基本农田保护区等区域内采矿。</w:t>
            </w:r>
          </w:p>
        </w:tc>
        <w:tc>
          <w:tcPr>
            <w:tcW w:w="2231" w:type="pct"/>
            <w:noWrap w:val="0"/>
            <w:vAlign w:val="center"/>
          </w:tcPr>
          <w:p w14:paraId="56662BFC">
            <w:pPr>
              <w:pStyle w:val="43"/>
              <w:bidi w:val="0"/>
              <w:rPr>
                <w:rFonts w:hint="default"/>
                <w:lang w:val="zh-CN" w:eastAsia="zh-CN"/>
              </w:rPr>
            </w:pPr>
            <w:r>
              <w:rPr>
                <w:rFonts w:hint="default"/>
                <w:lang w:val="zh-CN" w:eastAsia="zh-CN"/>
              </w:rPr>
              <w:t>根据生态环境分区管控及三区三线查询结果</w:t>
            </w:r>
            <w:r>
              <w:rPr>
                <w:rFonts w:hint="eastAsia"/>
                <w:lang w:val="zh-CN" w:eastAsia="zh-CN"/>
              </w:rPr>
              <w:t>，</w:t>
            </w:r>
            <w:r>
              <w:rPr>
                <w:rFonts w:hint="default"/>
                <w:lang w:val="zh-CN" w:eastAsia="zh-CN"/>
              </w:rPr>
              <w:t>项目不占用自然保护区、风景名胜区、森林公园、饮用水水源保护区、重要湖泊周边、文物古迹所在地、地质遗迹保护区、基本农田保护区。</w:t>
            </w:r>
          </w:p>
        </w:tc>
        <w:tc>
          <w:tcPr>
            <w:tcW w:w="487" w:type="pct"/>
            <w:noWrap w:val="0"/>
            <w:vAlign w:val="center"/>
          </w:tcPr>
          <w:p w14:paraId="2D850FAF">
            <w:pPr>
              <w:pStyle w:val="43"/>
              <w:bidi w:val="0"/>
              <w:rPr>
                <w:rFonts w:hint="default"/>
                <w:lang w:val="zh-CN" w:eastAsia="zh-CN"/>
              </w:rPr>
            </w:pPr>
            <w:r>
              <w:rPr>
                <w:rFonts w:hint="default"/>
                <w:lang w:val="zh-CN" w:eastAsia="zh-CN"/>
              </w:rPr>
              <w:t>符合</w:t>
            </w:r>
          </w:p>
        </w:tc>
      </w:tr>
      <w:tr w14:paraId="0BB0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0E29F876">
            <w:pPr>
              <w:pStyle w:val="43"/>
              <w:bidi w:val="0"/>
              <w:rPr>
                <w:rFonts w:hint="default"/>
                <w:lang w:val="zh-CN" w:eastAsia="zh-CN"/>
              </w:rPr>
            </w:pPr>
          </w:p>
        </w:tc>
        <w:tc>
          <w:tcPr>
            <w:tcW w:w="1704" w:type="pct"/>
            <w:noWrap w:val="0"/>
            <w:vAlign w:val="center"/>
          </w:tcPr>
          <w:p w14:paraId="6EFB6D88">
            <w:pPr>
              <w:pStyle w:val="43"/>
              <w:bidi w:val="0"/>
              <w:rPr>
                <w:rFonts w:hint="default"/>
                <w:lang w:val="zh-CN" w:eastAsia="zh-CN"/>
              </w:rPr>
            </w:pPr>
            <w:r>
              <w:rPr>
                <w:rFonts w:hint="default"/>
                <w:lang w:val="zh-CN" w:eastAsia="zh-CN"/>
              </w:rPr>
              <w:t>禁止在铁路、国道、省道两侧的直观可视范围内进行露天开采。</w:t>
            </w:r>
          </w:p>
        </w:tc>
        <w:tc>
          <w:tcPr>
            <w:tcW w:w="2231" w:type="pct"/>
            <w:noWrap w:val="0"/>
            <w:vAlign w:val="center"/>
          </w:tcPr>
          <w:p w14:paraId="4B4D3B5A">
            <w:pPr>
              <w:pStyle w:val="43"/>
              <w:bidi w:val="0"/>
              <w:rPr>
                <w:rFonts w:hint="default"/>
                <w:lang w:val="zh-CN" w:eastAsia="zh-CN"/>
              </w:rPr>
            </w:pPr>
            <w:r>
              <w:rPr>
                <w:rFonts w:hint="eastAsia"/>
                <w:lang w:val="en-US" w:eastAsia="zh-CN"/>
              </w:rPr>
              <w:t>项目未在铁路、国道、省道两侧的直观可视范围内</w:t>
            </w:r>
            <w:r>
              <w:rPr>
                <w:rFonts w:hint="default"/>
                <w:lang w:val="zh-CN" w:eastAsia="zh-CN"/>
              </w:rPr>
              <w:t>。</w:t>
            </w:r>
          </w:p>
        </w:tc>
        <w:tc>
          <w:tcPr>
            <w:tcW w:w="487" w:type="pct"/>
            <w:noWrap w:val="0"/>
            <w:vAlign w:val="center"/>
          </w:tcPr>
          <w:p w14:paraId="18E1A854">
            <w:pPr>
              <w:pStyle w:val="43"/>
              <w:bidi w:val="0"/>
              <w:rPr>
                <w:rFonts w:hint="default"/>
                <w:lang w:val="zh-CN" w:eastAsia="zh-CN"/>
              </w:rPr>
            </w:pPr>
            <w:r>
              <w:rPr>
                <w:rFonts w:hint="default"/>
                <w:lang w:val="zh-CN" w:eastAsia="zh-CN"/>
              </w:rPr>
              <w:t>符合</w:t>
            </w:r>
          </w:p>
        </w:tc>
      </w:tr>
      <w:tr w14:paraId="1B2A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4EBA62F1">
            <w:pPr>
              <w:pStyle w:val="43"/>
              <w:bidi w:val="0"/>
              <w:rPr>
                <w:rFonts w:hint="default"/>
                <w:lang w:val="zh-CN" w:eastAsia="zh-CN"/>
              </w:rPr>
            </w:pPr>
          </w:p>
        </w:tc>
        <w:tc>
          <w:tcPr>
            <w:tcW w:w="1704" w:type="pct"/>
            <w:noWrap w:val="0"/>
            <w:vAlign w:val="center"/>
          </w:tcPr>
          <w:p w14:paraId="514B82CE">
            <w:pPr>
              <w:pStyle w:val="43"/>
              <w:bidi w:val="0"/>
              <w:rPr>
                <w:rFonts w:hint="default"/>
                <w:lang w:val="zh-CN" w:eastAsia="zh-CN"/>
              </w:rPr>
            </w:pPr>
            <w:r>
              <w:rPr>
                <w:rFonts w:hint="default"/>
                <w:lang w:val="zh-CN" w:eastAsia="zh-CN"/>
              </w:rPr>
              <w:t>禁止在地质灾害危险区开采矿产资源。</w:t>
            </w:r>
          </w:p>
        </w:tc>
        <w:tc>
          <w:tcPr>
            <w:tcW w:w="2231" w:type="pct"/>
            <w:noWrap w:val="0"/>
            <w:vAlign w:val="center"/>
          </w:tcPr>
          <w:p w14:paraId="7D221ED3">
            <w:pPr>
              <w:pStyle w:val="43"/>
              <w:bidi w:val="0"/>
              <w:rPr>
                <w:rFonts w:hint="default"/>
                <w:lang w:val="zh-CN" w:eastAsia="zh-CN"/>
              </w:rPr>
            </w:pPr>
            <w:r>
              <w:rPr>
                <w:rFonts w:hint="default"/>
                <w:lang w:val="zh-CN" w:eastAsia="zh-CN"/>
              </w:rPr>
              <w:t>根据</w:t>
            </w:r>
            <w:r>
              <w:rPr>
                <w:rFonts w:hint="eastAsia"/>
                <w:lang w:val="en-US" w:eastAsia="zh-CN"/>
              </w:rPr>
              <w:t>项目开发利用方案、初步设计</w:t>
            </w:r>
            <w:r>
              <w:rPr>
                <w:rFonts w:hint="eastAsia"/>
                <w:lang w:val="zh-CN" w:eastAsia="zh-CN"/>
              </w:rPr>
              <w:t>，</w:t>
            </w:r>
            <w:r>
              <w:rPr>
                <w:rFonts w:hint="default"/>
                <w:lang w:val="zh-CN" w:eastAsia="zh-CN"/>
              </w:rPr>
              <w:t>项目</w:t>
            </w:r>
            <w:r>
              <w:rPr>
                <w:rFonts w:hint="eastAsia"/>
                <w:lang w:val="en-US" w:eastAsia="zh-CN"/>
              </w:rPr>
              <w:t>矿区不属于</w:t>
            </w:r>
            <w:r>
              <w:rPr>
                <w:rFonts w:hint="default"/>
                <w:lang w:val="zh-CN" w:eastAsia="zh-CN"/>
              </w:rPr>
              <w:t>地质灾害危险区。</w:t>
            </w:r>
          </w:p>
        </w:tc>
        <w:tc>
          <w:tcPr>
            <w:tcW w:w="487" w:type="pct"/>
            <w:noWrap w:val="0"/>
            <w:vAlign w:val="center"/>
          </w:tcPr>
          <w:p w14:paraId="7A2B5171">
            <w:pPr>
              <w:pStyle w:val="43"/>
              <w:bidi w:val="0"/>
              <w:rPr>
                <w:rFonts w:hint="default"/>
                <w:lang w:val="zh-CN" w:eastAsia="zh-CN"/>
              </w:rPr>
            </w:pPr>
            <w:r>
              <w:rPr>
                <w:rFonts w:hint="default"/>
                <w:lang w:val="zh-CN" w:eastAsia="zh-CN"/>
              </w:rPr>
              <w:t>符合</w:t>
            </w:r>
          </w:p>
        </w:tc>
      </w:tr>
      <w:tr w14:paraId="586E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3445A7F4">
            <w:pPr>
              <w:pStyle w:val="43"/>
              <w:bidi w:val="0"/>
              <w:rPr>
                <w:rFonts w:hint="default"/>
                <w:lang w:val="zh-CN" w:eastAsia="zh-CN"/>
              </w:rPr>
            </w:pPr>
          </w:p>
        </w:tc>
        <w:tc>
          <w:tcPr>
            <w:tcW w:w="1704" w:type="pct"/>
            <w:noWrap w:val="0"/>
            <w:vAlign w:val="center"/>
          </w:tcPr>
          <w:p w14:paraId="262590B8">
            <w:pPr>
              <w:pStyle w:val="43"/>
              <w:bidi w:val="0"/>
              <w:rPr>
                <w:rFonts w:hint="default"/>
                <w:lang w:val="zh-CN" w:eastAsia="zh-CN"/>
              </w:rPr>
            </w:pPr>
            <w:r>
              <w:rPr>
                <w:rFonts w:hint="default"/>
                <w:lang w:val="zh-CN" w:eastAsia="zh-CN"/>
              </w:rPr>
              <w:t>禁止新建对生态环境产生不可恢复利用的、产生破坏性影响的矿产资源开发项目。</w:t>
            </w:r>
          </w:p>
        </w:tc>
        <w:tc>
          <w:tcPr>
            <w:tcW w:w="2231" w:type="pct"/>
            <w:noWrap w:val="0"/>
            <w:vAlign w:val="center"/>
          </w:tcPr>
          <w:p w14:paraId="7A04A6EC">
            <w:pPr>
              <w:pStyle w:val="43"/>
              <w:bidi w:val="0"/>
              <w:rPr>
                <w:rFonts w:hint="default"/>
                <w:lang w:val="zh-CN" w:eastAsia="zh-CN"/>
              </w:rPr>
            </w:pPr>
            <w:r>
              <w:rPr>
                <w:rFonts w:hint="default"/>
                <w:lang w:val="zh-CN" w:eastAsia="zh-CN"/>
              </w:rPr>
              <w:t>项目矿山不属于生态敏感区</w:t>
            </w:r>
            <w:r>
              <w:rPr>
                <w:rFonts w:hint="eastAsia"/>
                <w:lang w:val="zh-CN" w:eastAsia="zh-CN"/>
              </w:rPr>
              <w:t>，</w:t>
            </w:r>
            <w:r>
              <w:rPr>
                <w:rFonts w:hint="default"/>
                <w:lang w:val="zh-CN" w:eastAsia="zh-CN"/>
              </w:rPr>
              <w:t>根据生态环境影响分析</w:t>
            </w:r>
            <w:r>
              <w:rPr>
                <w:rFonts w:hint="eastAsia"/>
                <w:lang w:val="zh-CN" w:eastAsia="zh-CN"/>
              </w:rPr>
              <w:t>，</w:t>
            </w:r>
            <w:r>
              <w:rPr>
                <w:rFonts w:hint="default"/>
                <w:lang w:val="zh-CN" w:eastAsia="zh-CN"/>
              </w:rPr>
              <w:t>项目开采对生态环境影响可以接受</w:t>
            </w:r>
            <w:r>
              <w:rPr>
                <w:rFonts w:hint="eastAsia"/>
                <w:lang w:val="zh-CN" w:eastAsia="zh-CN"/>
              </w:rPr>
              <w:t>，</w:t>
            </w:r>
            <w:r>
              <w:rPr>
                <w:rFonts w:hint="default"/>
                <w:lang w:val="zh-CN" w:eastAsia="zh-CN"/>
              </w:rPr>
              <w:t>项目闭矿期按照项目矿山地质环境保护与土地复垦方案进行生态环境恢复。</w:t>
            </w:r>
          </w:p>
        </w:tc>
        <w:tc>
          <w:tcPr>
            <w:tcW w:w="487" w:type="pct"/>
            <w:noWrap w:val="0"/>
            <w:vAlign w:val="center"/>
          </w:tcPr>
          <w:p w14:paraId="0430A683">
            <w:pPr>
              <w:pStyle w:val="43"/>
              <w:bidi w:val="0"/>
              <w:rPr>
                <w:rFonts w:hint="default"/>
                <w:lang w:val="zh-CN" w:eastAsia="zh-CN"/>
              </w:rPr>
            </w:pPr>
            <w:r>
              <w:rPr>
                <w:rFonts w:hint="default"/>
                <w:lang w:val="zh-CN" w:eastAsia="zh-CN"/>
              </w:rPr>
              <w:t>符合</w:t>
            </w:r>
          </w:p>
        </w:tc>
      </w:tr>
      <w:tr w14:paraId="0F62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restart"/>
            <w:noWrap w:val="0"/>
            <w:vAlign w:val="center"/>
          </w:tcPr>
          <w:p w14:paraId="5F083E4D">
            <w:pPr>
              <w:pStyle w:val="43"/>
              <w:bidi w:val="0"/>
              <w:rPr>
                <w:rFonts w:hint="default"/>
                <w:lang w:val="zh-CN" w:eastAsia="zh-CN"/>
              </w:rPr>
            </w:pPr>
            <w:r>
              <w:rPr>
                <w:rFonts w:hint="default"/>
                <w:lang w:val="zh-CN" w:eastAsia="zh-CN"/>
              </w:rPr>
              <w:t>限制类</w:t>
            </w:r>
          </w:p>
        </w:tc>
        <w:tc>
          <w:tcPr>
            <w:tcW w:w="1704" w:type="pct"/>
            <w:noWrap w:val="0"/>
            <w:vAlign w:val="center"/>
          </w:tcPr>
          <w:p w14:paraId="435AA6AB">
            <w:pPr>
              <w:pStyle w:val="43"/>
              <w:bidi w:val="0"/>
              <w:rPr>
                <w:rFonts w:hint="default"/>
                <w:lang w:val="zh-CN" w:eastAsia="zh-CN"/>
              </w:rPr>
            </w:pPr>
            <w:r>
              <w:rPr>
                <w:rFonts w:hint="default"/>
                <w:lang w:val="zh-CN" w:eastAsia="zh-CN"/>
              </w:rPr>
              <w:t>限制在生态功能保护区和自然保护区（过渡区）内进行开采。</w:t>
            </w:r>
          </w:p>
        </w:tc>
        <w:tc>
          <w:tcPr>
            <w:tcW w:w="2231" w:type="pct"/>
            <w:noWrap w:val="0"/>
            <w:vAlign w:val="center"/>
          </w:tcPr>
          <w:p w14:paraId="3234C21F">
            <w:pPr>
              <w:pStyle w:val="43"/>
              <w:bidi w:val="0"/>
              <w:rPr>
                <w:rFonts w:hint="default"/>
                <w:lang w:val="zh-CN" w:eastAsia="zh-CN"/>
              </w:rPr>
            </w:pPr>
            <w:r>
              <w:rPr>
                <w:rFonts w:hint="default"/>
                <w:lang w:val="zh-CN" w:eastAsia="zh-CN"/>
              </w:rPr>
              <w:t>项目不在生态功能保护区和自然保护区（过渡区）内。</w:t>
            </w:r>
          </w:p>
        </w:tc>
        <w:tc>
          <w:tcPr>
            <w:tcW w:w="487" w:type="pct"/>
            <w:noWrap w:val="0"/>
            <w:vAlign w:val="center"/>
          </w:tcPr>
          <w:p w14:paraId="20ECCDEA">
            <w:pPr>
              <w:pStyle w:val="43"/>
              <w:bidi w:val="0"/>
              <w:rPr>
                <w:rFonts w:hint="default"/>
                <w:lang w:val="zh-CN" w:eastAsia="zh-CN"/>
              </w:rPr>
            </w:pPr>
            <w:r>
              <w:rPr>
                <w:rFonts w:hint="default"/>
                <w:lang w:val="zh-CN" w:eastAsia="zh-CN"/>
              </w:rPr>
              <w:t>符合</w:t>
            </w:r>
          </w:p>
        </w:tc>
      </w:tr>
      <w:tr w14:paraId="6AFB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59C26CA2">
            <w:pPr>
              <w:pStyle w:val="43"/>
              <w:bidi w:val="0"/>
              <w:rPr>
                <w:rFonts w:hint="default"/>
                <w:lang w:val="zh-CN" w:eastAsia="zh-CN"/>
              </w:rPr>
            </w:pPr>
          </w:p>
        </w:tc>
        <w:tc>
          <w:tcPr>
            <w:tcW w:w="1704" w:type="pct"/>
            <w:noWrap w:val="0"/>
            <w:vAlign w:val="center"/>
          </w:tcPr>
          <w:p w14:paraId="4DC3B279">
            <w:pPr>
              <w:pStyle w:val="43"/>
              <w:bidi w:val="0"/>
              <w:rPr>
                <w:rFonts w:hint="default"/>
                <w:lang w:val="zh-CN" w:eastAsia="zh-CN"/>
              </w:rPr>
            </w:pPr>
            <w:r>
              <w:rPr>
                <w:rFonts w:hint="default"/>
                <w:lang w:val="zh-CN" w:eastAsia="zh-CN"/>
              </w:rPr>
              <w:t>限制在地质灾害易发区、水土流失严重区等生态脆弱区内开采矿产资源。</w:t>
            </w:r>
          </w:p>
        </w:tc>
        <w:tc>
          <w:tcPr>
            <w:tcW w:w="2231" w:type="pct"/>
            <w:noWrap w:val="0"/>
            <w:vAlign w:val="center"/>
          </w:tcPr>
          <w:p w14:paraId="2D324730">
            <w:pPr>
              <w:pStyle w:val="43"/>
              <w:bidi w:val="0"/>
              <w:rPr>
                <w:rFonts w:hint="default"/>
                <w:lang w:val="zh-CN" w:eastAsia="zh-CN"/>
              </w:rPr>
            </w:pPr>
            <w:r>
              <w:rPr>
                <w:rFonts w:hint="default"/>
                <w:lang w:val="zh-CN" w:eastAsia="zh-CN"/>
              </w:rPr>
              <w:t>项目不在地质灾害易发区</w:t>
            </w:r>
            <w:r>
              <w:rPr>
                <w:rFonts w:hint="eastAsia"/>
                <w:lang w:val="zh-CN" w:eastAsia="zh-CN"/>
              </w:rPr>
              <w:t>、</w:t>
            </w:r>
            <w:r>
              <w:rPr>
                <w:rFonts w:hint="default"/>
                <w:lang w:val="zh-CN" w:eastAsia="zh-CN"/>
              </w:rPr>
              <w:t>不属于水土流失严重区。</w:t>
            </w:r>
          </w:p>
        </w:tc>
        <w:tc>
          <w:tcPr>
            <w:tcW w:w="487" w:type="pct"/>
            <w:noWrap w:val="0"/>
            <w:vAlign w:val="center"/>
          </w:tcPr>
          <w:p w14:paraId="78CC01BE">
            <w:pPr>
              <w:pStyle w:val="43"/>
              <w:bidi w:val="0"/>
              <w:rPr>
                <w:rFonts w:hint="default"/>
                <w:lang w:val="zh-CN" w:eastAsia="zh-CN"/>
              </w:rPr>
            </w:pPr>
            <w:r>
              <w:rPr>
                <w:rFonts w:hint="default"/>
                <w:lang w:val="zh-CN" w:eastAsia="zh-CN"/>
              </w:rPr>
              <w:t>符合</w:t>
            </w:r>
          </w:p>
        </w:tc>
      </w:tr>
      <w:tr w14:paraId="1982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restart"/>
            <w:noWrap w:val="0"/>
            <w:vAlign w:val="center"/>
          </w:tcPr>
          <w:p w14:paraId="6415D624">
            <w:pPr>
              <w:pStyle w:val="43"/>
              <w:bidi w:val="0"/>
              <w:rPr>
                <w:rFonts w:hint="default"/>
                <w:lang w:val="zh-CN" w:eastAsia="zh-CN"/>
              </w:rPr>
            </w:pPr>
            <w:r>
              <w:rPr>
                <w:rFonts w:hint="default"/>
                <w:lang w:val="zh-CN" w:eastAsia="zh-CN"/>
              </w:rPr>
              <w:t>矿产资源开发规划</w:t>
            </w:r>
          </w:p>
        </w:tc>
        <w:tc>
          <w:tcPr>
            <w:tcW w:w="1704" w:type="pct"/>
            <w:noWrap w:val="0"/>
            <w:vAlign w:val="center"/>
          </w:tcPr>
          <w:p w14:paraId="7DE6CBD8">
            <w:pPr>
              <w:pStyle w:val="43"/>
              <w:bidi w:val="0"/>
              <w:rPr>
                <w:rFonts w:hint="default"/>
                <w:lang w:val="zh-CN" w:eastAsia="zh-CN"/>
              </w:rPr>
            </w:pPr>
            <w:r>
              <w:rPr>
                <w:rFonts w:hint="default"/>
                <w:lang w:val="zh-CN" w:eastAsia="zh-CN"/>
              </w:rPr>
              <w:t>矿产资源开发应符合国家产业政策要求</w:t>
            </w:r>
            <w:r>
              <w:rPr>
                <w:rFonts w:hint="eastAsia"/>
                <w:lang w:val="zh-CN" w:eastAsia="zh-CN"/>
              </w:rPr>
              <w:t>，</w:t>
            </w:r>
            <w:r>
              <w:rPr>
                <w:rFonts w:hint="default"/>
                <w:lang w:val="zh-CN" w:eastAsia="zh-CN"/>
              </w:rPr>
              <w:t>选址、布局应符合所在地的区域发展规划。</w:t>
            </w:r>
          </w:p>
        </w:tc>
        <w:tc>
          <w:tcPr>
            <w:tcW w:w="2231" w:type="pct"/>
            <w:noWrap w:val="0"/>
            <w:vAlign w:val="center"/>
          </w:tcPr>
          <w:p w14:paraId="1D2348EA">
            <w:pPr>
              <w:pStyle w:val="43"/>
              <w:bidi w:val="0"/>
              <w:rPr>
                <w:rFonts w:hint="default"/>
                <w:lang w:val="zh-CN" w:eastAsia="zh-CN"/>
              </w:rPr>
            </w:pPr>
            <w:r>
              <w:rPr>
                <w:rFonts w:hint="eastAsia"/>
                <w:lang w:val="en-US" w:eastAsia="zh-CN"/>
              </w:rPr>
              <w:t>项目开采规模为50万t/a，矿山生产服务年限为35.1年</w:t>
            </w:r>
            <w:r>
              <w:rPr>
                <w:rFonts w:hint="default"/>
                <w:lang w:val="zh-CN" w:eastAsia="zh-CN"/>
              </w:rPr>
              <w:t>。</w:t>
            </w:r>
            <w:r>
              <w:rPr>
                <w:rFonts w:hint="eastAsia"/>
                <w:lang w:val="en-US" w:eastAsia="zh-CN"/>
              </w:rPr>
              <w:t>项目</w:t>
            </w:r>
            <w:r>
              <w:rPr>
                <w:rFonts w:hint="default"/>
                <w:lang w:val="zh-CN" w:eastAsia="zh-CN"/>
              </w:rPr>
              <w:t>符合国家产业政策</w:t>
            </w:r>
            <w:r>
              <w:rPr>
                <w:rFonts w:hint="eastAsia"/>
                <w:lang w:val="zh-CN" w:eastAsia="zh-CN"/>
              </w:rPr>
              <w:t>，</w:t>
            </w:r>
            <w:r>
              <w:rPr>
                <w:rFonts w:hint="eastAsia"/>
                <w:lang w:val="en-US" w:eastAsia="zh-CN"/>
              </w:rPr>
              <w:t>开采矿种的规模及服务年限符合</w:t>
            </w:r>
            <w:r>
              <w:rPr>
                <w:rFonts w:hint="default"/>
                <w:lang w:val="zh-CN" w:eastAsia="zh-CN"/>
              </w:rPr>
              <w:t>《云南省非煤矿山最小开采规模和最低服务年限标准</w:t>
            </w:r>
            <w:r>
              <w:rPr>
                <w:rFonts w:hint="eastAsia"/>
                <w:lang w:val="zh-CN" w:eastAsia="zh-CN"/>
              </w:rPr>
              <w:t>》《</w:t>
            </w:r>
            <w:r>
              <w:rPr>
                <w:rFonts w:hint="default"/>
                <w:lang w:val="en-US" w:eastAsia="zh-CN"/>
              </w:rPr>
              <w:t>云南省人民政府办公厅关于印发〈云南省全面加强非煤矿山安全生产工作若干措施〉的通知》</w:t>
            </w:r>
            <w:r>
              <w:rPr>
                <w:rFonts w:hint="default"/>
                <w:lang w:val="zh-CN" w:eastAsia="zh-CN"/>
              </w:rPr>
              <w:t>。</w:t>
            </w:r>
          </w:p>
        </w:tc>
        <w:tc>
          <w:tcPr>
            <w:tcW w:w="487" w:type="pct"/>
            <w:noWrap w:val="0"/>
            <w:vAlign w:val="center"/>
          </w:tcPr>
          <w:p w14:paraId="7BFC2C94">
            <w:pPr>
              <w:pStyle w:val="43"/>
              <w:bidi w:val="0"/>
              <w:rPr>
                <w:rFonts w:hint="default"/>
                <w:lang w:val="zh-CN" w:eastAsia="zh-CN"/>
              </w:rPr>
            </w:pPr>
            <w:r>
              <w:rPr>
                <w:rFonts w:hint="default"/>
                <w:lang w:val="zh-CN" w:eastAsia="zh-CN"/>
              </w:rPr>
              <w:t>符合</w:t>
            </w:r>
          </w:p>
        </w:tc>
      </w:tr>
      <w:tr w14:paraId="3B15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3BAA224C">
            <w:pPr>
              <w:pStyle w:val="43"/>
              <w:bidi w:val="0"/>
              <w:rPr>
                <w:rFonts w:hint="default"/>
                <w:lang w:val="zh-CN" w:eastAsia="zh-CN"/>
              </w:rPr>
            </w:pPr>
          </w:p>
        </w:tc>
        <w:tc>
          <w:tcPr>
            <w:tcW w:w="1704" w:type="pct"/>
            <w:noWrap w:val="0"/>
            <w:vAlign w:val="center"/>
          </w:tcPr>
          <w:p w14:paraId="7AA4A9E0">
            <w:pPr>
              <w:pStyle w:val="43"/>
              <w:bidi w:val="0"/>
              <w:rPr>
                <w:rFonts w:hint="default"/>
                <w:lang w:val="zh-CN" w:eastAsia="zh-CN"/>
              </w:rPr>
            </w:pPr>
            <w:r>
              <w:rPr>
                <w:rFonts w:hint="default"/>
                <w:lang w:val="zh-CN" w:eastAsia="zh-CN"/>
              </w:rPr>
              <w:t>矿产资源开发企业应制定矿产资源综合开发规划</w:t>
            </w:r>
            <w:r>
              <w:rPr>
                <w:rFonts w:hint="eastAsia"/>
                <w:lang w:val="zh-CN" w:eastAsia="zh-CN"/>
              </w:rPr>
              <w:t>，</w:t>
            </w:r>
            <w:r>
              <w:rPr>
                <w:rFonts w:hint="default"/>
                <w:lang w:val="zh-CN" w:eastAsia="zh-CN"/>
              </w:rPr>
              <w:t>并应进行环境影响评价</w:t>
            </w:r>
            <w:r>
              <w:rPr>
                <w:rFonts w:hint="eastAsia"/>
                <w:lang w:val="zh-CN" w:eastAsia="zh-CN"/>
              </w:rPr>
              <w:t>，</w:t>
            </w:r>
            <w:r>
              <w:rPr>
                <w:rFonts w:hint="default"/>
                <w:lang w:val="zh-CN" w:eastAsia="zh-CN"/>
              </w:rPr>
              <w:t>规划内容包括资源开发利用、生态环境保护、地质灾害防治、水土保持、废弃地复垦等。</w:t>
            </w:r>
          </w:p>
        </w:tc>
        <w:tc>
          <w:tcPr>
            <w:tcW w:w="2231" w:type="pct"/>
            <w:noWrap w:val="0"/>
            <w:vAlign w:val="center"/>
          </w:tcPr>
          <w:p w14:paraId="4AC35B7E">
            <w:pPr>
              <w:pStyle w:val="43"/>
              <w:bidi w:val="0"/>
              <w:rPr>
                <w:rFonts w:hint="default"/>
                <w:lang w:val="zh-CN" w:eastAsia="zh-CN"/>
              </w:rPr>
            </w:pPr>
            <w:r>
              <w:rPr>
                <w:rFonts w:hint="default"/>
                <w:lang w:val="zh-CN" w:eastAsia="zh-CN"/>
              </w:rPr>
              <w:t>项目</w:t>
            </w:r>
            <w:r>
              <w:rPr>
                <w:rFonts w:hint="eastAsia"/>
                <w:lang w:val="en-US" w:eastAsia="zh-CN"/>
              </w:rPr>
              <w:t>现在进行环境影响评价报告、</w:t>
            </w:r>
            <w:r>
              <w:rPr>
                <w:rFonts w:hint="default"/>
                <w:lang w:val="zh-CN" w:eastAsia="zh-CN"/>
              </w:rPr>
              <w:t>土地复垦方案</w:t>
            </w:r>
            <w:r>
              <w:rPr>
                <w:rFonts w:hint="eastAsia"/>
                <w:lang w:val="en-US" w:eastAsia="zh-CN"/>
              </w:rPr>
              <w:t>编制，</w:t>
            </w:r>
            <w:r>
              <w:rPr>
                <w:rFonts w:hint="default"/>
                <w:lang w:val="zh-CN" w:eastAsia="zh-CN"/>
              </w:rPr>
              <w:t>已编制完成储量核实报告、开发利用方案</w:t>
            </w:r>
            <w:r>
              <w:rPr>
                <w:rFonts w:hint="eastAsia"/>
                <w:lang w:val="en-US" w:eastAsia="zh-CN"/>
              </w:rPr>
              <w:t>等</w:t>
            </w:r>
            <w:r>
              <w:rPr>
                <w:rFonts w:hint="default"/>
                <w:lang w:val="zh-CN" w:eastAsia="zh-CN"/>
              </w:rPr>
              <w:t>。</w:t>
            </w:r>
          </w:p>
        </w:tc>
        <w:tc>
          <w:tcPr>
            <w:tcW w:w="487" w:type="pct"/>
            <w:noWrap w:val="0"/>
            <w:vAlign w:val="center"/>
          </w:tcPr>
          <w:p w14:paraId="388D1829">
            <w:pPr>
              <w:pStyle w:val="43"/>
              <w:bidi w:val="0"/>
              <w:rPr>
                <w:rFonts w:hint="default"/>
                <w:lang w:val="zh-CN" w:eastAsia="zh-CN"/>
              </w:rPr>
            </w:pPr>
            <w:r>
              <w:rPr>
                <w:rFonts w:hint="default"/>
                <w:lang w:val="zh-CN" w:eastAsia="zh-CN"/>
              </w:rPr>
              <w:t>符合</w:t>
            </w:r>
          </w:p>
        </w:tc>
      </w:tr>
      <w:tr w14:paraId="4257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43CBC97F">
            <w:pPr>
              <w:pStyle w:val="43"/>
              <w:bidi w:val="0"/>
              <w:rPr>
                <w:rFonts w:hint="default"/>
                <w:lang w:val="zh-CN" w:eastAsia="zh-CN"/>
              </w:rPr>
            </w:pPr>
          </w:p>
        </w:tc>
        <w:tc>
          <w:tcPr>
            <w:tcW w:w="1704" w:type="pct"/>
            <w:noWrap w:val="0"/>
            <w:vAlign w:val="center"/>
          </w:tcPr>
          <w:p w14:paraId="32EB7994">
            <w:pPr>
              <w:pStyle w:val="43"/>
              <w:bidi w:val="0"/>
              <w:rPr>
                <w:rFonts w:hint="default"/>
                <w:lang w:val="zh-CN" w:eastAsia="zh-CN"/>
              </w:rPr>
            </w:pPr>
            <w:r>
              <w:rPr>
                <w:rFonts w:hint="default"/>
                <w:lang w:val="zh-CN" w:eastAsia="zh-CN"/>
              </w:rPr>
              <w:t>矿产资源开发规划阶段还应注重对矿山所在区域</w:t>
            </w:r>
            <w:r>
              <w:rPr>
                <w:rFonts w:hint="eastAsia"/>
                <w:lang w:val="zh-CN" w:eastAsia="zh-CN"/>
              </w:rPr>
              <w:t>生态环境保护</w:t>
            </w:r>
            <w:r>
              <w:rPr>
                <w:rFonts w:hint="default"/>
                <w:lang w:val="zh-CN" w:eastAsia="zh-CN"/>
              </w:rPr>
              <w:t>。</w:t>
            </w:r>
          </w:p>
        </w:tc>
        <w:tc>
          <w:tcPr>
            <w:tcW w:w="2231" w:type="pct"/>
            <w:noWrap w:val="0"/>
            <w:vAlign w:val="center"/>
          </w:tcPr>
          <w:p w14:paraId="7FAF152C">
            <w:pPr>
              <w:pStyle w:val="43"/>
              <w:bidi w:val="0"/>
              <w:rPr>
                <w:rFonts w:hint="default"/>
                <w:lang w:val="zh-CN" w:eastAsia="zh-CN"/>
              </w:rPr>
            </w:pPr>
            <w:r>
              <w:rPr>
                <w:rFonts w:hint="eastAsia"/>
                <w:lang w:val="en-US" w:eastAsia="zh-CN"/>
              </w:rPr>
              <w:t>评价</w:t>
            </w:r>
            <w:r>
              <w:rPr>
                <w:rFonts w:hint="default"/>
                <w:lang w:val="zh-CN" w:eastAsia="zh-CN"/>
              </w:rPr>
              <w:t>提出了生态环境保护措施</w:t>
            </w:r>
            <w:r>
              <w:rPr>
                <w:rFonts w:hint="eastAsia"/>
                <w:lang w:val="zh-CN" w:eastAsia="zh-CN"/>
              </w:rPr>
              <w:t>，</w:t>
            </w:r>
            <w:r>
              <w:rPr>
                <w:rFonts w:hint="eastAsia"/>
                <w:lang w:val="en-US" w:eastAsia="zh-CN"/>
              </w:rPr>
              <w:t>经采取相关生态环境保护措施，矿山生态环境影响可接受</w:t>
            </w:r>
            <w:r>
              <w:rPr>
                <w:rFonts w:hint="default"/>
                <w:lang w:val="zh-CN" w:eastAsia="zh-CN"/>
              </w:rPr>
              <w:t>。</w:t>
            </w:r>
          </w:p>
        </w:tc>
        <w:tc>
          <w:tcPr>
            <w:tcW w:w="487" w:type="pct"/>
            <w:noWrap w:val="0"/>
            <w:vAlign w:val="center"/>
          </w:tcPr>
          <w:p w14:paraId="1C229778">
            <w:pPr>
              <w:pStyle w:val="43"/>
              <w:bidi w:val="0"/>
              <w:rPr>
                <w:rFonts w:hint="default"/>
                <w:lang w:val="zh-CN" w:eastAsia="zh-CN"/>
              </w:rPr>
            </w:pPr>
            <w:r>
              <w:rPr>
                <w:rFonts w:hint="default"/>
                <w:lang w:val="zh-CN" w:eastAsia="zh-CN"/>
              </w:rPr>
              <w:t>符合</w:t>
            </w:r>
          </w:p>
        </w:tc>
      </w:tr>
      <w:tr w14:paraId="64CA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restart"/>
            <w:noWrap w:val="0"/>
            <w:vAlign w:val="center"/>
          </w:tcPr>
          <w:p w14:paraId="7C1EC745">
            <w:pPr>
              <w:pStyle w:val="43"/>
              <w:bidi w:val="0"/>
              <w:rPr>
                <w:rFonts w:hint="default"/>
                <w:lang w:val="zh-CN" w:eastAsia="zh-CN"/>
              </w:rPr>
            </w:pPr>
            <w:r>
              <w:rPr>
                <w:rFonts w:hint="default"/>
                <w:lang w:val="zh-CN" w:eastAsia="zh-CN"/>
              </w:rPr>
              <w:t>矿山基建</w:t>
            </w:r>
          </w:p>
        </w:tc>
        <w:tc>
          <w:tcPr>
            <w:tcW w:w="1704" w:type="pct"/>
            <w:noWrap w:val="0"/>
            <w:vAlign w:val="center"/>
          </w:tcPr>
          <w:p w14:paraId="6008BD39">
            <w:pPr>
              <w:pStyle w:val="43"/>
              <w:bidi w:val="0"/>
              <w:rPr>
                <w:rFonts w:hint="default"/>
                <w:lang w:val="zh-CN" w:eastAsia="zh-CN"/>
              </w:rPr>
            </w:pPr>
            <w:r>
              <w:rPr>
                <w:rFonts w:hint="default"/>
                <w:lang w:val="zh-CN" w:eastAsia="zh-CN"/>
              </w:rPr>
              <w:t>对矿山基建产生的表土、底土和岩石等应分类堆放、分类管理和充分利用。</w:t>
            </w:r>
          </w:p>
        </w:tc>
        <w:tc>
          <w:tcPr>
            <w:tcW w:w="2231" w:type="pct"/>
            <w:noWrap w:val="0"/>
            <w:vAlign w:val="center"/>
          </w:tcPr>
          <w:p w14:paraId="1BB2FB72">
            <w:pPr>
              <w:pStyle w:val="43"/>
              <w:bidi w:val="0"/>
              <w:rPr>
                <w:rFonts w:hint="default"/>
                <w:lang w:val="zh-CN" w:eastAsia="zh-CN"/>
              </w:rPr>
            </w:pPr>
            <w:r>
              <w:rPr>
                <w:rFonts w:hint="eastAsia"/>
                <w:lang w:val="en-US" w:eastAsia="zh-CN"/>
              </w:rPr>
              <w:t>基建剥离表土和土石方分类收集、堆放和利用，表土暂存于表土堆场用于后续复垦</w:t>
            </w:r>
            <w:r>
              <w:rPr>
                <w:rFonts w:hint="default"/>
                <w:lang w:val="zh-CN" w:eastAsia="zh-CN"/>
              </w:rPr>
              <w:t>。</w:t>
            </w:r>
          </w:p>
        </w:tc>
        <w:tc>
          <w:tcPr>
            <w:tcW w:w="487" w:type="pct"/>
            <w:noWrap w:val="0"/>
            <w:vAlign w:val="center"/>
          </w:tcPr>
          <w:p w14:paraId="39EDBD69">
            <w:pPr>
              <w:pStyle w:val="43"/>
              <w:bidi w:val="0"/>
              <w:rPr>
                <w:rFonts w:hint="default"/>
                <w:lang w:val="zh-CN" w:eastAsia="zh-CN"/>
              </w:rPr>
            </w:pPr>
            <w:r>
              <w:rPr>
                <w:rFonts w:hint="default"/>
                <w:lang w:val="zh-CN" w:eastAsia="zh-CN"/>
              </w:rPr>
              <w:t>符合</w:t>
            </w:r>
          </w:p>
        </w:tc>
      </w:tr>
      <w:tr w14:paraId="1402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vMerge w:val="continue"/>
            <w:noWrap w:val="0"/>
            <w:vAlign w:val="center"/>
          </w:tcPr>
          <w:p w14:paraId="601389BB">
            <w:pPr>
              <w:pStyle w:val="43"/>
              <w:bidi w:val="0"/>
              <w:rPr>
                <w:rFonts w:hint="default"/>
                <w:lang w:val="zh-CN" w:eastAsia="zh-CN"/>
              </w:rPr>
            </w:pPr>
          </w:p>
        </w:tc>
        <w:tc>
          <w:tcPr>
            <w:tcW w:w="1704" w:type="pct"/>
            <w:noWrap w:val="0"/>
            <w:vAlign w:val="center"/>
          </w:tcPr>
          <w:p w14:paraId="33B974D4">
            <w:pPr>
              <w:pStyle w:val="43"/>
              <w:bidi w:val="0"/>
              <w:rPr>
                <w:rFonts w:hint="default"/>
                <w:lang w:val="zh-CN" w:eastAsia="zh-CN"/>
              </w:rPr>
            </w:pPr>
            <w:r>
              <w:rPr>
                <w:rFonts w:hint="default"/>
                <w:lang w:val="zh-CN" w:eastAsia="zh-CN"/>
              </w:rPr>
              <w:t>矿山基建应尽量少占用农田和耕地</w:t>
            </w:r>
            <w:r>
              <w:rPr>
                <w:rFonts w:hint="eastAsia"/>
                <w:lang w:val="zh-CN" w:eastAsia="zh-CN"/>
              </w:rPr>
              <w:t>，</w:t>
            </w:r>
            <w:r>
              <w:rPr>
                <w:rFonts w:hint="default"/>
                <w:lang w:val="zh-CN" w:eastAsia="zh-CN"/>
              </w:rPr>
              <w:t>矿山基建临时性占地应及时恢复。</w:t>
            </w:r>
          </w:p>
        </w:tc>
        <w:tc>
          <w:tcPr>
            <w:tcW w:w="2231" w:type="pct"/>
            <w:noWrap w:val="0"/>
            <w:vAlign w:val="center"/>
          </w:tcPr>
          <w:p w14:paraId="5FFB233E">
            <w:pPr>
              <w:pStyle w:val="43"/>
              <w:bidi w:val="0"/>
              <w:rPr>
                <w:rFonts w:hint="default"/>
                <w:lang w:val="en-US" w:eastAsia="zh-CN"/>
              </w:rPr>
            </w:pPr>
            <w:r>
              <w:rPr>
                <w:rFonts w:hint="eastAsia"/>
                <w:lang w:val="en-US" w:eastAsia="zh-CN"/>
              </w:rPr>
              <w:t>项目矿山基建施工场地控制在项目占地范围内，不占用耕地。</w:t>
            </w:r>
          </w:p>
        </w:tc>
        <w:tc>
          <w:tcPr>
            <w:tcW w:w="487" w:type="pct"/>
            <w:noWrap w:val="0"/>
            <w:vAlign w:val="center"/>
          </w:tcPr>
          <w:p w14:paraId="740A91CF">
            <w:pPr>
              <w:pStyle w:val="43"/>
              <w:bidi w:val="0"/>
              <w:rPr>
                <w:rFonts w:hint="default"/>
                <w:lang w:val="zh-CN" w:eastAsia="zh-CN"/>
              </w:rPr>
            </w:pPr>
            <w:r>
              <w:rPr>
                <w:rFonts w:hint="default"/>
                <w:lang w:val="zh-CN" w:eastAsia="zh-CN"/>
              </w:rPr>
              <w:t>符合</w:t>
            </w:r>
          </w:p>
        </w:tc>
      </w:tr>
      <w:tr w14:paraId="1F29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noWrap w:val="0"/>
            <w:vAlign w:val="center"/>
          </w:tcPr>
          <w:p w14:paraId="4C676B05">
            <w:pPr>
              <w:pStyle w:val="43"/>
              <w:bidi w:val="0"/>
              <w:rPr>
                <w:rFonts w:hint="default"/>
                <w:lang w:val="zh-CN" w:eastAsia="zh-CN"/>
              </w:rPr>
            </w:pPr>
            <w:r>
              <w:rPr>
                <w:rFonts w:hint="default"/>
                <w:lang w:val="zh-CN" w:eastAsia="zh-CN"/>
              </w:rPr>
              <w:t>采矿</w:t>
            </w:r>
          </w:p>
        </w:tc>
        <w:tc>
          <w:tcPr>
            <w:tcW w:w="1704" w:type="pct"/>
            <w:noWrap w:val="0"/>
            <w:vAlign w:val="center"/>
          </w:tcPr>
          <w:p w14:paraId="0B8341B2">
            <w:pPr>
              <w:pStyle w:val="43"/>
              <w:bidi w:val="0"/>
              <w:rPr>
                <w:rFonts w:hint="default"/>
                <w:lang w:val="zh-CN" w:eastAsia="zh-CN"/>
              </w:rPr>
            </w:pPr>
            <w:r>
              <w:rPr>
                <w:rFonts w:hint="default"/>
                <w:lang w:val="zh-CN" w:eastAsia="zh-CN"/>
              </w:rPr>
              <w:t>对采矿活动所产生的固体废物</w:t>
            </w:r>
            <w:r>
              <w:rPr>
                <w:rFonts w:hint="eastAsia"/>
                <w:lang w:val="zh-CN" w:eastAsia="zh-CN"/>
              </w:rPr>
              <w:t>，</w:t>
            </w:r>
            <w:r>
              <w:rPr>
                <w:rFonts w:hint="default"/>
                <w:lang w:val="zh-CN" w:eastAsia="zh-CN"/>
              </w:rPr>
              <w:t>应使用专用场所堆放</w:t>
            </w:r>
            <w:r>
              <w:rPr>
                <w:rFonts w:hint="eastAsia"/>
                <w:lang w:val="zh-CN" w:eastAsia="zh-CN"/>
              </w:rPr>
              <w:t>，</w:t>
            </w:r>
            <w:r>
              <w:rPr>
                <w:rFonts w:hint="default"/>
                <w:lang w:val="zh-CN" w:eastAsia="zh-CN"/>
              </w:rPr>
              <w:t>并采取有效措施。</w:t>
            </w:r>
          </w:p>
        </w:tc>
        <w:tc>
          <w:tcPr>
            <w:tcW w:w="2231" w:type="pct"/>
            <w:noWrap w:val="0"/>
            <w:vAlign w:val="center"/>
          </w:tcPr>
          <w:p w14:paraId="02EDBC8E">
            <w:pPr>
              <w:pStyle w:val="43"/>
              <w:bidi w:val="0"/>
              <w:rPr>
                <w:rFonts w:hint="default"/>
                <w:lang w:val="zh-CN" w:eastAsia="zh-CN"/>
              </w:rPr>
            </w:pPr>
            <w:r>
              <w:rPr>
                <w:rFonts w:hint="default"/>
                <w:lang w:val="zh-CN" w:eastAsia="zh-CN"/>
              </w:rPr>
              <w:t>项目剥离表土暂存于表土堆场用于后</w:t>
            </w:r>
            <w:r>
              <w:rPr>
                <w:rFonts w:hint="eastAsia"/>
                <w:lang w:val="zh-CN" w:eastAsia="zh-CN"/>
              </w:rPr>
              <w:t>续复</w:t>
            </w:r>
            <w:r>
              <w:rPr>
                <w:rFonts w:hint="default"/>
                <w:lang w:val="zh-CN" w:eastAsia="zh-CN"/>
              </w:rPr>
              <w:t>垦。表土堆场设置截排水沟</w:t>
            </w:r>
            <w:r>
              <w:rPr>
                <w:rFonts w:hint="eastAsia"/>
                <w:lang w:val="zh-CN" w:eastAsia="zh-CN"/>
              </w:rPr>
              <w:t>沉沙池</w:t>
            </w:r>
            <w:r>
              <w:rPr>
                <w:rFonts w:hint="default"/>
                <w:lang w:val="zh-CN" w:eastAsia="zh-CN"/>
              </w:rPr>
              <w:t>，雨水收集系统及沉淀池，洒水降尘措施等。</w:t>
            </w:r>
          </w:p>
        </w:tc>
        <w:tc>
          <w:tcPr>
            <w:tcW w:w="487" w:type="pct"/>
            <w:noWrap w:val="0"/>
            <w:vAlign w:val="center"/>
          </w:tcPr>
          <w:p w14:paraId="04FA2714">
            <w:pPr>
              <w:pStyle w:val="43"/>
              <w:bidi w:val="0"/>
              <w:rPr>
                <w:rFonts w:hint="default"/>
                <w:lang w:val="zh-CN" w:eastAsia="zh-CN"/>
              </w:rPr>
            </w:pPr>
            <w:r>
              <w:rPr>
                <w:rFonts w:hint="default"/>
                <w:lang w:val="zh-CN" w:eastAsia="zh-CN"/>
              </w:rPr>
              <w:t>符合</w:t>
            </w:r>
          </w:p>
        </w:tc>
      </w:tr>
      <w:tr w14:paraId="0D61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76" w:type="pct"/>
            <w:noWrap w:val="0"/>
            <w:vAlign w:val="center"/>
          </w:tcPr>
          <w:p w14:paraId="5E0A9932">
            <w:pPr>
              <w:pStyle w:val="43"/>
              <w:bidi w:val="0"/>
              <w:rPr>
                <w:rFonts w:hint="default"/>
                <w:lang w:val="zh-CN" w:eastAsia="zh-CN"/>
              </w:rPr>
            </w:pPr>
            <w:r>
              <w:rPr>
                <w:rFonts w:hint="default"/>
                <w:lang w:val="zh-CN" w:eastAsia="zh-CN"/>
              </w:rPr>
              <w:t>废弃地复垦</w:t>
            </w:r>
          </w:p>
        </w:tc>
        <w:tc>
          <w:tcPr>
            <w:tcW w:w="1704" w:type="pct"/>
            <w:noWrap w:val="0"/>
            <w:vAlign w:val="center"/>
          </w:tcPr>
          <w:p w14:paraId="0AAEA5A2">
            <w:pPr>
              <w:pStyle w:val="43"/>
              <w:bidi w:val="0"/>
              <w:rPr>
                <w:rFonts w:hint="default"/>
                <w:lang w:val="zh-CN" w:eastAsia="zh-CN"/>
              </w:rPr>
            </w:pPr>
            <w:r>
              <w:rPr>
                <w:rFonts w:hint="default"/>
                <w:lang w:val="zh-CN" w:eastAsia="zh-CN"/>
              </w:rPr>
              <w:t>矿山生产过程中应采取种植植物和覆盖等复垦措施</w:t>
            </w:r>
            <w:r>
              <w:rPr>
                <w:rFonts w:hint="eastAsia"/>
                <w:lang w:val="zh-CN" w:eastAsia="zh-CN"/>
              </w:rPr>
              <w:t>，</w:t>
            </w:r>
            <w:r>
              <w:rPr>
                <w:rFonts w:hint="default"/>
                <w:lang w:val="zh-CN" w:eastAsia="zh-CN"/>
              </w:rPr>
              <w:t>对露天坑、排土场、尾矿库、矸石山等永久性坡面进行稳定化处理</w:t>
            </w:r>
            <w:r>
              <w:rPr>
                <w:rFonts w:hint="eastAsia"/>
                <w:lang w:val="zh-CN" w:eastAsia="zh-CN"/>
              </w:rPr>
              <w:t>，</w:t>
            </w:r>
            <w:r>
              <w:rPr>
                <w:rFonts w:hint="default"/>
                <w:lang w:val="zh-CN" w:eastAsia="zh-CN"/>
              </w:rPr>
              <w:t>防止水土流失和滑坡。</w:t>
            </w:r>
          </w:p>
        </w:tc>
        <w:tc>
          <w:tcPr>
            <w:tcW w:w="2231" w:type="pct"/>
            <w:noWrap w:val="0"/>
            <w:vAlign w:val="center"/>
          </w:tcPr>
          <w:p w14:paraId="2A6CC210">
            <w:pPr>
              <w:pStyle w:val="43"/>
              <w:bidi w:val="0"/>
              <w:rPr>
                <w:rFonts w:hint="default"/>
                <w:lang w:val="zh-CN" w:eastAsia="zh-CN"/>
              </w:rPr>
            </w:pPr>
            <w:r>
              <w:rPr>
                <w:rFonts w:hint="default"/>
                <w:lang w:val="zh-CN" w:eastAsia="zh-CN"/>
              </w:rPr>
              <w:t>矿山生产过程中采取种植植物和覆盖等复垦措施，对露天坑、弃渣场等永久性坡面进行稳定化处理，防止水土流失和滑坡。</w:t>
            </w:r>
          </w:p>
        </w:tc>
        <w:tc>
          <w:tcPr>
            <w:tcW w:w="487" w:type="pct"/>
            <w:noWrap w:val="0"/>
            <w:vAlign w:val="center"/>
          </w:tcPr>
          <w:p w14:paraId="53570643">
            <w:pPr>
              <w:pStyle w:val="43"/>
              <w:bidi w:val="0"/>
              <w:rPr>
                <w:rFonts w:hint="default"/>
                <w:lang w:val="zh-CN" w:eastAsia="zh-CN"/>
              </w:rPr>
            </w:pPr>
            <w:r>
              <w:rPr>
                <w:rFonts w:hint="default"/>
                <w:lang w:val="zh-CN" w:eastAsia="zh-CN"/>
              </w:rPr>
              <w:t>符合</w:t>
            </w:r>
          </w:p>
        </w:tc>
      </w:tr>
    </w:tbl>
    <w:p w14:paraId="7096C5A6">
      <w:pPr>
        <w:pStyle w:val="41"/>
        <w:bidi w:val="0"/>
        <w:rPr>
          <w:rFonts w:hint="default"/>
          <w:lang w:val="zh-CN" w:eastAsia="zh-CN"/>
        </w:rPr>
      </w:pPr>
      <w:r>
        <w:rPr>
          <w:rFonts w:hint="default"/>
          <w:lang w:val="zh-CN" w:eastAsia="zh-CN"/>
        </w:rPr>
        <w:t>根据上表</w:t>
      </w:r>
      <w:r>
        <w:rPr>
          <w:rFonts w:hint="eastAsia"/>
          <w:lang w:val="zh-CN" w:eastAsia="zh-CN"/>
        </w:rPr>
        <w:t>，</w:t>
      </w:r>
      <w:r>
        <w:rPr>
          <w:rFonts w:hint="default"/>
          <w:lang w:val="zh-CN" w:eastAsia="zh-CN"/>
        </w:rPr>
        <w:t>项目符合《矿山生态环境保护与污染防治技术政策》（环发〔2005〕109号）的相关要求。</w:t>
      </w:r>
    </w:p>
    <w:p w14:paraId="6ED73BEA">
      <w:pPr>
        <w:pStyle w:val="4"/>
        <w:bidi w:val="0"/>
        <w:rPr>
          <w:rFonts w:hint="default"/>
          <w:lang w:val="zh-CN" w:eastAsia="zh-CN"/>
        </w:rPr>
      </w:pPr>
      <w:bookmarkStart w:id="574" w:name="_Toc19130"/>
      <w:bookmarkStart w:id="575" w:name="_Toc13277"/>
      <w:r>
        <w:rPr>
          <w:rFonts w:hint="default"/>
          <w:lang w:val="zh-CN" w:eastAsia="zh-CN"/>
        </w:rPr>
        <w:t>与《矿山生态环境保护与恢复治理技术规范》（HJ651-2013）的符合性分析</w:t>
      </w:r>
      <w:bookmarkEnd w:id="574"/>
      <w:bookmarkEnd w:id="575"/>
    </w:p>
    <w:p w14:paraId="4BEF0F71">
      <w:pPr>
        <w:pStyle w:val="41"/>
        <w:bidi w:val="0"/>
        <w:rPr>
          <w:rFonts w:hint="default"/>
          <w:lang w:val="zh-CN" w:eastAsia="zh-CN"/>
        </w:rPr>
      </w:pPr>
      <w:r>
        <w:rPr>
          <w:rFonts w:hint="default"/>
          <w:lang w:val="zh-CN" w:eastAsia="zh-CN"/>
        </w:rPr>
        <w:t>项目与《矿山生态环境保护与恢复治理技术规范》（HJ651-2013）的符合性分析见下表。</w:t>
      </w:r>
    </w:p>
    <w:p w14:paraId="3EEDD0F5">
      <w:pPr>
        <w:pStyle w:val="45"/>
        <w:bidi w:val="0"/>
        <w:rPr>
          <w:rFonts w:hint="default"/>
          <w:lang w:val="zh-CN" w:eastAsia="zh-CN"/>
        </w:rPr>
      </w:pPr>
      <w:r>
        <w:rPr>
          <w:rFonts w:hint="default"/>
          <w:lang w:val="zh-CN" w:eastAsia="zh-CN"/>
        </w:rPr>
        <w:t>表</w:t>
      </w:r>
      <w:r>
        <w:rPr>
          <w:rFonts w:hint="eastAsia"/>
          <w:lang w:val="en-US" w:eastAsia="zh-CN"/>
        </w:rPr>
        <w:t>9.7-2</w:t>
      </w:r>
      <w:r>
        <w:rPr>
          <w:rFonts w:hint="default"/>
          <w:lang w:val="zh-CN" w:eastAsia="zh-CN"/>
        </w:rPr>
        <w:t xml:space="preserve">  项目与《矿山生态环境保护与恢复治理技术规范》（HJ651-2013）符合性对照表</w:t>
      </w:r>
    </w:p>
    <w:tbl>
      <w:tblPr>
        <w:tblStyle w:val="34"/>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3"/>
        <w:gridCol w:w="3843"/>
        <w:gridCol w:w="3062"/>
        <w:gridCol w:w="908"/>
      </w:tblGrid>
      <w:tr w14:paraId="02BE9A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44458A61">
            <w:pPr>
              <w:pStyle w:val="43"/>
              <w:bidi w:val="0"/>
              <w:rPr>
                <w:rFonts w:hint="default"/>
                <w:b/>
                <w:bCs/>
                <w:lang w:val="zh-CN" w:eastAsia="zh-CN"/>
              </w:rPr>
            </w:pPr>
            <w:r>
              <w:rPr>
                <w:rFonts w:hint="default"/>
                <w:b/>
                <w:bCs/>
                <w:lang w:val="zh-CN" w:eastAsia="zh-CN"/>
              </w:rPr>
              <w:t>序号</w:t>
            </w:r>
          </w:p>
        </w:tc>
        <w:tc>
          <w:tcPr>
            <w:tcW w:w="2253" w:type="pct"/>
            <w:tcBorders>
              <w:top w:val="single" w:color="auto" w:sz="4" w:space="0"/>
              <w:left w:val="single" w:color="auto" w:sz="4" w:space="0"/>
              <w:bottom w:val="single" w:color="auto" w:sz="4" w:space="0"/>
              <w:right w:val="single" w:color="auto" w:sz="4" w:space="0"/>
            </w:tcBorders>
            <w:noWrap w:val="0"/>
            <w:vAlign w:val="center"/>
          </w:tcPr>
          <w:p w14:paraId="4068684F">
            <w:pPr>
              <w:pStyle w:val="43"/>
              <w:bidi w:val="0"/>
              <w:rPr>
                <w:rFonts w:hint="default"/>
                <w:b/>
                <w:bCs/>
                <w:lang w:val="zh-CN" w:eastAsia="zh-CN"/>
              </w:rPr>
            </w:pPr>
            <w:r>
              <w:rPr>
                <w:rFonts w:hint="default"/>
                <w:b/>
                <w:bCs/>
                <w:lang w:val="zh-CN" w:eastAsia="zh-CN"/>
              </w:rPr>
              <w:t>（HJ651-2013）相关要求</w:t>
            </w:r>
          </w:p>
        </w:tc>
        <w:tc>
          <w:tcPr>
            <w:tcW w:w="1795" w:type="pct"/>
            <w:tcBorders>
              <w:top w:val="single" w:color="auto" w:sz="4" w:space="0"/>
              <w:left w:val="single" w:color="auto" w:sz="4" w:space="0"/>
              <w:bottom w:val="single" w:color="auto" w:sz="4" w:space="0"/>
              <w:right w:val="single" w:color="auto" w:sz="4" w:space="0"/>
            </w:tcBorders>
            <w:noWrap w:val="0"/>
            <w:vAlign w:val="center"/>
          </w:tcPr>
          <w:p w14:paraId="6A43DFBE">
            <w:pPr>
              <w:pStyle w:val="43"/>
              <w:bidi w:val="0"/>
              <w:rPr>
                <w:rFonts w:hint="default"/>
                <w:b/>
                <w:bCs/>
                <w:lang w:val="zh-CN" w:eastAsia="zh-CN"/>
              </w:rPr>
            </w:pPr>
            <w:r>
              <w:rPr>
                <w:rFonts w:hint="default"/>
                <w:b/>
                <w:bCs/>
                <w:lang w:val="zh-CN" w:eastAsia="zh-CN"/>
              </w:rPr>
              <w:t>项目情况</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269EE18F">
            <w:pPr>
              <w:pStyle w:val="43"/>
              <w:bidi w:val="0"/>
              <w:rPr>
                <w:rFonts w:hint="default"/>
                <w:b/>
                <w:bCs/>
                <w:lang w:val="zh-CN" w:eastAsia="zh-CN"/>
              </w:rPr>
            </w:pPr>
            <w:r>
              <w:rPr>
                <w:rFonts w:hint="default"/>
                <w:b/>
                <w:bCs/>
                <w:lang w:val="zh-CN" w:eastAsia="zh-CN"/>
              </w:rPr>
              <w:t>符合性</w:t>
            </w:r>
          </w:p>
        </w:tc>
      </w:tr>
      <w:tr w14:paraId="180B5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63C7B65C">
            <w:pPr>
              <w:pStyle w:val="43"/>
              <w:bidi w:val="0"/>
              <w:rPr>
                <w:rFonts w:hint="default"/>
                <w:lang w:val="zh-CN" w:eastAsia="zh-CN"/>
              </w:rPr>
            </w:pPr>
            <w:r>
              <w:rPr>
                <w:rFonts w:hint="default"/>
                <w:lang w:val="zh-CN" w:eastAsia="zh-CN"/>
              </w:rPr>
              <w:t>1</w:t>
            </w:r>
          </w:p>
        </w:tc>
        <w:tc>
          <w:tcPr>
            <w:tcW w:w="2253" w:type="pct"/>
            <w:tcBorders>
              <w:top w:val="single" w:color="auto" w:sz="4" w:space="0"/>
              <w:left w:val="single" w:color="auto" w:sz="4" w:space="0"/>
              <w:bottom w:val="single" w:color="auto" w:sz="4" w:space="0"/>
              <w:right w:val="single" w:color="auto" w:sz="4" w:space="0"/>
            </w:tcBorders>
            <w:noWrap w:val="0"/>
            <w:vAlign w:val="center"/>
          </w:tcPr>
          <w:p w14:paraId="42A8C8C4">
            <w:pPr>
              <w:pStyle w:val="43"/>
              <w:bidi w:val="0"/>
              <w:rPr>
                <w:rFonts w:hint="default"/>
                <w:lang w:val="zh-CN" w:eastAsia="zh-CN"/>
              </w:rPr>
            </w:pPr>
            <w:r>
              <w:rPr>
                <w:rFonts w:hint="default"/>
                <w:lang w:val="zh-CN" w:eastAsia="zh-CN"/>
              </w:rPr>
              <w:t>禁止在依法划定的自然保护区、风景名胜区、森林公园、饮用水水源保护区、文物古迹所在地、地质遗迹保护区、基本农田保护区等重要生态保护地以及其他法律法规规定的禁采区域内采矿。禁止在重要道路、航道两侧及重要生态环境敏感目标可视范围内进行对景观破坏明显的露天开采。</w:t>
            </w:r>
          </w:p>
        </w:tc>
        <w:tc>
          <w:tcPr>
            <w:tcW w:w="1795" w:type="pct"/>
            <w:tcBorders>
              <w:top w:val="single" w:color="auto" w:sz="4" w:space="0"/>
              <w:left w:val="single" w:color="auto" w:sz="4" w:space="0"/>
              <w:bottom w:val="single" w:color="auto" w:sz="4" w:space="0"/>
              <w:right w:val="single" w:color="auto" w:sz="4" w:space="0"/>
            </w:tcBorders>
            <w:noWrap w:val="0"/>
            <w:vAlign w:val="center"/>
          </w:tcPr>
          <w:p w14:paraId="22B405C9">
            <w:pPr>
              <w:pStyle w:val="43"/>
              <w:bidi w:val="0"/>
              <w:rPr>
                <w:rFonts w:hint="default"/>
                <w:lang w:val="zh-CN" w:eastAsia="zh-CN"/>
              </w:rPr>
            </w:pPr>
            <w:r>
              <w:rPr>
                <w:rFonts w:hint="eastAsia"/>
                <w:lang w:val="en-US" w:eastAsia="zh-CN"/>
              </w:rPr>
              <w:t>根据相关查询意见，</w:t>
            </w:r>
            <w:r>
              <w:rPr>
                <w:rFonts w:hint="default"/>
                <w:lang w:val="zh-CN" w:eastAsia="zh-CN"/>
              </w:rPr>
              <w:t>项目占地及采矿范围不在自然保护区、风景名胜区、森林公园、饮用水水源保护区、文物古迹所在地、地质遗迹保护区、基本农田保护区等重要生态保护地以及其他法律法规规定的禁采区域内。</w:t>
            </w:r>
            <w:r>
              <w:rPr>
                <w:rFonts w:hint="eastAsia"/>
                <w:lang w:val="en-US" w:eastAsia="zh-CN"/>
              </w:rPr>
              <w:t>项目不</w:t>
            </w:r>
            <w:r>
              <w:rPr>
                <w:rFonts w:hint="default"/>
                <w:lang w:val="zh-CN" w:eastAsia="zh-CN"/>
              </w:rPr>
              <w:t>在重要道路、航道两侧及重要生态环境敏感目标可视范围内。</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6B4C5A13">
            <w:pPr>
              <w:pStyle w:val="43"/>
              <w:bidi w:val="0"/>
              <w:rPr>
                <w:rFonts w:hint="default"/>
                <w:lang w:val="zh-CN" w:eastAsia="zh-CN"/>
              </w:rPr>
            </w:pPr>
            <w:r>
              <w:rPr>
                <w:rFonts w:hint="default"/>
                <w:lang w:val="zh-CN" w:eastAsia="zh-CN"/>
              </w:rPr>
              <w:t>符合</w:t>
            </w:r>
          </w:p>
        </w:tc>
      </w:tr>
      <w:tr w14:paraId="25231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137DF973">
            <w:pPr>
              <w:pStyle w:val="43"/>
              <w:bidi w:val="0"/>
              <w:rPr>
                <w:rFonts w:hint="default"/>
                <w:lang w:val="zh-CN" w:eastAsia="zh-CN"/>
              </w:rPr>
            </w:pPr>
            <w:r>
              <w:rPr>
                <w:rFonts w:hint="default"/>
                <w:lang w:val="zh-CN" w:eastAsia="zh-CN"/>
              </w:rPr>
              <w:t>2</w:t>
            </w:r>
          </w:p>
        </w:tc>
        <w:tc>
          <w:tcPr>
            <w:tcW w:w="2253" w:type="pct"/>
            <w:tcBorders>
              <w:top w:val="single" w:color="auto" w:sz="4" w:space="0"/>
              <w:left w:val="single" w:color="auto" w:sz="4" w:space="0"/>
              <w:bottom w:val="single" w:color="auto" w:sz="4" w:space="0"/>
              <w:right w:val="single" w:color="auto" w:sz="4" w:space="0"/>
            </w:tcBorders>
            <w:noWrap w:val="0"/>
            <w:vAlign w:val="center"/>
          </w:tcPr>
          <w:p w14:paraId="1DE059C8">
            <w:pPr>
              <w:pStyle w:val="43"/>
              <w:bidi w:val="0"/>
              <w:rPr>
                <w:rFonts w:hint="default"/>
                <w:lang w:val="zh-CN" w:eastAsia="zh-CN"/>
              </w:rPr>
            </w:pPr>
            <w:r>
              <w:rPr>
                <w:rFonts w:hint="default"/>
                <w:lang w:val="zh-CN" w:eastAsia="zh-CN"/>
              </w:rPr>
              <w:t>矿产资源开发活动应符合国家和区域主体功能区规划、生态功能区划、生态环境保护规划的要求</w:t>
            </w:r>
            <w:r>
              <w:rPr>
                <w:rFonts w:hint="eastAsia"/>
                <w:lang w:val="zh-CN" w:eastAsia="zh-CN"/>
              </w:rPr>
              <w:t>，</w:t>
            </w:r>
            <w:r>
              <w:rPr>
                <w:rFonts w:hint="default"/>
                <w:lang w:val="zh-CN" w:eastAsia="zh-CN"/>
              </w:rPr>
              <w:t>采取有效预防和保护措施</w:t>
            </w:r>
            <w:r>
              <w:rPr>
                <w:rFonts w:hint="eastAsia"/>
                <w:lang w:val="zh-CN" w:eastAsia="zh-CN"/>
              </w:rPr>
              <w:t>，</w:t>
            </w:r>
            <w:r>
              <w:rPr>
                <w:rFonts w:hint="default"/>
                <w:lang w:val="zh-CN" w:eastAsia="zh-CN"/>
              </w:rPr>
              <w:t>避免或减轻矿产资源开发活动造成生态破坏和环境污染。</w:t>
            </w:r>
          </w:p>
        </w:tc>
        <w:tc>
          <w:tcPr>
            <w:tcW w:w="1795" w:type="pct"/>
            <w:tcBorders>
              <w:top w:val="single" w:color="auto" w:sz="4" w:space="0"/>
              <w:left w:val="single" w:color="auto" w:sz="4" w:space="0"/>
              <w:bottom w:val="single" w:color="auto" w:sz="4" w:space="0"/>
              <w:right w:val="single" w:color="auto" w:sz="4" w:space="0"/>
            </w:tcBorders>
            <w:noWrap w:val="0"/>
            <w:vAlign w:val="center"/>
          </w:tcPr>
          <w:p w14:paraId="1BB71FBA">
            <w:pPr>
              <w:pStyle w:val="43"/>
              <w:bidi w:val="0"/>
              <w:rPr>
                <w:rFonts w:hint="default"/>
                <w:lang w:val="zh-CN" w:eastAsia="zh-CN"/>
              </w:rPr>
            </w:pPr>
            <w:r>
              <w:rPr>
                <w:rFonts w:hint="default"/>
                <w:lang w:val="zh-CN" w:eastAsia="zh-CN"/>
              </w:rPr>
              <w:t>矿山的建设符合国家和区域主体功能区规划、生态功能区划</w:t>
            </w:r>
            <w:r>
              <w:rPr>
                <w:rFonts w:hint="eastAsia"/>
                <w:lang w:val="zh-CN" w:eastAsia="zh-CN"/>
              </w:rPr>
              <w:t>，</w:t>
            </w:r>
            <w:r>
              <w:rPr>
                <w:rFonts w:hint="default"/>
                <w:lang w:val="zh-CN" w:eastAsia="zh-CN"/>
              </w:rPr>
              <w:t>矿山的建设将严格执行本次评价提出的生态防护措施。</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5A47FF14">
            <w:pPr>
              <w:pStyle w:val="43"/>
              <w:bidi w:val="0"/>
              <w:rPr>
                <w:rFonts w:hint="default"/>
                <w:lang w:val="zh-CN" w:eastAsia="zh-CN"/>
              </w:rPr>
            </w:pPr>
            <w:r>
              <w:rPr>
                <w:rFonts w:hint="default"/>
                <w:lang w:val="zh-CN" w:eastAsia="zh-CN"/>
              </w:rPr>
              <w:t>符合</w:t>
            </w:r>
          </w:p>
        </w:tc>
      </w:tr>
      <w:tr w14:paraId="28BD1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42AE2F27">
            <w:pPr>
              <w:pStyle w:val="43"/>
              <w:bidi w:val="0"/>
              <w:rPr>
                <w:rFonts w:hint="default"/>
                <w:lang w:val="zh-CN" w:eastAsia="zh-CN"/>
              </w:rPr>
            </w:pPr>
            <w:r>
              <w:rPr>
                <w:rFonts w:hint="default"/>
                <w:lang w:val="zh-CN" w:eastAsia="zh-CN"/>
              </w:rPr>
              <w:t>3</w:t>
            </w:r>
          </w:p>
        </w:tc>
        <w:tc>
          <w:tcPr>
            <w:tcW w:w="2253" w:type="pct"/>
            <w:tcBorders>
              <w:top w:val="single" w:color="auto" w:sz="4" w:space="0"/>
              <w:left w:val="single" w:color="auto" w:sz="4" w:space="0"/>
              <w:bottom w:val="single" w:color="auto" w:sz="4" w:space="0"/>
              <w:right w:val="single" w:color="auto" w:sz="4" w:space="0"/>
            </w:tcBorders>
            <w:noWrap w:val="0"/>
            <w:vAlign w:val="center"/>
          </w:tcPr>
          <w:p w14:paraId="313C2C4B">
            <w:pPr>
              <w:pStyle w:val="43"/>
              <w:bidi w:val="0"/>
              <w:rPr>
                <w:rFonts w:hint="default"/>
                <w:lang w:val="zh-CN" w:eastAsia="zh-CN"/>
              </w:rPr>
            </w:pPr>
            <w:r>
              <w:rPr>
                <w:rFonts w:hint="default"/>
                <w:lang w:val="zh-CN" w:eastAsia="zh-CN"/>
              </w:rPr>
              <w:t>坚持</w:t>
            </w:r>
            <w:r>
              <w:rPr>
                <w:rFonts w:hint="eastAsia"/>
                <w:lang w:val="zh-CN" w:eastAsia="zh-CN"/>
              </w:rPr>
              <w:t>“</w:t>
            </w:r>
            <w:r>
              <w:rPr>
                <w:rFonts w:hint="default"/>
                <w:lang w:val="zh-CN" w:eastAsia="zh-CN"/>
              </w:rPr>
              <w:t>预防为主、防治结合、过程控制</w:t>
            </w:r>
            <w:r>
              <w:rPr>
                <w:rFonts w:hint="eastAsia"/>
                <w:lang w:val="zh-CN" w:eastAsia="zh-CN"/>
              </w:rPr>
              <w:t>”</w:t>
            </w:r>
            <w:r>
              <w:rPr>
                <w:rFonts w:hint="default"/>
                <w:lang w:val="zh-CN" w:eastAsia="zh-CN"/>
              </w:rPr>
              <w:t xml:space="preserve"> 的原则</w:t>
            </w:r>
            <w:r>
              <w:rPr>
                <w:rFonts w:hint="eastAsia"/>
                <w:lang w:val="zh-CN" w:eastAsia="zh-CN"/>
              </w:rPr>
              <w:t>，</w:t>
            </w:r>
            <w:r>
              <w:rPr>
                <w:rFonts w:hint="default"/>
                <w:lang w:val="zh-CN" w:eastAsia="zh-CN"/>
              </w:rPr>
              <w:t>将矿山生态环境保护与恢复治理贯穿矿产资源开采的全过程。根据矿山生态环境保护与恢复治理的重点任务</w:t>
            </w:r>
            <w:r>
              <w:rPr>
                <w:rFonts w:hint="eastAsia"/>
                <w:lang w:val="zh-CN" w:eastAsia="zh-CN"/>
              </w:rPr>
              <w:t>，</w:t>
            </w:r>
            <w:r>
              <w:rPr>
                <w:rFonts w:hint="default"/>
                <w:lang w:val="zh-CN" w:eastAsia="zh-CN"/>
              </w:rPr>
              <w:t>合理确定矿山生态保护与恢复治理分区</w:t>
            </w:r>
            <w:r>
              <w:rPr>
                <w:rFonts w:hint="eastAsia"/>
                <w:lang w:val="zh-CN" w:eastAsia="zh-CN"/>
              </w:rPr>
              <w:t>，</w:t>
            </w:r>
            <w:r>
              <w:rPr>
                <w:rFonts w:hint="default"/>
                <w:lang w:val="zh-CN" w:eastAsia="zh-CN"/>
              </w:rPr>
              <w:t>优化矿区生产与生活空间格局。采用新技术、新方法、新工艺提高矿山生态环境保护和恢复治理水平。</w:t>
            </w:r>
          </w:p>
        </w:tc>
        <w:tc>
          <w:tcPr>
            <w:tcW w:w="1795" w:type="pct"/>
            <w:tcBorders>
              <w:top w:val="single" w:color="auto" w:sz="4" w:space="0"/>
              <w:left w:val="single" w:color="auto" w:sz="4" w:space="0"/>
              <w:bottom w:val="single" w:color="auto" w:sz="4" w:space="0"/>
              <w:right w:val="single" w:color="auto" w:sz="4" w:space="0"/>
            </w:tcBorders>
            <w:noWrap w:val="0"/>
            <w:vAlign w:val="center"/>
          </w:tcPr>
          <w:p w14:paraId="3D8B0FF7">
            <w:pPr>
              <w:pStyle w:val="43"/>
              <w:bidi w:val="0"/>
              <w:rPr>
                <w:rFonts w:hint="default"/>
                <w:lang w:val="zh-CN" w:eastAsia="zh-CN"/>
              </w:rPr>
            </w:pPr>
            <w:r>
              <w:rPr>
                <w:rFonts w:hint="eastAsia"/>
                <w:lang w:val="en-US" w:eastAsia="zh-CN"/>
              </w:rPr>
              <w:t>建设单位</w:t>
            </w:r>
            <w:r>
              <w:rPr>
                <w:rFonts w:hint="default"/>
                <w:lang w:val="zh-CN" w:eastAsia="zh-CN"/>
              </w:rPr>
              <w:t>将矿山生态环境保护与恢复治理贯穿矿产资源开采的全过程。据矿山生态环境保护与恢复治理的重点任务</w:t>
            </w:r>
            <w:r>
              <w:rPr>
                <w:rFonts w:hint="eastAsia"/>
                <w:lang w:val="zh-CN" w:eastAsia="zh-CN"/>
              </w:rPr>
              <w:t>，</w:t>
            </w:r>
            <w:r>
              <w:rPr>
                <w:rFonts w:hint="default"/>
                <w:lang w:val="zh-CN" w:eastAsia="zh-CN"/>
              </w:rPr>
              <w:t>合理确定矿山生态保护与恢复治理分区</w:t>
            </w:r>
            <w:r>
              <w:rPr>
                <w:rFonts w:hint="eastAsia"/>
                <w:lang w:val="zh-CN" w:eastAsia="zh-CN"/>
              </w:rPr>
              <w:t>，</w:t>
            </w:r>
            <w:r>
              <w:rPr>
                <w:rFonts w:hint="default"/>
                <w:lang w:val="zh-CN" w:eastAsia="zh-CN"/>
              </w:rPr>
              <w:t>优化矿区生产与生活空间格局</w:t>
            </w:r>
            <w:r>
              <w:rPr>
                <w:rFonts w:hint="eastAsia"/>
                <w:lang w:val="zh-CN" w:eastAsia="zh-CN"/>
              </w:rPr>
              <w:t>。</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6B369F93">
            <w:pPr>
              <w:pStyle w:val="43"/>
              <w:bidi w:val="0"/>
              <w:rPr>
                <w:rFonts w:hint="default"/>
                <w:lang w:val="zh-CN" w:eastAsia="zh-CN"/>
              </w:rPr>
            </w:pPr>
            <w:r>
              <w:rPr>
                <w:rFonts w:hint="default"/>
                <w:lang w:val="zh-CN" w:eastAsia="zh-CN"/>
              </w:rPr>
              <w:t>符合</w:t>
            </w:r>
          </w:p>
        </w:tc>
      </w:tr>
      <w:tr w14:paraId="42E4D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8" w:type="pct"/>
            <w:tcBorders>
              <w:top w:val="single" w:color="auto" w:sz="4" w:space="0"/>
              <w:left w:val="single" w:color="auto" w:sz="4" w:space="0"/>
              <w:bottom w:val="single" w:color="auto" w:sz="4" w:space="0"/>
              <w:right w:val="single" w:color="auto" w:sz="4" w:space="0"/>
            </w:tcBorders>
            <w:noWrap w:val="0"/>
            <w:vAlign w:val="center"/>
          </w:tcPr>
          <w:p w14:paraId="7C2D4E6D">
            <w:pPr>
              <w:pStyle w:val="43"/>
              <w:bidi w:val="0"/>
              <w:rPr>
                <w:rFonts w:hint="default"/>
                <w:lang w:val="zh-CN" w:eastAsia="zh-CN"/>
              </w:rPr>
            </w:pPr>
            <w:r>
              <w:rPr>
                <w:rFonts w:hint="default"/>
                <w:lang w:val="zh-CN" w:eastAsia="zh-CN"/>
              </w:rPr>
              <w:t>4</w:t>
            </w:r>
          </w:p>
        </w:tc>
        <w:tc>
          <w:tcPr>
            <w:tcW w:w="2253" w:type="pct"/>
            <w:tcBorders>
              <w:top w:val="single" w:color="auto" w:sz="4" w:space="0"/>
              <w:left w:val="single" w:color="auto" w:sz="4" w:space="0"/>
              <w:bottom w:val="single" w:color="auto" w:sz="4" w:space="0"/>
              <w:right w:val="single" w:color="auto" w:sz="4" w:space="0"/>
            </w:tcBorders>
            <w:noWrap w:val="0"/>
            <w:vAlign w:val="center"/>
          </w:tcPr>
          <w:p w14:paraId="7917AA35">
            <w:pPr>
              <w:pStyle w:val="43"/>
              <w:bidi w:val="0"/>
              <w:rPr>
                <w:rFonts w:hint="default"/>
                <w:lang w:val="zh-CN" w:eastAsia="zh-CN"/>
              </w:rPr>
            </w:pPr>
            <w:r>
              <w:rPr>
                <w:rFonts w:hint="default"/>
                <w:lang w:val="zh-CN" w:eastAsia="zh-CN"/>
              </w:rPr>
              <w:t>所有矿山企业均应对照本标准各项要求</w:t>
            </w:r>
            <w:r>
              <w:rPr>
                <w:rFonts w:hint="eastAsia"/>
                <w:lang w:val="zh-CN" w:eastAsia="zh-CN"/>
              </w:rPr>
              <w:t>，</w:t>
            </w:r>
            <w:r>
              <w:rPr>
                <w:rFonts w:hint="default"/>
                <w:lang w:val="zh-CN" w:eastAsia="zh-CN"/>
              </w:rPr>
              <w:t>编制实施矿山生态环境保护与恢复治理方案。</w:t>
            </w:r>
          </w:p>
        </w:tc>
        <w:tc>
          <w:tcPr>
            <w:tcW w:w="1795" w:type="pct"/>
            <w:tcBorders>
              <w:top w:val="single" w:color="auto" w:sz="4" w:space="0"/>
              <w:left w:val="single" w:color="auto" w:sz="4" w:space="0"/>
              <w:bottom w:val="single" w:color="auto" w:sz="4" w:space="0"/>
              <w:right w:val="single" w:color="auto" w:sz="4" w:space="0"/>
            </w:tcBorders>
            <w:noWrap w:val="0"/>
            <w:vAlign w:val="center"/>
          </w:tcPr>
          <w:p w14:paraId="756A04AD">
            <w:pPr>
              <w:pStyle w:val="43"/>
              <w:bidi w:val="0"/>
              <w:rPr>
                <w:rFonts w:hint="default"/>
                <w:lang w:val="zh-CN" w:eastAsia="zh-CN"/>
              </w:rPr>
            </w:pPr>
            <w:r>
              <w:rPr>
                <w:rFonts w:hint="default"/>
                <w:lang w:val="zh-CN" w:eastAsia="zh-CN"/>
              </w:rPr>
              <w:t>建设单位</w:t>
            </w:r>
            <w:r>
              <w:rPr>
                <w:rFonts w:hint="eastAsia"/>
                <w:lang w:val="en-US" w:eastAsia="zh-CN"/>
              </w:rPr>
              <w:t>正在组织</w:t>
            </w:r>
            <w:r>
              <w:rPr>
                <w:rFonts w:hint="default"/>
                <w:lang w:val="zh-CN" w:eastAsia="zh-CN"/>
              </w:rPr>
              <w:t>矿山地质环境保护与土地复垦方案</w:t>
            </w:r>
            <w:r>
              <w:rPr>
                <w:rFonts w:hint="eastAsia"/>
                <w:lang w:val="en-US" w:eastAsia="zh-CN"/>
              </w:rPr>
              <w:t>的编制</w:t>
            </w:r>
            <w:r>
              <w:rPr>
                <w:rFonts w:hint="eastAsia"/>
                <w:lang w:val="zh-CN" w:eastAsia="zh-CN"/>
              </w:rPr>
              <w:t>，</w:t>
            </w:r>
            <w:r>
              <w:rPr>
                <w:rFonts w:hint="default"/>
                <w:lang w:val="zh-CN" w:eastAsia="zh-CN"/>
              </w:rPr>
              <w:t>后期严格按照该方案及本次环评开展矿山生态环境保护与恢复治理工作。</w:t>
            </w:r>
          </w:p>
        </w:tc>
        <w:tc>
          <w:tcPr>
            <w:tcW w:w="532" w:type="pct"/>
            <w:tcBorders>
              <w:top w:val="single" w:color="auto" w:sz="4" w:space="0"/>
              <w:left w:val="single" w:color="auto" w:sz="4" w:space="0"/>
              <w:bottom w:val="single" w:color="auto" w:sz="4" w:space="0"/>
              <w:right w:val="single" w:color="auto" w:sz="4" w:space="0"/>
            </w:tcBorders>
            <w:noWrap w:val="0"/>
            <w:vAlign w:val="center"/>
          </w:tcPr>
          <w:p w14:paraId="0B915013">
            <w:pPr>
              <w:pStyle w:val="43"/>
              <w:bidi w:val="0"/>
              <w:rPr>
                <w:rFonts w:hint="default"/>
                <w:lang w:val="zh-CN" w:eastAsia="zh-CN"/>
              </w:rPr>
            </w:pPr>
            <w:r>
              <w:rPr>
                <w:rFonts w:hint="default"/>
                <w:lang w:val="zh-CN" w:eastAsia="zh-CN"/>
              </w:rPr>
              <w:t>符合</w:t>
            </w:r>
          </w:p>
        </w:tc>
      </w:tr>
    </w:tbl>
    <w:p w14:paraId="096B3F89">
      <w:pPr>
        <w:pStyle w:val="41"/>
        <w:bidi w:val="0"/>
        <w:rPr>
          <w:rFonts w:hint="default"/>
          <w:lang w:val="zh-CN" w:eastAsia="zh-CN"/>
        </w:rPr>
      </w:pPr>
      <w:r>
        <w:rPr>
          <w:rFonts w:hint="eastAsia"/>
          <w:lang w:val="en-US" w:eastAsia="zh-CN"/>
        </w:rPr>
        <w:t>根据</w:t>
      </w:r>
      <w:r>
        <w:rPr>
          <w:rFonts w:hint="default"/>
          <w:lang w:val="zh-CN" w:eastAsia="zh-CN"/>
        </w:rPr>
        <w:t>上表可知</w:t>
      </w:r>
      <w:r>
        <w:rPr>
          <w:rFonts w:hint="eastAsia"/>
          <w:lang w:val="zh-CN" w:eastAsia="zh-CN"/>
        </w:rPr>
        <w:t>，</w:t>
      </w:r>
      <w:r>
        <w:rPr>
          <w:rFonts w:hint="default"/>
          <w:lang w:val="zh-CN" w:eastAsia="zh-CN"/>
        </w:rPr>
        <w:t>项目</w:t>
      </w:r>
      <w:r>
        <w:rPr>
          <w:rFonts w:hint="eastAsia"/>
          <w:lang w:val="en-US" w:eastAsia="zh-CN"/>
        </w:rPr>
        <w:t>建设</w:t>
      </w:r>
      <w:r>
        <w:rPr>
          <w:rFonts w:hint="default"/>
          <w:lang w:val="zh-CN" w:eastAsia="zh-CN"/>
        </w:rPr>
        <w:t>符合《矿山生态环境保护与恢复治理技术规范》（HJ651-2013）</w:t>
      </w:r>
      <w:r>
        <w:rPr>
          <w:rFonts w:hint="eastAsia"/>
          <w:lang w:val="en-US" w:eastAsia="zh-CN"/>
        </w:rPr>
        <w:t>中</w:t>
      </w:r>
      <w:r>
        <w:rPr>
          <w:rFonts w:hint="default"/>
          <w:lang w:val="zh-CN" w:eastAsia="zh-CN"/>
        </w:rPr>
        <w:t>的相关要求。</w:t>
      </w:r>
    </w:p>
    <w:p w14:paraId="6A2256DB">
      <w:pPr>
        <w:pStyle w:val="4"/>
        <w:bidi w:val="0"/>
        <w:rPr>
          <w:rFonts w:hint="default"/>
          <w:lang w:val="zh-CN" w:eastAsia="zh-CN"/>
        </w:rPr>
      </w:pPr>
      <w:bookmarkStart w:id="576" w:name="_Toc14336"/>
      <w:bookmarkStart w:id="577" w:name="_Toc19735"/>
      <w:r>
        <w:rPr>
          <w:rFonts w:hint="default"/>
          <w:lang w:val="zh-CN" w:eastAsia="zh-CN"/>
        </w:rPr>
        <w:t>与《关于加快建设绿色矿山的实施意见的通知》（云国土资〔2017〕137号）符合性分析</w:t>
      </w:r>
      <w:bookmarkEnd w:id="576"/>
      <w:bookmarkEnd w:id="577"/>
    </w:p>
    <w:p w14:paraId="45109B36">
      <w:pPr>
        <w:pStyle w:val="41"/>
        <w:bidi w:val="0"/>
        <w:rPr>
          <w:rFonts w:hint="default"/>
          <w:lang w:val="zh-CN" w:eastAsia="zh-CN"/>
        </w:rPr>
      </w:pPr>
      <w:r>
        <w:rPr>
          <w:rFonts w:hint="eastAsia"/>
          <w:lang w:val="zh-CN" w:eastAsia="zh-CN"/>
        </w:rPr>
        <w:t>项目为灰岩矿开采及加工项目，</w:t>
      </w:r>
      <w:r>
        <w:rPr>
          <w:rFonts w:hint="default"/>
          <w:lang w:val="zh-CN" w:eastAsia="zh-CN"/>
        </w:rPr>
        <w:t>属于非金属矿行业矿山</w:t>
      </w:r>
      <w:r>
        <w:rPr>
          <w:rFonts w:hint="eastAsia"/>
          <w:lang w:val="zh-CN" w:eastAsia="zh-CN"/>
        </w:rPr>
        <w:t>，</w:t>
      </w:r>
      <w:r>
        <w:rPr>
          <w:rFonts w:hint="default"/>
          <w:lang w:val="zh-CN" w:eastAsia="zh-CN"/>
        </w:rPr>
        <w:t>根据《关于加快建设绿色矿山的实施意见的通知》（云国土资〔2017〕137号）中提出了非金属矿行业绿色矿山建设的相关生态环境保护与恢复要求</w:t>
      </w:r>
      <w:r>
        <w:rPr>
          <w:rFonts w:hint="eastAsia"/>
          <w:lang w:val="zh-CN" w:eastAsia="zh-CN"/>
        </w:rPr>
        <w:t>，</w:t>
      </w:r>
      <w:r>
        <w:rPr>
          <w:rFonts w:hint="default"/>
          <w:lang w:val="zh-CN" w:eastAsia="zh-CN"/>
        </w:rPr>
        <w:t>主要为：应采用喷雾、洒水、湿式凿岩、加设除尘装置、全封闭皮带运输等措施处置开采、运输过程中产生的粉尘和遗撒。对凿岩、碎磨、空压等设备</w:t>
      </w:r>
      <w:r>
        <w:rPr>
          <w:rFonts w:hint="eastAsia"/>
          <w:lang w:val="zh-CN" w:eastAsia="zh-CN"/>
        </w:rPr>
        <w:t>，</w:t>
      </w:r>
      <w:r>
        <w:rPr>
          <w:rFonts w:hint="default"/>
          <w:lang w:val="zh-CN" w:eastAsia="zh-CN"/>
        </w:rPr>
        <w:t>通过消声、减振、隔振等措施进行噪声处理。废弃物不得扩散到矿区范围外造成环境污染</w:t>
      </w:r>
      <w:r>
        <w:rPr>
          <w:rFonts w:hint="eastAsia"/>
          <w:lang w:val="zh-CN" w:eastAsia="zh-CN"/>
        </w:rPr>
        <w:t>，</w:t>
      </w:r>
      <w:r>
        <w:rPr>
          <w:rFonts w:hint="default"/>
          <w:lang w:val="zh-CN" w:eastAsia="zh-CN"/>
        </w:rPr>
        <w:t>固体废物妥善处置率达到100%。</w:t>
      </w:r>
    </w:p>
    <w:p w14:paraId="34A048B6">
      <w:pPr>
        <w:pStyle w:val="41"/>
        <w:bidi w:val="0"/>
        <w:rPr>
          <w:rFonts w:hint="default"/>
          <w:lang w:val="zh-CN" w:eastAsia="zh-CN"/>
        </w:rPr>
      </w:pPr>
      <w:r>
        <w:rPr>
          <w:rFonts w:hint="eastAsia"/>
          <w:lang w:val="en-US" w:eastAsia="zh-CN"/>
        </w:rPr>
        <w:t>①</w:t>
      </w:r>
      <w:r>
        <w:rPr>
          <w:rFonts w:hint="eastAsia"/>
          <w:lang w:val="zh-CN" w:eastAsia="zh-CN"/>
        </w:rPr>
        <w:t>加工区</w:t>
      </w:r>
      <w:r>
        <w:rPr>
          <w:rFonts w:hint="default"/>
          <w:lang w:val="zh-CN" w:eastAsia="zh-CN"/>
        </w:rPr>
        <w:t>及产品堆场设置封闭式钢制厂房，产尘较大的工段（破碎、筛分、制砂）工段设置粉尘收集系统，收集后经高效布袋除尘器处理后通过DA001排气筒达标有组织排放。厂房顶部设置喷雾系统，对未被布袋除尘系统收集的粉尘在厂房内得到有效洒水沉降。项目露天采场、表土堆场、弃渣场、原料堆场、运输道路等区域采用雾炮机+洒水车结合的洒水降尘方式进行粉尘、扬尘控制。</w:t>
      </w:r>
      <w:r>
        <w:rPr>
          <w:rFonts w:hint="eastAsia"/>
          <w:lang w:val="en-US" w:eastAsia="zh-CN"/>
        </w:rPr>
        <w:t>②</w:t>
      </w:r>
      <w:r>
        <w:rPr>
          <w:rFonts w:hint="default"/>
          <w:lang w:val="zh-CN" w:eastAsia="zh-CN"/>
        </w:rPr>
        <w:t>项目</w:t>
      </w:r>
      <w:r>
        <w:rPr>
          <w:rFonts w:hint="eastAsia"/>
          <w:lang w:val="en-US" w:eastAsia="zh-CN"/>
        </w:rPr>
        <w:t>采取加工区各设备置于厂房内，并通过基础减震及距离衰减，设备维持良好运行状态等管理措施后，厂界噪声达标排放</w:t>
      </w:r>
      <w:r>
        <w:rPr>
          <w:rFonts w:hint="default"/>
          <w:lang w:val="zh-CN" w:eastAsia="zh-CN"/>
        </w:rPr>
        <w:t>；加强运输车辆管理</w:t>
      </w:r>
      <w:r>
        <w:rPr>
          <w:rFonts w:hint="eastAsia"/>
          <w:lang w:val="zh-CN" w:eastAsia="zh-CN"/>
        </w:rPr>
        <w:t>，</w:t>
      </w:r>
      <w:r>
        <w:rPr>
          <w:rFonts w:hint="default"/>
          <w:lang w:val="zh-CN" w:eastAsia="zh-CN"/>
        </w:rPr>
        <w:t>合理安排运输时间</w:t>
      </w:r>
      <w:r>
        <w:rPr>
          <w:rFonts w:hint="eastAsia"/>
          <w:lang w:val="zh-CN" w:eastAsia="zh-CN"/>
        </w:rPr>
        <w:t>，</w:t>
      </w:r>
      <w:r>
        <w:rPr>
          <w:rFonts w:hint="default"/>
          <w:lang w:val="zh-CN" w:eastAsia="zh-CN"/>
        </w:rPr>
        <w:t>严禁车辆超速超载</w:t>
      </w:r>
      <w:r>
        <w:rPr>
          <w:rFonts w:hint="eastAsia"/>
          <w:lang w:val="zh-CN" w:eastAsia="zh-CN"/>
        </w:rPr>
        <w:t>，</w:t>
      </w:r>
      <w:r>
        <w:rPr>
          <w:rFonts w:hint="default"/>
          <w:lang w:val="zh-CN" w:eastAsia="zh-CN"/>
        </w:rPr>
        <w:t>经过村庄时禁止鸣笛；爆破前</w:t>
      </w:r>
      <w:r>
        <w:rPr>
          <w:rFonts w:hint="eastAsia"/>
          <w:lang w:val="zh-CN" w:eastAsia="zh-CN"/>
        </w:rPr>
        <w:t>，</w:t>
      </w:r>
      <w:r>
        <w:rPr>
          <w:rFonts w:hint="default"/>
          <w:lang w:val="zh-CN" w:eastAsia="zh-CN"/>
        </w:rPr>
        <w:t>需提前通知周围村民</w:t>
      </w:r>
      <w:r>
        <w:rPr>
          <w:rFonts w:hint="eastAsia"/>
          <w:lang w:val="zh-CN" w:eastAsia="zh-CN"/>
        </w:rPr>
        <w:t>，</w:t>
      </w:r>
      <w:r>
        <w:rPr>
          <w:rFonts w:hint="default"/>
          <w:lang w:val="zh-CN" w:eastAsia="zh-CN"/>
        </w:rPr>
        <w:t>减少爆破声对村民的生活影响；合理安排生产线各设备运行时间</w:t>
      </w:r>
      <w:r>
        <w:rPr>
          <w:rFonts w:hint="eastAsia"/>
          <w:lang w:val="zh-CN" w:eastAsia="zh-CN"/>
        </w:rPr>
        <w:t>，</w:t>
      </w:r>
      <w:r>
        <w:rPr>
          <w:rFonts w:hint="default"/>
          <w:lang w:val="zh-CN" w:eastAsia="zh-CN"/>
        </w:rPr>
        <w:t>合理布局。</w:t>
      </w:r>
      <w:r>
        <w:rPr>
          <w:rFonts w:hint="eastAsia"/>
          <w:lang w:val="en-US" w:eastAsia="zh-CN"/>
        </w:rPr>
        <w:t>③项目剥离表土暂存于表土堆场用于后续复垦</w:t>
      </w:r>
      <w:r>
        <w:rPr>
          <w:rFonts w:hint="default"/>
          <w:lang w:val="zh-CN" w:eastAsia="zh-CN"/>
        </w:rPr>
        <w:t>；除尘系统收集粉尘</w:t>
      </w:r>
      <w:r>
        <w:rPr>
          <w:rFonts w:hint="eastAsia"/>
          <w:lang w:val="en-US" w:eastAsia="zh-CN"/>
        </w:rPr>
        <w:t>收集后回掺项目精品砂后外售；</w:t>
      </w:r>
      <w:r>
        <w:rPr>
          <w:rFonts w:hint="default"/>
          <w:lang w:val="zh-CN" w:eastAsia="zh-CN"/>
        </w:rPr>
        <w:t>设备维修产生的</w:t>
      </w:r>
      <w:r>
        <w:rPr>
          <w:rFonts w:hint="eastAsia"/>
          <w:lang w:val="en-US" w:eastAsia="zh-CN"/>
        </w:rPr>
        <w:t>废矿物油</w:t>
      </w:r>
      <w:r>
        <w:rPr>
          <w:rFonts w:hint="default"/>
          <w:lang w:val="zh-CN" w:eastAsia="zh-CN"/>
        </w:rPr>
        <w:t>收集后暂存于危废间</w:t>
      </w:r>
      <w:r>
        <w:rPr>
          <w:rFonts w:hint="eastAsia"/>
          <w:lang w:val="zh-CN" w:eastAsia="zh-CN"/>
        </w:rPr>
        <w:t>，</w:t>
      </w:r>
      <w:r>
        <w:rPr>
          <w:rFonts w:hint="default"/>
          <w:lang w:val="zh-CN" w:eastAsia="zh-CN"/>
        </w:rPr>
        <w:t>定期委托有资质的单位清运处置</w:t>
      </w:r>
      <w:r>
        <w:rPr>
          <w:rFonts w:hint="eastAsia"/>
          <w:lang w:val="zh-CN" w:eastAsia="zh-CN"/>
        </w:rPr>
        <w:t>，</w:t>
      </w:r>
      <w:r>
        <w:rPr>
          <w:rFonts w:hint="default"/>
          <w:lang w:val="zh-CN" w:eastAsia="zh-CN"/>
        </w:rPr>
        <w:t>危险废物贮存及危废间设置严格按照《危险废物贮存污染控制标准》（GB 18597-2023）中相关要求进行建设。项目生活垃圾收集后送至</w:t>
      </w:r>
      <w:r>
        <w:rPr>
          <w:rFonts w:hint="eastAsia"/>
          <w:lang w:val="zh-CN" w:eastAsia="zh-CN"/>
        </w:rPr>
        <w:t>附近村镇垃圾集中收集点统一处置</w:t>
      </w:r>
      <w:r>
        <w:rPr>
          <w:rFonts w:hint="default"/>
          <w:lang w:val="zh-CN" w:eastAsia="zh-CN"/>
        </w:rPr>
        <w:t>。固体废物妥善处置率达到100%</w:t>
      </w:r>
      <w:r>
        <w:rPr>
          <w:rFonts w:hint="eastAsia"/>
          <w:lang w:val="zh-CN" w:eastAsia="zh-CN"/>
        </w:rPr>
        <w:t>。</w:t>
      </w:r>
    </w:p>
    <w:p w14:paraId="7F5B9F7D">
      <w:pPr>
        <w:pStyle w:val="41"/>
        <w:bidi w:val="0"/>
        <w:rPr>
          <w:rFonts w:hint="default"/>
          <w:lang w:val="zh-CN" w:eastAsia="zh-CN"/>
        </w:rPr>
      </w:pPr>
      <w:r>
        <w:rPr>
          <w:rFonts w:hint="default"/>
          <w:lang w:val="zh-CN" w:eastAsia="zh-CN"/>
        </w:rPr>
        <w:t>综上分析</w:t>
      </w:r>
      <w:r>
        <w:rPr>
          <w:rFonts w:hint="eastAsia"/>
          <w:lang w:val="zh-CN" w:eastAsia="zh-CN"/>
        </w:rPr>
        <w:t>，</w:t>
      </w:r>
      <w:r>
        <w:rPr>
          <w:rFonts w:hint="default"/>
          <w:lang w:val="zh-CN" w:eastAsia="zh-CN"/>
        </w:rPr>
        <w:t>本项目在严格执行本环评提出的环保措施后</w:t>
      </w:r>
      <w:r>
        <w:rPr>
          <w:rFonts w:hint="eastAsia"/>
          <w:lang w:val="zh-CN" w:eastAsia="zh-CN"/>
        </w:rPr>
        <w:t>，</w:t>
      </w:r>
      <w:r>
        <w:rPr>
          <w:rFonts w:hint="default"/>
          <w:lang w:val="zh-CN" w:eastAsia="zh-CN"/>
        </w:rPr>
        <w:t>项目符合《关于加快建设绿色矿山的实施意见的通知》（云国土资〔2017〕137号）的要求。</w:t>
      </w:r>
    </w:p>
    <w:p w14:paraId="5553884E">
      <w:pPr>
        <w:pStyle w:val="3"/>
        <w:keepNext/>
        <w:pageBreakBefore w:val="0"/>
        <w:kinsoku/>
        <w:wordWrap/>
        <w:overflowPunct/>
        <w:topLinePunct w:val="0"/>
        <w:autoSpaceDE/>
        <w:autoSpaceDN/>
        <w:bidi w:val="0"/>
        <w:textAlignment w:val="auto"/>
        <w:rPr>
          <w:rFonts w:hint="default" w:eastAsia="宋体"/>
          <w:color w:val="000000" w:themeColor="text1"/>
          <w:highlight w:val="none"/>
          <w:lang w:val="en-US" w:eastAsia="zh-CN"/>
          <w14:textFill>
            <w14:solidFill>
              <w14:schemeClr w14:val="tx1"/>
            </w14:solidFill>
          </w14:textFill>
        </w:rPr>
      </w:pPr>
      <w:bookmarkStart w:id="578" w:name="_Toc23744"/>
      <w:bookmarkStart w:id="579" w:name="_Toc13011"/>
      <w:r>
        <w:rPr>
          <w:rFonts w:hint="eastAsia"/>
          <w:color w:val="000000" w:themeColor="text1"/>
          <w:highlight w:val="none"/>
          <w14:textFill>
            <w14:solidFill>
              <w14:schemeClr w14:val="tx1"/>
            </w14:solidFill>
          </w14:textFill>
        </w:rPr>
        <w:t>与</w:t>
      </w:r>
      <w:r>
        <w:rPr>
          <w:rFonts w:hint="eastAsia"/>
          <w:color w:val="000000" w:themeColor="text1"/>
          <w:highlight w:val="none"/>
          <w:lang w:val="en-US" w:eastAsia="zh-CN"/>
          <w14:textFill>
            <w14:solidFill>
              <w14:schemeClr w14:val="tx1"/>
            </w14:solidFill>
          </w14:textFill>
        </w:rPr>
        <w:t>区域“十四五”相关规划符合性分析</w:t>
      </w:r>
      <w:bookmarkEnd w:id="578"/>
      <w:bookmarkEnd w:id="579"/>
    </w:p>
    <w:p w14:paraId="3B09D1F8">
      <w:pPr>
        <w:pStyle w:val="4"/>
        <w:bidi w:val="0"/>
        <w:rPr>
          <w:rFonts w:hint="eastAsia"/>
        </w:rPr>
      </w:pPr>
      <w:bookmarkStart w:id="580" w:name="_Toc15304"/>
      <w:bookmarkStart w:id="581" w:name="_Toc788"/>
      <w:r>
        <w:rPr>
          <w:rFonts w:hint="eastAsia"/>
        </w:rPr>
        <w:t>与《云南省工业固体废物和重金属污染防治</w:t>
      </w:r>
      <w:r>
        <w:rPr>
          <w:rFonts w:hint="eastAsia"/>
          <w:lang w:eastAsia="zh-CN"/>
        </w:rPr>
        <w:t>“十四五”规划</w:t>
      </w:r>
      <w:r>
        <w:rPr>
          <w:rFonts w:hint="eastAsia"/>
        </w:rPr>
        <w:t>》符合性</w:t>
      </w:r>
      <w:bookmarkEnd w:id="580"/>
      <w:bookmarkEnd w:id="581"/>
    </w:p>
    <w:p w14:paraId="05DC0EBC">
      <w:pPr>
        <w:pStyle w:val="41"/>
        <w:bidi w:val="0"/>
        <w:rPr>
          <w:rFonts w:hint="eastAsia"/>
          <w:lang w:val="zh-CN" w:eastAsia="zh-CN"/>
        </w:rPr>
      </w:pPr>
      <w:r>
        <w:rPr>
          <w:rFonts w:hint="eastAsia"/>
          <w:lang w:val="zh-CN" w:eastAsia="zh-CN"/>
        </w:rPr>
        <w:t>2022年8月31日，云南省生态环境厅发布了《云南省工业固体废物和重金属污染防治“十四五”规划》，项目与《云南省工业固体废物和重金属污染防治“十四五”规划》符合性分析如下表所示。</w:t>
      </w:r>
    </w:p>
    <w:p w14:paraId="7A47FC3C">
      <w:pPr>
        <w:pStyle w:val="45"/>
        <w:bidi w:val="0"/>
        <w:rPr>
          <w:rFonts w:hint="eastAsia" w:cs="Times New Roman"/>
          <w:b/>
          <w:bCs/>
          <w:color w:val="000000" w:themeColor="text1"/>
          <w:highlight w:val="none"/>
          <w:lang w:val="zh-CN" w:eastAsia="zh-CN"/>
          <w14:textFill>
            <w14:solidFill>
              <w14:schemeClr w14:val="tx1"/>
            </w14:solidFill>
          </w14:textFill>
        </w:rPr>
      </w:pPr>
      <w:r>
        <w:rPr>
          <w:rFonts w:hint="eastAsia"/>
          <w:lang w:val="zh-CN" w:eastAsia="zh-CN"/>
        </w:rPr>
        <w:t>表</w:t>
      </w:r>
      <w:r>
        <w:rPr>
          <w:rFonts w:hint="eastAsia"/>
          <w:lang w:val="en-US" w:eastAsia="zh-CN"/>
        </w:rPr>
        <w:t>9.8-1</w:t>
      </w:r>
      <w:r>
        <w:rPr>
          <w:rFonts w:hint="eastAsia"/>
          <w:lang w:val="zh-CN" w:eastAsia="zh-CN"/>
        </w:rPr>
        <w:t xml:space="preserve">  项目与《云南省工业固体废物和重金属污染防治“十四五”规划》的符合性分析</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7"/>
        <w:gridCol w:w="3215"/>
        <w:gridCol w:w="794"/>
      </w:tblGrid>
      <w:tr w14:paraId="3AD9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26E5D582">
            <w:pPr>
              <w:pStyle w:val="43"/>
              <w:bidi w:val="0"/>
              <w:rPr>
                <w:rFonts w:hint="eastAsia"/>
                <w:b/>
                <w:bCs/>
                <w:lang w:val="zh-CN" w:eastAsia="zh-CN"/>
              </w:rPr>
            </w:pPr>
            <w:r>
              <w:rPr>
                <w:rFonts w:hint="eastAsia"/>
                <w:b/>
                <w:bCs/>
                <w:lang w:val="zh-CN" w:eastAsia="zh-CN"/>
              </w:rPr>
              <w:t>《云南省工业固体废物和重金属污染防治“十四五”规划》</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45902BA6">
            <w:pPr>
              <w:pStyle w:val="43"/>
              <w:bidi w:val="0"/>
              <w:rPr>
                <w:rFonts w:hint="eastAsia"/>
                <w:b/>
                <w:bCs/>
                <w:lang w:val="zh-CN" w:eastAsia="zh-CN"/>
              </w:rPr>
            </w:pPr>
            <w:r>
              <w:rPr>
                <w:rFonts w:hint="eastAsia"/>
                <w:b/>
                <w:bCs/>
                <w:lang w:val="zh-CN" w:eastAsia="zh-CN"/>
              </w:rPr>
              <w:t>项目情况</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076E831B">
            <w:pPr>
              <w:pStyle w:val="43"/>
              <w:bidi w:val="0"/>
              <w:rPr>
                <w:rFonts w:hint="eastAsia"/>
                <w:b/>
                <w:bCs/>
                <w:lang w:val="zh-CN" w:eastAsia="zh-CN"/>
              </w:rPr>
            </w:pPr>
            <w:r>
              <w:rPr>
                <w:rFonts w:hint="eastAsia"/>
                <w:b/>
                <w:bCs/>
                <w:lang w:val="zh-CN" w:eastAsia="zh-CN"/>
              </w:rPr>
              <w:t>符合性</w:t>
            </w:r>
          </w:p>
        </w:tc>
      </w:tr>
      <w:tr w14:paraId="7367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45DB17C2">
            <w:pPr>
              <w:pStyle w:val="43"/>
              <w:bidi w:val="0"/>
              <w:rPr>
                <w:rFonts w:hint="eastAsia"/>
                <w:lang w:val="zh-CN" w:eastAsia="zh-CN"/>
              </w:rPr>
            </w:pPr>
            <w:r>
              <w:rPr>
                <w:rFonts w:hint="eastAsia"/>
                <w:lang w:val="zh-CN" w:eastAsia="zh-CN"/>
              </w:rPr>
              <w:t>1.严格准入管理；严格控制新建、扩建工业固体废物及危险废物产生量大、区域内难以有效综合利用、无害化处置能力不足、无配套利用处置设施的建设项目。新建项目严格执行《建设项目危险废物环境影响评价指南》《危险废物处置工程技术导则》等技术规范，开展危险废物环境影响评价。将固体废物污染环境防治内容纳入环境影响评价文件，落实固体废物污染环境和破坏生态防治措施，将固体废物环境污染防治设施建设资金纳入投资概算。</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6E415FFA">
            <w:pPr>
              <w:pStyle w:val="43"/>
              <w:bidi w:val="0"/>
              <w:rPr>
                <w:rFonts w:hint="eastAsia"/>
                <w:lang w:val="zh-CN" w:eastAsia="zh-CN"/>
              </w:rPr>
            </w:pPr>
            <w:r>
              <w:rPr>
                <w:rFonts w:hint="eastAsia"/>
                <w:lang w:val="zh-CN" w:eastAsia="zh-CN"/>
              </w:rPr>
              <w:t>项目剥离表土暂存于表土堆场用于后续复垦；除尘系统收集粉尘收集后回掺项目精品砂后外售；设备维修产生的废矿物油收集后暂存于危废间，定期委托有资质的单位清运处置，危险废物贮存及危废间设置严格按照《危险废物贮存污染控制标准》（GB 18597-2023）中相关要求进行建设。项目生活垃圾收集后送至附近村镇垃圾集中收集点统一处置。固体废物妥善处置率达到100%。项目固体废物污染防治内容纳入本次环境影响评价文件。</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3E7A5BD3">
            <w:pPr>
              <w:pStyle w:val="43"/>
              <w:bidi w:val="0"/>
              <w:rPr>
                <w:rFonts w:hint="eastAsia"/>
                <w:lang w:val="zh-CN" w:eastAsia="zh-CN"/>
              </w:rPr>
            </w:pPr>
            <w:r>
              <w:rPr>
                <w:rFonts w:hint="eastAsia"/>
                <w:lang w:val="zh-CN" w:eastAsia="zh-CN"/>
              </w:rPr>
              <w:t>符合</w:t>
            </w:r>
          </w:p>
        </w:tc>
      </w:tr>
      <w:tr w14:paraId="5057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0B8E56B4">
            <w:pPr>
              <w:pStyle w:val="43"/>
              <w:bidi w:val="0"/>
              <w:rPr>
                <w:rFonts w:hint="eastAsia"/>
                <w:lang w:val="zh-CN" w:eastAsia="zh-CN"/>
              </w:rPr>
            </w:pPr>
            <w:r>
              <w:rPr>
                <w:rFonts w:hint="eastAsia"/>
                <w:lang w:val="zh-CN" w:eastAsia="zh-CN"/>
              </w:rPr>
              <w:t>2.推进清洁生产；督促企业合理选择清洁的原料、能源和工艺、设备，减少有毒、有害原料的使用，提高资源利用效率。以有色金属矿采选业、有色金属冶炼和压延加工业、黑色金属冶炼和压延加工业、化学原料和化学制品制造业、环境治理业等工业固体废物产生量大的行业为重点，实施强制性清洁生产审核，督促企业实施清洁生产技术改造，从源头减少工业固废及危废产生。</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7172826A">
            <w:pPr>
              <w:pStyle w:val="43"/>
              <w:bidi w:val="0"/>
              <w:rPr>
                <w:rFonts w:hint="eastAsia"/>
                <w:lang w:val="zh-CN" w:eastAsia="zh-CN"/>
              </w:rPr>
            </w:pPr>
            <w:r>
              <w:rPr>
                <w:rFonts w:hint="eastAsia"/>
                <w:lang w:val="en-US" w:eastAsia="zh-CN"/>
              </w:rPr>
              <w:t>项目为建筑用灰岩矿开采加工，加工</w:t>
            </w:r>
            <w:r>
              <w:rPr>
                <w:rFonts w:hint="eastAsia"/>
                <w:lang w:val="zh-CN" w:eastAsia="zh-CN"/>
              </w:rPr>
              <w:t>原料主要为</w:t>
            </w:r>
            <w:r>
              <w:rPr>
                <w:rFonts w:hint="eastAsia"/>
                <w:lang w:val="en-US" w:eastAsia="zh-CN"/>
              </w:rPr>
              <w:t>灰岩矿原矿</w:t>
            </w:r>
            <w:r>
              <w:rPr>
                <w:rFonts w:hint="eastAsia"/>
                <w:lang w:val="zh-CN" w:eastAsia="zh-CN"/>
              </w:rPr>
              <w:t>，项目原料不含有毒有害物质。项目运行过程中固废均得到妥善处置，处理率达100%。</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0D83B004">
            <w:pPr>
              <w:pStyle w:val="43"/>
              <w:bidi w:val="0"/>
              <w:rPr>
                <w:rFonts w:hint="eastAsia"/>
                <w:lang w:val="zh-CN" w:eastAsia="zh-CN"/>
              </w:rPr>
            </w:pPr>
            <w:r>
              <w:rPr>
                <w:rFonts w:hint="eastAsia"/>
                <w:lang w:val="zh-CN" w:eastAsia="zh-CN"/>
              </w:rPr>
              <w:t>符合</w:t>
            </w:r>
          </w:p>
        </w:tc>
      </w:tr>
      <w:tr w14:paraId="59C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782566C9">
            <w:pPr>
              <w:pStyle w:val="43"/>
              <w:bidi w:val="0"/>
              <w:rPr>
                <w:rFonts w:hint="eastAsia"/>
                <w:lang w:val="zh-CN" w:eastAsia="zh-CN"/>
              </w:rPr>
            </w:pPr>
            <w:r>
              <w:rPr>
                <w:rFonts w:hint="eastAsia"/>
                <w:lang w:val="zh-CN" w:eastAsia="zh-CN"/>
              </w:rPr>
              <w:t>3.加强环境管理；将工业固体废物纳入排污许可证管理，落实管理台账和申报制度，实现可追溯、可查询。建立健全尾矿库分级分类环境管理制度，完善尾矿库分级分类环境管理清单，督促尾矿库运营、管理单位落实污染防治要求和环境风险防控措施。</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0A2783E6">
            <w:pPr>
              <w:pStyle w:val="43"/>
              <w:bidi w:val="0"/>
              <w:rPr>
                <w:rFonts w:hint="eastAsia"/>
                <w:lang w:val="zh-CN" w:eastAsia="zh-CN"/>
              </w:rPr>
            </w:pPr>
            <w:r>
              <w:rPr>
                <w:rFonts w:hint="eastAsia"/>
                <w:lang w:val="en-US" w:eastAsia="zh-CN"/>
              </w:rPr>
              <w:t>原</w:t>
            </w:r>
            <w:r>
              <w:rPr>
                <w:rFonts w:hint="eastAsia"/>
                <w:lang w:val="zh-CN" w:eastAsia="zh-CN"/>
              </w:rPr>
              <w:t>项目</w:t>
            </w:r>
            <w:r>
              <w:rPr>
                <w:rFonts w:hint="eastAsia"/>
                <w:lang w:val="en-US" w:eastAsia="zh-CN"/>
              </w:rPr>
              <w:t>已</w:t>
            </w:r>
            <w:r>
              <w:rPr>
                <w:rFonts w:hint="eastAsia"/>
                <w:lang w:val="zh-CN" w:eastAsia="zh-CN"/>
              </w:rPr>
              <w:t>根据《固定污染源排污许可分类管理名录（2019年版）》要求申报排污许可，将工业固体废物纳入排污许可证管理，落实管理台账和申报制度，实现可追溯、可查询。</w:t>
            </w:r>
            <w:r>
              <w:rPr>
                <w:rFonts w:hint="eastAsia"/>
                <w:lang w:val="en-US" w:eastAsia="zh-CN"/>
              </w:rPr>
              <w:t>项目扩建后将重新申报排污许可证，项目不涉及尾矿库</w:t>
            </w:r>
            <w:r>
              <w:rPr>
                <w:rFonts w:hint="eastAsia"/>
                <w:lang w:val="zh-CN" w:eastAsia="zh-CN"/>
              </w:rPr>
              <w:t>。</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7C46C748">
            <w:pPr>
              <w:pStyle w:val="43"/>
              <w:bidi w:val="0"/>
              <w:rPr>
                <w:rFonts w:hint="eastAsia"/>
                <w:lang w:val="zh-CN" w:eastAsia="zh-CN"/>
              </w:rPr>
            </w:pPr>
            <w:r>
              <w:rPr>
                <w:rFonts w:hint="eastAsia"/>
                <w:lang w:val="zh-CN" w:eastAsia="zh-CN"/>
              </w:rPr>
              <w:t>符合</w:t>
            </w:r>
          </w:p>
        </w:tc>
      </w:tr>
      <w:tr w14:paraId="2C05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5209D549">
            <w:pPr>
              <w:pStyle w:val="43"/>
              <w:bidi w:val="0"/>
              <w:rPr>
                <w:rFonts w:hint="eastAsia"/>
                <w:lang w:val="zh-CN" w:eastAsia="zh-CN"/>
              </w:rPr>
            </w:pPr>
            <w:r>
              <w:rPr>
                <w:rFonts w:hint="eastAsia"/>
                <w:lang w:val="zh-CN" w:eastAsia="zh-CN"/>
              </w:rPr>
              <w:t>4.强化利用处置；严格落实尾矿、粉煤灰、冶炼渣、工业副产石膏等工业固体废物综合利用技术和产品标准，规范工业固体废物综合利用行业发展。</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1F2CDE52">
            <w:pPr>
              <w:pStyle w:val="43"/>
              <w:bidi w:val="0"/>
              <w:rPr>
                <w:rFonts w:hint="eastAsia"/>
                <w:lang w:val="zh-CN" w:eastAsia="zh-CN"/>
              </w:rPr>
            </w:pPr>
            <w:r>
              <w:rPr>
                <w:rFonts w:hint="eastAsia"/>
                <w:lang w:val="zh-CN" w:eastAsia="zh-CN"/>
              </w:rPr>
              <w:t>项目运行过程中固废均得到妥善处置，处理率达100%。</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3423DBBD">
            <w:pPr>
              <w:pStyle w:val="43"/>
              <w:bidi w:val="0"/>
              <w:rPr>
                <w:rFonts w:hint="eastAsia"/>
                <w:lang w:val="zh-CN" w:eastAsia="zh-CN"/>
              </w:rPr>
            </w:pPr>
            <w:r>
              <w:rPr>
                <w:rFonts w:hint="eastAsia"/>
                <w:lang w:val="zh-CN" w:eastAsia="zh-CN"/>
              </w:rPr>
              <w:t>符合</w:t>
            </w:r>
          </w:p>
        </w:tc>
      </w:tr>
      <w:tr w14:paraId="2C33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4A1E26C8">
            <w:pPr>
              <w:pStyle w:val="43"/>
              <w:bidi w:val="0"/>
              <w:rPr>
                <w:rFonts w:hint="eastAsia"/>
                <w:lang w:val="zh-CN" w:eastAsia="zh-CN"/>
              </w:rPr>
            </w:pPr>
            <w:r>
              <w:rPr>
                <w:rFonts w:hint="eastAsia"/>
                <w:lang w:val="zh-CN" w:eastAsia="zh-CN"/>
              </w:rPr>
              <w:t>5.严格跨省转移贮存和处置。坚持危险废物就近处置原则，严格跨省转移贮存和处置，从严审核涉镉、汞、铊等重金属危险废物跨省转入，逐步减少非资源化、再利用危险废物跨省转入。</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7C954B91">
            <w:pPr>
              <w:pStyle w:val="43"/>
              <w:bidi w:val="0"/>
              <w:rPr>
                <w:rFonts w:hint="eastAsia"/>
                <w:lang w:val="zh-CN" w:eastAsia="zh-CN"/>
              </w:rPr>
            </w:pPr>
            <w:r>
              <w:rPr>
                <w:rFonts w:hint="eastAsia"/>
                <w:lang w:val="en-US" w:eastAsia="zh-CN"/>
              </w:rPr>
              <w:t>项目</w:t>
            </w:r>
            <w:r>
              <w:rPr>
                <w:rFonts w:hint="eastAsia"/>
                <w:lang w:val="zh-CN" w:eastAsia="zh-CN"/>
              </w:rPr>
              <w:t>开采和生产过程中</w:t>
            </w:r>
            <w:r>
              <w:rPr>
                <w:rFonts w:hint="eastAsia"/>
                <w:lang w:val="en-US" w:eastAsia="zh-CN"/>
              </w:rPr>
              <w:t>危险废物主要有</w:t>
            </w:r>
            <w:r>
              <w:rPr>
                <w:rFonts w:hint="eastAsia"/>
                <w:lang w:val="zh-CN" w:eastAsia="zh-CN"/>
              </w:rPr>
              <w:t>设备维修产生的废矿物油，</w:t>
            </w:r>
            <w:r>
              <w:rPr>
                <w:rFonts w:hint="eastAsia"/>
                <w:lang w:val="en-US" w:eastAsia="zh-CN"/>
              </w:rPr>
              <w:t>经</w:t>
            </w:r>
            <w:r>
              <w:rPr>
                <w:rFonts w:hint="eastAsia"/>
                <w:lang w:val="zh-CN" w:eastAsia="zh-CN"/>
              </w:rPr>
              <w:t>收集暂存于危废间，委托资质单位定期清运处置。不存在跨省转移贮存和处置等活动。</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0877A778">
            <w:pPr>
              <w:pStyle w:val="43"/>
              <w:bidi w:val="0"/>
              <w:rPr>
                <w:rFonts w:hint="eastAsia"/>
                <w:lang w:val="zh-CN" w:eastAsia="zh-CN"/>
              </w:rPr>
            </w:pPr>
            <w:r>
              <w:rPr>
                <w:rFonts w:hint="eastAsia"/>
                <w:lang w:val="zh-CN" w:eastAsia="zh-CN"/>
              </w:rPr>
              <w:t>符合</w:t>
            </w:r>
          </w:p>
        </w:tc>
      </w:tr>
      <w:tr w14:paraId="4EB4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6D957715">
            <w:pPr>
              <w:pStyle w:val="43"/>
              <w:bidi w:val="0"/>
              <w:rPr>
                <w:rFonts w:hint="eastAsia"/>
                <w:lang w:val="zh-CN" w:eastAsia="zh-CN"/>
              </w:rPr>
            </w:pPr>
            <w:r>
              <w:rPr>
                <w:rFonts w:hint="eastAsia"/>
                <w:lang w:val="en-US" w:eastAsia="zh-CN"/>
              </w:rPr>
              <w:t>6.</w:t>
            </w:r>
            <w:r>
              <w:rPr>
                <w:rFonts w:hint="eastAsia"/>
                <w:lang w:val="zh-CN" w:eastAsia="zh-CN"/>
              </w:rPr>
              <w:t>实施危险废物专项整治。以废铅蓄电池、废矿物油等社会源危险废物为重点，开展专项整治行动，全面摸排废铅蓄电池、废矿物油等危险废物来源、产生量、流向等情况，严厉打击环境违法犯罪行为，提升废铅蓄电池和废矿物油规范收集水平。在有色金属冶炼和压延加工业、化学原料和化学制品制造业、机械和设备修理业等重点行业，开展危险废物规范贮存专项行动，推进危险废物贮存设施规范化改造，严厉打击危险废物混合堆存、露天存放等违法违规行为，督促企业逐年降低危废贮存量，促进危险废物得到合理地利用和处置，降低危险废物贮存环境风险。</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42140050">
            <w:pPr>
              <w:pStyle w:val="43"/>
              <w:bidi w:val="0"/>
              <w:rPr>
                <w:rFonts w:hint="eastAsia"/>
                <w:lang w:val="zh-CN" w:eastAsia="zh-CN"/>
              </w:rPr>
            </w:pPr>
            <w:r>
              <w:rPr>
                <w:rFonts w:hint="eastAsia"/>
                <w:lang w:val="en-US" w:eastAsia="zh-CN"/>
              </w:rPr>
              <w:t>项目</w:t>
            </w:r>
            <w:r>
              <w:rPr>
                <w:rFonts w:hint="eastAsia"/>
                <w:lang w:val="zh-CN" w:eastAsia="zh-CN"/>
              </w:rPr>
              <w:t>开采和生产过程中</w:t>
            </w:r>
            <w:r>
              <w:rPr>
                <w:rFonts w:hint="eastAsia"/>
                <w:lang w:val="en-US" w:eastAsia="zh-CN"/>
              </w:rPr>
              <w:t>危险废物主要有</w:t>
            </w:r>
            <w:r>
              <w:rPr>
                <w:rFonts w:hint="eastAsia"/>
                <w:lang w:val="zh-CN" w:eastAsia="zh-CN"/>
              </w:rPr>
              <w:t>设备维修产生的废矿物油，</w:t>
            </w:r>
            <w:r>
              <w:rPr>
                <w:rFonts w:hint="eastAsia"/>
                <w:lang w:val="en-US" w:eastAsia="zh-CN"/>
              </w:rPr>
              <w:t>经</w:t>
            </w:r>
            <w:r>
              <w:rPr>
                <w:rFonts w:hint="eastAsia"/>
                <w:lang w:val="zh-CN" w:eastAsia="zh-CN"/>
              </w:rPr>
              <w:t>收集暂存于危废间，委托资质单位定期清运处置。危废贮存</w:t>
            </w:r>
            <w:r>
              <w:rPr>
                <w:rFonts w:hint="eastAsia"/>
                <w:lang w:val="en-US" w:eastAsia="zh-CN"/>
              </w:rPr>
              <w:t>间</w:t>
            </w:r>
            <w:r>
              <w:rPr>
                <w:rFonts w:hint="eastAsia"/>
                <w:lang w:val="zh-CN" w:eastAsia="zh-CN"/>
              </w:rPr>
              <w:t>严格按照《危险废物贮存污染控制标准》（GB18597-2023）进行建设，要求防雨、防晒、防渗，设置相应的标识标牌。废</w:t>
            </w:r>
            <w:r>
              <w:rPr>
                <w:rFonts w:hint="eastAsia"/>
                <w:lang w:val="en-US" w:eastAsia="zh-CN"/>
              </w:rPr>
              <w:t>矿物油</w:t>
            </w:r>
            <w:r>
              <w:rPr>
                <w:rFonts w:hint="eastAsia"/>
                <w:lang w:val="zh-CN" w:eastAsia="zh-CN"/>
              </w:rPr>
              <w:t>需设置专业容器收集，储存容器周围需设置围堰。</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4C91B17B">
            <w:pPr>
              <w:pStyle w:val="43"/>
              <w:bidi w:val="0"/>
              <w:rPr>
                <w:rFonts w:hint="eastAsia"/>
                <w:lang w:val="zh-CN" w:eastAsia="zh-CN"/>
              </w:rPr>
            </w:pPr>
            <w:r>
              <w:rPr>
                <w:rFonts w:hint="eastAsia"/>
                <w:lang w:val="zh-CN" w:eastAsia="zh-CN"/>
              </w:rPr>
              <w:t>符合</w:t>
            </w:r>
          </w:p>
        </w:tc>
      </w:tr>
      <w:tr w14:paraId="5575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4F08D45F">
            <w:pPr>
              <w:pStyle w:val="43"/>
              <w:bidi w:val="0"/>
              <w:rPr>
                <w:rFonts w:hint="eastAsia"/>
                <w:lang w:val="zh-CN" w:eastAsia="zh-CN"/>
              </w:rPr>
            </w:pPr>
            <w:r>
              <w:rPr>
                <w:rFonts w:hint="eastAsia"/>
                <w:lang w:val="zh-CN" w:eastAsia="zh-CN"/>
              </w:rPr>
              <w:t>7.严格重点行业企业准入管理。个</w:t>
            </w:r>
          </w:p>
          <w:p w14:paraId="17A918D1">
            <w:pPr>
              <w:pStyle w:val="43"/>
              <w:bidi w:val="0"/>
              <w:rPr>
                <w:rFonts w:hint="eastAsia"/>
                <w:lang w:val="zh-CN" w:eastAsia="zh-CN"/>
              </w:rPr>
            </w:pPr>
            <w:r>
              <w:rPr>
                <w:rFonts w:hint="eastAsia"/>
                <w:lang w:val="zh-CN" w:eastAsia="zh-CN"/>
              </w:rPr>
              <w:t>旧市、蒙自市、建水县、马关县、东川区、鲁甸县、会泽县、兰坪白族普米族自治县等重点区域新改扩建涉重金属重点行业建设项目遵循“减量置换”的原则，替代比例不低于1.2:1，其他区域遵循“等量替换”。新改扩建企业重金属污染物排放总量的来源，原则上应是全口径涉重金属重点行业企业清单内的同一重点行业企业产生的重点重金属污染物削减量，当同一重点行业企业削减量无法满足时可从其他重点行业调剂。建设单位在提交环境影响评价及相关配套文件时应明确具体的重金属污染物排放总量及来源。</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7647EDBA">
            <w:pPr>
              <w:pStyle w:val="43"/>
              <w:bidi w:val="0"/>
              <w:rPr>
                <w:rFonts w:hint="eastAsia"/>
                <w:lang w:val="zh-CN" w:eastAsia="zh-CN"/>
              </w:rPr>
            </w:pPr>
            <w:r>
              <w:rPr>
                <w:rFonts w:hint="eastAsia"/>
                <w:lang w:val="en-US" w:eastAsia="zh-CN"/>
              </w:rPr>
              <w:t>项目为建筑用灰岩矿开采加工，</w:t>
            </w:r>
            <w:r>
              <w:rPr>
                <w:rFonts w:hint="eastAsia"/>
                <w:lang w:val="zh-CN" w:eastAsia="zh-CN"/>
              </w:rPr>
              <w:t>生产过程中</w:t>
            </w:r>
            <w:r>
              <w:rPr>
                <w:rFonts w:hint="eastAsia"/>
                <w:lang w:val="en-US" w:eastAsia="zh-CN"/>
              </w:rPr>
              <w:t>无</w:t>
            </w:r>
            <w:r>
              <w:rPr>
                <w:rFonts w:hint="eastAsia"/>
                <w:lang w:val="zh-CN" w:eastAsia="zh-CN"/>
              </w:rPr>
              <w:t>重金属污染物的产生。</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0CDC6098">
            <w:pPr>
              <w:pStyle w:val="43"/>
              <w:bidi w:val="0"/>
              <w:rPr>
                <w:rFonts w:hint="eastAsia"/>
                <w:lang w:val="zh-CN" w:eastAsia="zh-CN"/>
              </w:rPr>
            </w:pPr>
            <w:r>
              <w:rPr>
                <w:rFonts w:hint="eastAsia"/>
                <w:lang w:val="zh-CN" w:eastAsia="zh-CN"/>
              </w:rPr>
              <w:t>符合</w:t>
            </w:r>
          </w:p>
        </w:tc>
      </w:tr>
      <w:tr w14:paraId="4A84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776279A7">
            <w:pPr>
              <w:pStyle w:val="43"/>
              <w:bidi w:val="0"/>
              <w:rPr>
                <w:rFonts w:hint="eastAsia"/>
                <w:lang w:val="zh-CN" w:eastAsia="zh-CN"/>
              </w:rPr>
            </w:pPr>
            <w:r>
              <w:rPr>
                <w:rFonts w:hint="eastAsia"/>
                <w:lang w:val="zh-CN" w:eastAsia="zh-CN"/>
              </w:rPr>
              <w:t>8.加大产业结构调整力度。严格落实《产业结构调整指导目录》《限期淘汰产生严重污染环境的工业固体废物的落后生产工艺设备名录》等文件要求，利用节能、环保、质量、安全、技术等标准及产业政策，依法依规淘汰涉重金属落后产能和化解过剩产能，倒逼限制类产能主动退出。</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552415EF">
            <w:pPr>
              <w:pStyle w:val="43"/>
              <w:bidi w:val="0"/>
              <w:rPr>
                <w:rFonts w:hint="eastAsia"/>
                <w:lang w:val="zh-CN" w:eastAsia="zh-CN"/>
              </w:rPr>
            </w:pPr>
            <w:r>
              <w:rPr>
                <w:rFonts w:hint="eastAsia"/>
                <w:lang w:val="zh-CN" w:eastAsia="zh-CN"/>
              </w:rPr>
              <w:t>根据产业政策符合性分析，项目符合产业政策要求。项目生产不存在《限期淘汰产生严重污染环境的工业固体废物的落后生产工艺设备名录》中的设备和工艺。不属于淘汰涉重金属落后产能和过剩产能行业。</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19C3CCB5">
            <w:pPr>
              <w:pStyle w:val="43"/>
              <w:bidi w:val="0"/>
              <w:rPr>
                <w:rFonts w:hint="eastAsia"/>
                <w:lang w:val="zh-CN" w:eastAsia="zh-CN"/>
              </w:rPr>
            </w:pPr>
            <w:r>
              <w:rPr>
                <w:rFonts w:hint="eastAsia"/>
                <w:lang w:val="zh-CN" w:eastAsia="zh-CN"/>
              </w:rPr>
              <w:t>符合</w:t>
            </w:r>
          </w:p>
        </w:tc>
      </w:tr>
      <w:tr w14:paraId="537C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092620AA">
            <w:pPr>
              <w:pStyle w:val="43"/>
              <w:bidi w:val="0"/>
              <w:rPr>
                <w:rFonts w:hint="eastAsia"/>
                <w:lang w:val="zh-CN" w:eastAsia="zh-CN"/>
              </w:rPr>
            </w:pPr>
            <w:r>
              <w:rPr>
                <w:rFonts w:hint="eastAsia"/>
                <w:lang w:val="zh-CN" w:eastAsia="zh-CN"/>
              </w:rPr>
              <w:t>9.推动涉重金属排污许可总量控制。通过实施排污许可制，落实企事业单位重点重金属污染物排放总量控制要求。依法将涉重金属排污单位纳入排污许可管理，持续做好排污许可证申领、变更、延续，实现排污单位全覆盖。</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439DC43C">
            <w:pPr>
              <w:pStyle w:val="43"/>
              <w:bidi w:val="0"/>
              <w:rPr>
                <w:rFonts w:hint="eastAsia"/>
                <w:lang w:val="zh-CN" w:eastAsia="zh-CN"/>
              </w:rPr>
            </w:pPr>
            <w:r>
              <w:rPr>
                <w:rFonts w:hint="eastAsia"/>
                <w:lang w:val="en-US" w:eastAsia="zh-CN"/>
              </w:rPr>
              <w:t>项目为建筑用灰岩矿开采加工，</w:t>
            </w:r>
            <w:r>
              <w:rPr>
                <w:rFonts w:hint="eastAsia"/>
                <w:lang w:val="zh-CN" w:eastAsia="zh-CN"/>
              </w:rPr>
              <w:t>生产过程中不涉及重金属污染物产生。</w:t>
            </w:r>
            <w:r>
              <w:rPr>
                <w:rFonts w:hint="eastAsia"/>
                <w:lang w:val="en-US" w:eastAsia="zh-CN"/>
              </w:rPr>
              <w:t>扩建</w:t>
            </w:r>
            <w:r>
              <w:rPr>
                <w:rFonts w:hint="eastAsia"/>
                <w:lang w:val="zh-CN" w:eastAsia="zh-CN"/>
              </w:rPr>
              <w:t>后根据《固定污染源排污许可分类管理名录（2019年版）》</w:t>
            </w:r>
            <w:r>
              <w:rPr>
                <w:rFonts w:hint="eastAsia"/>
                <w:lang w:val="en-US" w:eastAsia="zh-CN"/>
              </w:rPr>
              <w:t>重新</w:t>
            </w:r>
            <w:r>
              <w:rPr>
                <w:rFonts w:hint="eastAsia"/>
                <w:lang w:val="zh-CN" w:eastAsia="zh-CN"/>
              </w:rPr>
              <w:t>申报排污许可。</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2048B3FF">
            <w:pPr>
              <w:pStyle w:val="43"/>
              <w:bidi w:val="0"/>
              <w:rPr>
                <w:rFonts w:hint="eastAsia"/>
                <w:lang w:val="zh-CN" w:eastAsia="zh-CN"/>
              </w:rPr>
            </w:pPr>
            <w:r>
              <w:rPr>
                <w:rFonts w:hint="eastAsia"/>
                <w:lang w:val="zh-CN" w:eastAsia="zh-CN"/>
              </w:rPr>
              <w:t>符合</w:t>
            </w:r>
          </w:p>
        </w:tc>
      </w:tr>
      <w:tr w14:paraId="7088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59570AA4">
            <w:pPr>
              <w:pStyle w:val="43"/>
              <w:bidi w:val="0"/>
              <w:rPr>
                <w:rFonts w:hint="eastAsia"/>
                <w:lang w:val="zh-CN" w:eastAsia="zh-CN"/>
              </w:rPr>
            </w:pPr>
            <w:r>
              <w:rPr>
                <w:rFonts w:hint="eastAsia"/>
                <w:lang w:val="zh-CN" w:eastAsia="zh-CN"/>
              </w:rPr>
              <w:t>10.协同推动减污降碳。加大有色金属行业企业生产工艺提升改造力度，协同推动减污降碳，减少重金属污染物排放和碳排放。金水铜业等铜冶炼企业积极推进转炉吹炼工艺提升改造。积极开展涉重金属重点行业企业强制性清洁生产审核，强化清洁生产审核在重点行业污染减排和产业升级改造中的支撑作用。进一步提升清洁生产水平，从源头控制、过程治理多途径减少重金属污染物排放，降低工业污染排放强度，提升全行业清洁生产水平。</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378264CF">
            <w:pPr>
              <w:pStyle w:val="43"/>
              <w:bidi w:val="0"/>
              <w:rPr>
                <w:rFonts w:hint="eastAsia"/>
                <w:lang w:val="zh-CN" w:eastAsia="zh-CN"/>
              </w:rPr>
            </w:pPr>
            <w:r>
              <w:rPr>
                <w:rFonts w:hint="eastAsia"/>
                <w:lang w:val="zh-CN" w:eastAsia="zh-CN"/>
              </w:rPr>
              <w:t>本项目生产过程中不涉及重金属污染物产生和排放。</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1E4C4DDD">
            <w:pPr>
              <w:pStyle w:val="43"/>
              <w:bidi w:val="0"/>
              <w:rPr>
                <w:rFonts w:hint="eastAsia"/>
                <w:lang w:val="zh-CN" w:eastAsia="zh-CN"/>
              </w:rPr>
            </w:pPr>
            <w:r>
              <w:rPr>
                <w:rFonts w:hint="eastAsia"/>
                <w:lang w:val="zh-CN" w:eastAsia="zh-CN"/>
              </w:rPr>
              <w:t>符合</w:t>
            </w:r>
          </w:p>
        </w:tc>
      </w:tr>
      <w:tr w14:paraId="2E6F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2648" w:type="pct"/>
            <w:tcBorders>
              <w:top w:val="single" w:color="auto" w:sz="4" w:space="0"/>
              <w:left w:val="single" w:color="auto" w:sz="4" w:space="0"/>
              <w:bottom w:val="single" w:color="auto" w:sz="4" w:space="0"/>
              <w:right w:val="single" w:color="auto" w:sz="4" w:space="0"/>
            </w:tcBorders>
            <w:noWrap w:val="0"/>
            <w:vAlign w:val="center"/>
          </w:tcPr>
          <w:p w14:paraId="14A254CF">
            <w:pPr>
              <w:pStyle w:val="43"/>
              <w:bidi w:val="0"/>
              <w:rPr>
                <w:rFonts w:hint="eastAsia"/>
                <w:lang w:val="zh-CN" w:eastAsia="zh-CN"/>
              </w:rPr>
            </w:pPr>
            <w:r>
              <w:rPr>
                <w:rFonts w:hint="eastAsia"/>
                <w:lang w:val="en-US" w:eastAsia="zh-CN"/>
              </w:rPr>
              <w:t>11.</w:t>
            </w:r>
            <w:r>
              <w:rPr>
                <w:rFonts w:hint="eastAsia"/>
                <w:lang w:val="zh-CN" w:eastAsia="zh-CN"/>
              </w:rPr>
              <w:t>深入开展污染治理。有色冶炼行业应加强重金属污染源头防控，减少使用高镉、高砷或高铊的矿石原料。自2023年起，新建、扩建铅锌冶炼和铜冶炼建设项目执行颗粒物和重点重金属污染物特别排放限值，重点区域内现有铅锌冶炼和铜冶炼企业执行颗粒物和重点重金属污染物特别排放限值。</w:t>
            </w:r>
          </w:p>
          <w:p w14:paraId="193875FA">
            <w:pPr>
              <w:pStyle w:val="43"/>
              <w:bidi w:val="0"/>
              <w:rPr>
                <w:rFonts w:hint="eastAsia"/>
                <w:lang w:val="zh-CN" w:eastAsia="zh-CN"/>
              </w:rPr>
            </w:pPr>
            <w:r>
              <w:rPr>
                <w:rFonts w:hint="eastAsia"/>
                <w:lang w:val="zh-CN" w:eastAsia="zh-CN"/>
              </w:rPr>
              <w:t>采用洒水、旋风、湿式等落后、简易除尘治理工艺的有色金属采选企业，实施过滤除尘等颗粒物治理升级改造工程，在滇中有色等有色金属冶炼企业实施废气处理升级改造。</w:t>
            </w:r>
          </w:p>
        </w:tc>
        <w:tc>
          <w:tcPr>
            <w:tcW w:w="1885" w:type="pct"/>
            <w:tcBorders>
              <w:top w:val="single" w:color="auto" w:sz="4" w:space="0"/>
              <w:left w:val="single" w:color="auto" w:sz="4" w:space="0"/>
              <w:bottom w:val="single" w:color="auto" w:sz="4" w:space="0"/>
              <w:right w:val="single" w:color="auto" w:sz="4" w:space="0"/>
            </w:tcBorders>
            <w:noWrap w:val="0"/>
            <w:vAlign w:val="center"/>
          </w:tcPr>
          <w:p w14:paraId="7396D8D6">
            <w:pPr>
              <w:pStyle w:val="43"/>
              <w:bidi w:val="0"/>
              <w:rPr>
                <w:rFonts w:hint="default"/>
                <w:lang w:val="en-US" w:eastAsia="zh-CN"/>
              </w:rPr>
            </w:pPr>
            <w:r>
              <w:rPr>
                <w:rFonts w:hint="eastAsia"/>
                <w:lang w:val="en-US" w:eastAsia="zh-CN"/>
              </w:rPr>
              <w:t>项目不属于有色冶炼行业，不属于</w:t>
            </w:r>
            <w:r>
              <w:rPr>
                <w:rFonts w:hint="eastAsia"/>
                <w:lang w:val="zh-CN" w:eastAsia="zh-CN"/>
              </w:rPr>
              <w:t>铅锌冶炼和铜冶炼建设项目</w:t>
            </w:r>
            <w:r>
              <w:rPr>
                <w:rFonts w:hint="eastAsia"/>
                <w:lang w:val="en-US" w:eastAsia="zh-CN"/>
              </w:rPr>
              <w:t>。</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1C2B299F">
            <w:pPr>
              <w:pStyle w:val="43"/>
              <w:bidi w:val="0"/>
              <w:rPr>
                <w:rFonts w:hint="eastAsia"/>
                <w:lang w:val="zh-CN" w:eastAsia="zh-CN"/>
              </w:rPr>
            </w:pPr>
            <w:r>
              <w:rPr>
                <w:rFonts w:hint="eastAsia"/>
                <w:lang w:val="zh-CN" w:eastAsia="zh-CN"/>
              </w:rPr>
              <w:t>符合</w:t>
            </w:r>
          </w:p>
        </w:tc>
      </w:tr>
    </w:tbl>
    <w:p w14:paraId="50734CAF">
      <w:pPr>
        <w:pStyle w:val="41"/>
        <w:bidi w:val="0"/>
        <w:rPr>
          <w:rFonts w:hint="eastAsia"/>
          <w:color w:val="000000" w:themeColor="text1"/>
          <w:highlight w:val="none"/>
          <w14:textFill>
            <w14:solidFill>
              <w14:schemeClr w14:val="tx1"/>
            </w14:solidFill>
          </w14:textFill>
        </w:rPr>
      </w:pPr>
      <w:r>
        <w:rPr>
          <w:rFonts w:hint="eastAsia"/>
          <w:lang w:val="zh-CN" w:eastAsia="zh-CN"/>
        </w:rPr>
        <w:t>根据上表，项目与《云南省工业固体废物和重金属污染防治“十四五”规划》要求相符。</w:t>
      </w:r>
    </w:p>
    <w:p w14:paraId="49EBA2B2">
      <w:pPr>
        <w:pStyle w:val="4"/>
        <w:bidi w:val="0"/>
        <w:rPr>
          <w:rFonts w:hint="eastAsia"/>
        </w:rPr>
      </w:pPr>
      <w:bookmarkStart w:id="582" w:name="_Toc17465"/>
      <w:bookmarkStart w:id="583" w:name="_Toc3304"/>
      <w:r>
        <w:rPr>
          <w:rFonts w:hint="eastAsia"/>
        </w:rPr>
        <w:t>与《云南省土壤、地下水污染防治</w:t>
      </w:r>
      <w:r>
        <w:rPr>
          <w:rFonts w:hint="eastAsia"/>
          <w:lang w:eastAsia="zh-CN"/>
        </w:rPr>
        <w:t>“</w:t>
      </w:r>
      <w:r>
        <w:rPr>
          <w:rFonts w:hint="eastAsia"/>
        </w:rPr>
        <w:t>十四五</w:t>
      </w:r>
      <w:r>
        <w:rPr>
          <w:rFonts w:hint="eastAsia"/>
          <w:lang w:eastAsia="zh-CN"/>
        </w:rPr>
        <w:t>”</w:t>
      </w:r>
      <w:r>
        <w:rPr>
          <w:rFonts w:hint="eastAsia"/>
        </w:rPr>
        <w:t>规划》符合性</w:t>
      </w:r>
      <w:bookmarkEnd w:id="582"/>
      <w:bookmarkEnd w:id="583"/>
    </w:p>
    <w:p w14:paraId="09A1210B">
      <w:pPr>
        <w:pStyle w:val="41"/>
        <w:bidi w:val="0"/>
        <w:rPr>
          <w:rFonts w:hint="eastAsia"/>
          <w:lang w:val="zh-CN" w:eastAsia="zh-CN"/>
        </w:rPr>
      </w:pPr>
      <w:r>
        <w:rPr>
          <w:rFonts w:hint="eastAsia"/>
          <w:lang w:val="zh-CN" w:eastAsia="zh-CN"/>
        </w:rPr>
        <w:t>2022年7月27日，为贯彻落实《中共中央、国务院关于深入打好污染防治攻坚战的意见》，根据《中华人民共和国土壤污染防治法》规定，经省人民政府同意，省生态环境厅会同省发展改革委、省财政厅、省自然资源厅、省住房和城乡建设厅、省水利厅、省农业农村厅等部门，组织编制了《云南省土壤、地下水污染防治“十四五”规划》。项目与《云南省土壤、地下水污染防治“十四五”规划》符合性分析如下表所示。</w:t>
      </w:r>
    </w:p>
    <w:p w14:paraId="0DF5ED29">
      <w:pPr>
        <w:pStyle w:val="45"/>
        <w:bidi w:val="0"/>
        <w:rPr>
          <w:rFonts w:hint="eastAsia"/>
          <w:b w:val="0"/>
          <w:bCs w:val="0"/>
          <w:lang w:val="zh-CN" w:eastAsia="zh-CN"/>
        </w:rPr>
      </w:pPr>
      <w:r>
        <w:rPr>
          <w:rFonts w:hint="eastAsia"/>
          <w:lang w:val="zh-CN" w:eastAsia="zh-CN"/>
        </w:rPr>
        <w:t>表</w:t>
      </w:r>
      <w:r>
        <w:rPr>
          <w:rFonts w:hint="eastAsia"/>
          <w:lang w:val="en-US" w:eastAsia="zh-CN"/>
        </w:rPr>
        <w:t xml:space="preserve">9.8-2 </w:t>
      </w:r>
      <w:r>
        <w:rPr>
          <w:rFonts w:hint="eastAsia"/>
          <w:lang w:val="zh-CN" w:eastAsia="zh-CN"/>
        </w:rPr>
        <w:t xml:space="preserve"> </w:t>
      </w:r>
      <w:r>
        <w:rPr>
          <w:rFonts w:hint="eastAsia"/>
          <w:lang w:val="en-US" w:eastAsia="zh-CN"/>
        </w:rPr>
        <w:t>项目</w:t>
      </w:r>
      <w:r>
        <w:rPr>
          <w:rFonts w:hint="eastAsia"/>
          <w:lang w:val="zh-CN" w:eastAsia="zh-CN"/>
        </w:rPr>
        <w:t>与《云南省土壤、地下水污染防治“十四五”规划》符合性分析</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7"/>
        <w:gridCol w:w="3336"/>
        <w:gridCol w:w="793"/>
      </w:tblGrid>
      <w:tr w14:paraId="6DAF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73FD5725">
            <w:pPr>
              <w:pStyle w:val="43"/>
              <w:bidi w:val="0"/>
              <w:rPr>
                <w:rFonts w:hint="eastAsia"/>
                <w:b/>
                <w:bCs/>
                <w:lang w:val="zh-CN" w:eastAsia="zh-CN"/>
              </w:rPr>
            </w:pPr>
            <w:r>
              <w:rPr>
                <w:rFonts w:hint="eastAsia"/>
                <w:b/>
                <w:bCs/>
                <w:lang w:val="zh-CN" w:eastAsia="zh-CN"/>
              </w:rPr>
              <w:t>《云南省土壤、地下水污染防治“十四五”规划》要求</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6620B29F">
            <w:pPr>
              <w:pStyle w:val="43"/>
              <w:bidi w:val="0"/>
              <w:rPr>
                <w:rFonts w:hint="eastAsia"/>
                <w:b/>
                <w:bCs/>
                <w:lang w:val="zh-CN" w:eastAsia="zh-CN"/>
              </w:rPr>
            </w:pPr>
            <w:r>
              <w:rPr>
                <w:rFonts w:hint="eastAsia"/>
                <w:b/>
                <w:bCs/>
                <w:lang w:val="zh-CN" w:eastAsia="zh-CN"/>
              </w:rPr>
              <w:t>项目情况</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3A5A462C">
            <w:pPr>
              <w:pStyle w:val="43"/>
              <w:bidi w:val="0"/>
              <w:rPr>
                <w:rFonts w:hint="eastAsia"/>
                <w:b/>
                <w:bCs/>
                <w:lang w:val="zh-CN" w:eastAsia="zh-CN"/>
              </w:rPr>
            </w:pPr>
            <w:r>
              <w:rPr>
                <w:rFonts w:hint="eastAsia"/>
                <w:b/>
                <w:bCs/>
                <w:lang w:val="zh-CN" w:eastAsia="zh-CN"/>
              </w:rPr>
              <w:t>符合性</w:t>
            </w:r>
          </w:p>
        </w:tc>
      </w:tr>
      <w:tr w14:paraId="1525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123CA629">
            <w:pPr>
              <w:pStyle w:val="43"/>
              <w:bidi w:val="0"/>
              <w:rPr>
                <w:rFonts w:hint="eastAsia"/>
                <w:lang w:val="zh-CN" w:eastAsia="zh-CN"/>
              </w:rPr>
            </w:pPr>
            <w:r>
              <w:rPr>
                <w:rFonts w:hint="eastAsia"/>
                <w:lang w:val="zh-CN" w:eastAsia="zh-CN"/>
              </w:rPr>
              <w:t>严格控制涉重金属行业污染物排放。以矿产资源开发活动和受污染耕地集中区域为重点，选择典型区域，于2023年起，执行《铅、锌工业污染物排放标准》《铜、镍、钴工业污染物排放标准》《无机化学工业污染物排放标准》中颗粒物和镉等重点重 金属特别排放限值。依据《中华人民共和国大气污染防治法》《中华人民共和国水污染防治法》以及重点排污单位名录管理有关规定，将符合条件的排放镉等有毒有害大气、水污染物的企业纳入重点排污单位名录管理；纳入大气重点排污单位名录的涉镉等重金属排放企业，2023年底前对大气污染物中的颗粒物按排污许可证规定实现自动监测，以监测数据核算颗粒物等排放量。</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3D726849">
            <w:pPr>
              <w:pStyle w:val="43"/>
              <w:bidi w:val="0"/>
              <w:rPr>
                <w:rFonts w:hint="eastAsia"/>
                <w:lang w:val="zh-CN" w:eastAsia="zh-CN"/>
              </w:rPr>
            </w:pPr>
            <w:r>
              <w:rPr>
                <w:rFonts w:hint="eastAsia"/>
                <w:lang w:val="en-US" w:eastAsia="zh-CN"/>
              </w:rPr>
              <w:t>项目为建筑用灰岩矿开采加工，</w:t>
            </w:r>
            <w:r>
              <w:rPr>
                <w:rFonts w:hint="eastAsia"/>
                <w:lang w:val="zh-CN" w:eastAsia="zh-CN"/>
              </w:rPr>
              <w:t>生产过程中无重金属产生，不属于涉重金属行业。根据</w:t>
            </w:r>
            <w:r>
              <w:rPr>
                <w:rFonts w:hint="eastAsia"/>
                <w:lang w:val="en-US" w:eastAsia="zh-CN"/>
              </w:rPr>
              <w:t>项目生态环境分区管控</w:t>
            </w:r>
            <w:r>
              <w:rPr>
                <w:rFonts w:hint="default"/>
                <w:lang w:val="en-US" w:eastAsia="zh-CN"/>
              </w:rPr>
              <w:t>查询意见</w:t>
            </w:r>
            <w:r>
              <w:rPr>
                <w:rFonts w:hint="eastAsia"/>
                <w:lang w:val="en-US" w:eastAsia="zh-CN"/>
              </w:rPr>
              <w:t>以及三区三线查询</w:t>
            </w:r>
            <w:r>
              <w:rPr>
                <w:rFonts w:hint="eastAsia"/>
                <w:lang w:val="zh-CN" w:eastAsia="zh-CN"/>
              </w:rPr>
              <w:t>，项目不占用永久基本农田、生态红线，不涉及占用耕地。项目生产过程中产生的废气污染物为</w:t>
            </w:r>
            <w:r>
              <w:rPr>
                <w:rFonts w:hint="eastAsia"/>
                <w:lang w:val="en-US" w:eastAsia="zh-CN"/>
              </w:rPr>
              <w:t>颗粒物</w:t>
            </w:r>
            <w:r>
              <w:rPr>
                <w:rFonts w:hint="eastAsia"/>
                <w:lang w:val="zh-CN" w:eastAsia="zh-CN"/>
              </w:rPr>
              <w:t>，废水污染因子为SS，</w:t>
            </w:r>
            <w:r>
              <w:rPr>
                <w:rFonts w:hint="eastAsia"/>
                <w:lang w:val="en-US" w:eastAsia="zh-CN"/>
              </w:rPr>
              <w:t>且无废水外排</w:t>
            </w:r>
            <w:r>
              <w:rPr>
                <w:rFonts w:hint="eastAsia"/>
                <w:lang w:val="zh-CN" w:eastAsia="zh-CN"/>
              </w:rPr>
              <w:t>，不涉及排放镉等有毒有害大气、水污染物。项目建成后根据《固定污染源排污许可分类管理名录（2019年版）》要求</w:t>
            </w:r>
            <w:r>
              <w:rPr>
                <w:rFonts w:hint="eastAsia"/>
                <w:lang w:val="en-US" w:eastAsia="zh-CN"/>
              </w:rPr>
              <w:t>重新</w:t>
            </w:r>
            <w:r>
              <w:rPr>
                <w:rFonts w:hint="eastAsia"/>
                <w:lang w:val="zh-CN" w:eastAsia="zh-CN"/>
              </w:rPr>
              <w:t>申报排污许可，并按排污许可证要求开展自行监测。</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4C56D0A7">
            <w:pPr>
              <w:pStyle w:val="43"/>
              <w:bidi w:val="0"/>
              <w:rPr>
                <w:rFonts w:hint="eastAsia"/>
                <w:lang w:val="zh-CN" w:eastAsia="zh-CN"/>
              </w:rPr>
            </w:pPr>
            <w:r>
              <w:rPr>
                <w:rFonts w:hint="eastAsia"/>
                <w:lang w:val="zh-CN" w:eastAsia="zh-CN"/>
              </w:rPr>
              <w:t>符合</w:t>
            </w:r>
          </w:p>
        </w:tc>
      </w:tr>
      <w:tr w14:paraId="6390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4A28D672">
            <w:pPr>
              <w:pStyle w:val="43"/>
              <w:bidi w:val="0"/>
              <w:rPr>
                <w:rFonts w:hint="eastAsia"/>
                <w:lang w:val="zh-CN" w:eastAsia="zh-CN"/>
              </w:rPr>
            </w:pPr>
            <w:r>
              <w:rPr>
                <w:rFonts w:hint="eastAsia"/>
                <w:lang w:val="zh-CN" w:eastAsia="zh-CN"/>
              </w:rPr>
              <w:t>严格建设项目土壤环境影响评价制度。对涉及有毒有害物质可能造成土壤污染的新（改、扩）建项目，依法进行环境影响评价，提出并落实防腐蚀、防渗漏、防遗撒等土壤污染防治具体措施。建设项目配套建设的土壤污染防治设施，应当与主体工程同时设计、同时施工、同时投入使用。</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538CDE97">
            <w:pPr>
              <w:pStyle w:val="43"/>
              <w:bidi w:val="0"/>
              <w:rPr>
                <w:rFonts w:hint="eastAsia"/>
                <w:lang w:val="zh-CN" w:eastAsia="zh-CN"/>
              </w:rPr>
            </w:pPr>
            <w:r>
              <w:rPr>
                <w:rFonts w:hint="eastAsia"/>
                <w:lang w:val="zh-CN" w:eastAsia="zh-CN"/>
              </w:rPr>
              <w:t>项目运营期产生的污染物主要为粉尘。项目</w:t>
            </w:r>
            <w:r>
              <w:rPr>
                <w:rFonts w:hint="eastAsia"/>
                <w:lang w:val="en-US" w:eastAsia="zh-CN"/>
              </w:rPr>
              <w:t>加工区及产品堆场</w:t>
            </w:r>
            <w:r>
              <w:rPr>
                <w:rFonts w:hint="eastAsia"/>
                <w:lang w:val="zh-CN" w:eastAsia="zh-CN"/>
              </w:rPr>
              <w:t>全部进行硬化，可有效阻断污染物与土壤直接接触。项目产生的危险废物收集暂存于危废间，委托有资质的单位进行清运处置。危废间进行重点防渗，项目运营期产生的“三废”污染物均得到妥善处置，环评要求建设单位严格执行“三同时”制度。采取上述污染防控措施，对土壤环境影响较小。</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1C3F5219">
            <w:pPr>
              <w:pStyle w:val="43"/>
              <w:bidi w:val="0"/>
              <w:rPr>
                <w:rFonts w:hint="eastAsia"/>
                <w:lang w:val="zh-CN" w:eastAsia="zh-CN"/>
              </w:rPr>
            </w:pPr>
            <w:r>
              <w:rPr>
                <w:rFonts w:hint="eastAsia"/>
                <w:lang w:val="zh-CN" w:eastAsia="zh-CN"/>
              </w:rPr>
              <w:t>符合</w:t>
            </w:r>
          </w:p>
        </w:tc>
      </w:tr>
      <w:tr w14:paraId="2320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72D02AAD">
            <w:pPr>
              <w:pStyle w:val="43"/>
              <w:bidi w:val="0"/>
              <w:rPr>
                <w:rFonts w:hint="eastAsia"/>
                <w:lang w:val="zh-CN" w:eastAsia="zh-CN"/>
              </w:rPr>
            </w:pPr>
            <w:r>
              <w:rPr>
                <w:rFonts w:hint="eastAsia"/>
                <w:lang w:val="zh-CN" w:eastAsia="zh-CN"/>
              </w:rPr>
              <w:t>强化土壤污染重点监管单位的环境监管。以有色金属矿和黑色金属矿采选、有色金属和黑色金属冶炼、石油加工、化学原料和化学制品制造、焦化、医药制造、制革、电镀、铅蓄电池制造、印染、危险废物利用及处置等行业中纳入排污许可重点管理的企业事业单位为重点，监督土壤污染重点监管单位全面落实土壤污染防治义务。到2025年底前，至少完成一轮土壤和地下水污染隐患排查整改、土壤污染重点监管单位周边土壤环境监测。加强企业拆除活动污染防治现场检查，督促土壤污染重点监管单位落实拆除活动污染防治措施。</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405A202E">
            <w:pPr>
              <w:pStyle w:val="43"/>
              <w:bidi w:val="0"/>
              <w:rPr>
                <w:rFonts w:hint="eastAsia"/>
                <w:lang w:val="zh-CN" w:eastAsia="zh-CN"/>
              </w:rPr>
            </w:pPr>
            <w:r>
              <w:rPr>
                <w:rFonts w:hint="eastAsia"/>
                <w:lang w:val="en-US" w:eastAsia="zh-CN"/>
              </w:rPr>
              <w:t>项目为建筑用灰岩矿开采加工，</w:t>
            </w:r>
            <w:r>
              <w:rPr>
                <w:rFonts w:hint="eastAsia"/>
                <w:lang w:val="zh-CN" w:eastAsia="zh-CN"/>
              </w:rPr>
              <w:t>不属于土壤污染重点监管单位。项目</w:t>
            </w:r>
            <w:r>
              <w:rPr>
                <w:rFonts w:hint="eastAsia"/>
                <w:lang w:val="en-US" w:eastAsia="zh-CN"/>
              </w:rPr>
              <w:t>加工区及产品堆场</w:t>
            </w:r>
            <w:r>
              <w:rPr>
                <w:rFonts w:hint="eastAsia"/>
                <w:lang w:val="zh-CN" w:eastAsia="zh-CN"/>
              </w:rPr>
              <w:t>，可以有效阻断污染物与土壤直接接触。项目产生的危险废物收集暂存于危废间，委托有资质的单位进行清运处置。危废间进行重点防渗，项目运营期产生的“三废”污染物均得到妥善处置，项目建设对土壤环境影响较小。</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6A8571D2">
            <w:pPr>
              <w:pStyle w:val="43"/>
              <w:bidi w:val="0"/>
              <w:rPr>
                <w:rFonts w:hint="eastAsia"/>
                <w:lang w:val="zh-CN" w:eastAsia="zh-CN"/>
              </w:rPr>
            </w:pPr>
            <w:r>
              <w:rPr>
                <w:rFonts w:hint="eastAsia"/>
                <w:lang w:val="zh-CN" w:eastAsia="zh-CN"/>
              </w:rPr>
              <w:t>符合</w:t>
            </w:r>
          </w:p>
        </w:tc>
      </w:tr>
      <w:tr w14:paraId="74FA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5C14FC19">
            <w:pPr>
              <w:pStyle w:val="43"/>
              <w:bidi w:val="0"/>
              <w:rPr>
                <w:rFonts w:hint="eastAsia"/>
                <w:lang w:val="zh-CN" w:eastAsia="zh-CN"/>
              </w:rPr>
            </w:pPr>
            <w:r>
              <w:rPr>
                <w:rFonts w:hint="eastAsia"/>
                <w:lang w:val="zh-CN" w:eastAsia="zh-CN"/>
              </w:rPr>
              <w:t>推动实施绿色化提标改造。鼓励土壤污染重点监管单位因地制宜采用管道化、密闭化改造，重点区域、重点设施设备防腐蚀 防渗漏改造，以及物料、污水、废气管线架空建设和改造。以昆 明市、红河州、文山州、曲靖市等产业集中区域为重点，依法实施强制性清洁生产审核，进一步减少重金属污染物排放。</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5C7EF3ED">
            <w:pPr>
              <w:pStyle w:val="43"/>
              <w:bidi w:val="0"/>
              <w:rPr>
                <w:rFonts w:hint="eastAsia"/>
                <w:lang w:val="zh-CN" w:eastAsia="zh-CN"/>
              </w:rPr>
            </w:pPr>
            <w:r>
              <w:rPr>
                <w:rFonts w:hint="eastAsia"/>
                <w:lang w:val="zh-CN" w:eastAsia="zh-CN"/>
              </w:rPr>
              <w:t>本项目不属于土壤污染重点监管单位。项目生产过程中不涉及重金属污染物产生，危废间进行重点防渗。</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36335AD9">
            <w:pPr>
              <w:pStyle w:val="43"/>
              <w:bidi w:val="0"/>
              <w:rPr>
                <w:rFonts w:hint="eastAsia"/>
                <w:lang w:val="zh-CN" w:eastAsia="zh-CN"/>
              </w:rPr>
            </w:pPr>
            <w:r>
              <w:rPr>
                <w:rFonts w:hint="eastAsia"/>
                <w:lang w:val="zh-CN" w:eastAsia="zh-CN"/>
              </w:rPr>
              <w:t>符合</w:t>
            </w:r>
          </w:p>
        </w:tc>
      </w:tr>
      <w:tr w14:paraId="191F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58D76B6D">
            <w:pPr>
              <w:pStyle w:val="43"/>
              <w:bidi w:val="0"/>
              <w:rPr>
                <w:rFonts w:hint="eastAsia"/>
                <w:lang w:val="zh-CN" w:eastAsia="zh-CN"/>
              </w:rPr>
            </w:pPr>
            <w:r>
              <w:rPr>
                <w:rFonts w:hint="eastAsia"/>
                <w:lang w:val="zh-CN" w:eastAsia="zh-CN"/>
              </w:rPr>
              <w:t>切实加大耕地保护力度。依法将符合条件的优先保护类耕地划为永久基本农田，在永久基本农田集中区域，不得规划新建可能造成土壤污染的建设项目。加强农业投入品质量监管，从严查处向农田施用不达标肥料等农业投入品的行为。</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3E05A307">
            <w:pPr>
              <w:pStyle w:val="43"/>
              <w:bidi w:val="0"/>
              <w:rPr>
                <w:rFonts w:hint="eastAsia"/>
                <w:lang w:val="zh-CN" w:eastAsia="zh-CN"/>
              </w:rPr>
            </w:pPr>
            <w:r>
              <w:rPr>
                <w:rFonts w:hint="eastAsia"/>
                <w:lang w:val="zh-CN" w:eastAsia="zh-CN"/>
              </w:rPr>
              <w:t>根据</w:t>
            </w:r>
            <w:r>
              <w:rPr>
                <w:rFonts w:hint="eastAsia"/>
                <w:lang w:val="en-US" w:eastAsia="zh-CN"/>
              </w:rPr>
              <w:t>项目生态环境分区管控</w:t>
            </w:r>
            <w:r>
              <w:rPr>
                <w:rFonts w:hint="default"/>
                <w:lang w:val="en-US" w:eastAsia="zh-CN"/>
              </w:rPr>
              <w:t>查询意见</w:t>
            </w:r>
            <w:r>
              <w:rPr>
                <w:rFonts w:hint="eastAsia"/>
                <w:lang w:val="en-US" w:eastAsia="zh-CN"/>
              </w:rPr>
              <w:t>以及三区三线查询</w:t>
            </w:r>
            <w:r>
              <w:rPr>
                <w:rFonts w:hint="eastAsia"/>
                <w:lang w:val="zh-CN" w:eastAsia="zh-CN"/>
              </w:rPr>
              <w:t>，项目用地范围不涉及生态红线，项目不占用永久基本农田。项目不涉及农田施肥行为。</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4D1AA319">
            <w:pPr>
              <w:pStyle w:val="43"/>
              <w:bidi w:val="0"/>
              <w:rPr>
                <w:rFonts w:hint="eastAsia"/>
                <w:lang w:val="zh-CN" w:eastAsia="zh-CN"/>
              </w:rPr>
            </w:pPr>
            <w:r>
              <w:rPr>
                <w:rFonts w:hint="eastAsia"/>
                <w:lang w:val="zh-CN" w:eastAsia="zh-CN"/>
              </w:rPr>
              <w:t>符合</w:t>
            </w:r>
          </w:p>
        </w:tc>
      </w:tr>
      <w:tr w14:paraId="2A0D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3DB07A4E">
            <w:pPr>
              <w:pStyle w:val="43"/>
              <w:bidi w:val="0"/>
              <w:rPr>
                <w:rFonts w:hint="eastAsia"/>
                <w:lang w:val="zh-CN" w:eastAsia="zh-CN"/>
              </w:rPr>
            </w:pPr>
            <w:r>
              <w:rPr>
                <w:rFonts w:hint="eastAsia"/>
                <w:lang w:val="zh-CN" w:eastAsia="zh-CN"/>
              </w:rPr>
              <w:t>严格污染地块用地准入。合理规划污染地块用途，从严管控农药、化工、有色金属等行业企业重度污染地块开发利用。各级自然资源部门对列入建设用地土壤污染风险管控和修复名录的地块，不得作为住宅、公共管理与公共服务用地；不得办理土地 征收、收回、收购、土地供应以及改变土地用途等手续。依法应当开展土壤污染状况调查或风险评估而未开展或尚未完成的地块，以及未达到土壤污染风险评估报告确定的风险管控、修复目标的地块，不得开工建设与风险管控、修复无关的项目。从事土地开发利用活动，应当采取有效措施，防止、减少土壤污染，并确保建设用地符合土壤环境质量要求。</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330E9D0D">
            <w:pPr>
              <w:pStyle w:val="43"/>
              <w:bidi w:val="0"/>
              <w:rPr>
                <w:rFonts w:hint="eastAsia"/>
                <w:lang w:val="zh-CN" w:eastAsia="zh-CN"/>
              </w:rPr>
            </w:pPr>
            <w:r>
              <w:rPr>
                <w:rFonts w:hint="eastAsia"/>
                <w:lang w:val="en-US" w:eastAsia="zh-CN"/>
              </w:rPr>
              <w:t>本项目</w:t>
            </w:r>
            <w:r>
              <w:rPr>
                <w:rFonts w:hint="eastAsia"/>
                <w:lang w:val="zh-CN" w:eastAsia="zh-CN"/>
              </w:rPr>
              <w:t>不属于污染地块。不涉及农药、化工、有色金属等行业企业重度污染地块开发利用。项目</w:t>
            </w:r>
            <w:r>
              <w:rPr>
                <w:rFonts w:hint="eastAsia"/>
                <w:lang w:val="en-US" w:eastAsia="zh-CN"/>
              </w:rPr>
              <w:t>加工区及产品堆场</w:t>
            </w:r>
            <w:r>
              <w:rPr>
                <w:rFonts w:hint="eastAsia"/>
                <w:lang w:val="zh-CN" w:eastAsia="zh-CN"/>
              </w:rPr>
              <w:t>全部进行硬化，可以有效阻断污染物与土壤直接接触。项目产生的危险废物收集暂存于危废间，委托有资质的单位进行清运处置。危废间进行重点防渗，项目运营期产生的“三废”污染物均得到妥善处置。项目建设采取有效措施，防止、减少土壤污染，并确保建设用地符合土壤环境质量要求。</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6A63716F">
            <w:pPr>
              <w:pStyle w:val="43"/>
              <w:bidi w:val="0"/>
              <w:rPr>
                <w:rFonts w:hint="eastAsia"/>
                <w:lang w:val="zh-CN" w:eastAsia="zh-CN"/>
              </w:rPr>
            </w:pPr>
            <w:r>
              <w:rPr>
                <w:rFonts w:hint="eastAsia"/>
                <w:lang w:val="zh-CN" w:eastAsia="zh-CN"/>
              </w:rPr>
              <w:t>符合</w:t>
            </w:r>
          </w:p>
        </w:tc>
      </w:tr>
      <w:tr w14:paraId="6601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78" w:type="pct"/>
            <w:tcBorders>
              <w:top w:val="single" w:color="auto" w:sz="4" w:space="0"/>
              <w:left w:val="single" w:color="auto" w:sz="4" w:space="0"/>
              <w:bottom w:val="single" w:color="auto" w:sz="4" w:space="0"/>
              <w:right w:val="single" w:color="auto" w:sz="4" w:space="0"/>
            </w:tcBorders>
            <w:noWrap w:val="0"/>
            <w:vAlign w:val="center"/>
          </w:tcPr>
          <w:p w14:paraId="37EE0FE8">
            <w:pPr>
              <w:pStyle w:val="43"/>
              <w:bidi w:val="0"/>
              <w:rPr>
                <w:rFonts w:hint="eastAsia"/>
                <w:lang w:val="zh-CN" w:eastAsia="zh-CN"/>
              </w:rPr>
            </w:pPr>
            <w:r>
              <w:rPr>
                <w:rFonts w:hint="eastAsia"/>
                <w:lang w:val="zh-CN" w:eastAsia="zh-CN"/>
              </w:rPr>
              <w:t>落实地下水防渗和监测措施。督促“一企一库”“两场两区”采取防渗漏措施，按要求建设地下水环境监测井，开展地下水环境自行监测。指导地下水污染防治重点排污单位优先开展地下水污染渗漏排查，针对存在问题的设施，采取污染防渗改造措 施。省级生态环境部门组织开展地下水污染防治重点排污单位周边地下水环境监测。</w:t>
            </w:r>
          </w:p>
        </w:tc>
        <w:tc>
          <w:tcPr>
            <w:tcW w:w="1956" w:type="pct"/>
            <w:tcBorders>
              <w:top w:val="single" w:color="auto" w:sz="4" w:space="0"/>
              <w:left w:val="single" w:color="auto" w:sz="4" w:space="0"/>
              <w:bottom w:val="single" w:color="auto" w:sz="4" w:space="0"/>
              <w:right w:val="single" w:color="auto" w:sz="4" w:space="0"/>
            </w:tcBorders>
            <w:noWrap w:val="0"/>
            <w:vAlign w:val="center"/>
          </w:tcPr>
          <w:p w14:paraId="2F040014">
            <w:pPr>
              <w:pStyle w:val="43"/>
              <w:bidi w:val="0"/>
              <w:rPr>
                <w:rFonts w:hint="eastAsia"/>
                <w:lang w:val="zh-CN" w:eastAsia="zh-CN"/>
              </w:rPr>
            </w:pPr>
            <w:r>
              <w:rPr>
                <w:rFonts w:hint="eastAsia"/>
                <w:lang w:val="en-US" w:eastAsia="zh-CN"/>
              </w:rPr>
              <w:t>项目为建筑用灰岩矿开采加工，根据技术导则，项目不</w:t>
            </w:r>
            <w:r>
              <w:rPr>
                <w:rFonts w:hint="eastAsia"/>
                <w:lang w:val="zh-CN" w:eastAsia="zh-CN"/>
              </w:rPr>
              <w:t>需开展地下水跟踪监测，项目也不属于地下水污染防治重点排污单位。项目危废间进行重点防渗，避免对地下水造成影响。</w:t>
            </w:r>
          </w:p>
        </w:tc>
        <w:tc>
          <w:tcPr>
            <w:tcW w:w="465" w:type="pct"/>
            <w:tcBorders>
              <w:top w:val="single" w:color="auto" w:sz="4" w:space="0"/>
              <w:left w:val="single" w:color="auto" w:sz="4" w:space="0"/>
              <w:bottom w:val="single" w:color="auto" w:sz="4" w:space="0"/>
              <w:right w:val="single" w:color="auto" w:sz="4" w:space="0"/>
            </w:tcBorders>
            <w:noWrap w:val="0"/>
            <w:vAlign w:val="center"/>
          </w:tcPr>
          <w:p w14:paraId="7B365101">
            <w:pPr>
              <w:pStyle w:val="43"/>
              <w:bidi w:val="0"/>
              <w:rPr>
                <w:rFonts w:hint="eastAsia"/>
                <w:lang w:val="zh-CN" w:eastAsia="zh-CN"/>
              </w:rPr>
            </w:pPr>
            <w:r>
              <w:rPr>
                <w:rFonts w:hint="eastAsia"/>
                <w:lang w:val="zh-CN" w:eastAsia="zh-CN"/>
              </w:rPr>
              <w:t>符合</w:t>
            </w:r>
          </w:p>
        </w:tc>
      </w:tr>
    </w:tbl>
    <w:p w14:paraId="4D553C72">
      <w:pPr>
        <w:pStyle w:val="41"/>
        <w:bidi w:val="0"/>
        <w:rPr>
          <w:rFonts w:hint="eastAsia"/>
          <w:color w:val="000000" w:themeColor="text1"/>
          <w:highlight w:val="none"/>
          <w14:textFill>
            <w14:solidFill>
              <w14:schemeClr w14:val="tx1"/>
            </w14:solidFill>
          </w14:textFill>
        </w:rPr>
      </w:pPr>
      <w:r>
        <w:rPr>
          <w:rFonts w:hint="eastAsia"/>
          <w:lang w:val="zh-CN" w:eastAsia="zh-CN"/>
        </w:rPr>
        <w:t>根据上表，项目与《云南省土壤、地下水污染防治“十四五”规划》要求相符。</w:t>
      </w:r>
    </w:p>
    <w:p w14:paraId="0841B084">
      <w:pPr>
        <w:pStyle w:val="3"/>
        <w:keepNext/>
        <w:pageBreakBefore w:val="0"/>
        <w:kinsoku/>
        <w:wordWrap/>
        <w:overflowPunct/>
        <w:topLinePunct w:val="0"/>
        <w:autoSpaceDE/>
        <w:autoSpaceDN/>
        <w:bidi w:val="0"/>
        <w:textAlignment w:val="auto"/>
        <w:rPr>
          <w:rFonts w:hint="eastAsia"/>
          <w:color w:val="000000" w:themeColor="text1"/>
          <w:highlight w:val="none"/>
          <w14:textFill>
            <w14:solidFill>
              <w14:schemeClr w14:val="tx1"/>
            </w14:solidFill>
          </w14:textFill>
        </w:rPr>
      </w:pPr>
      <w:bookmarkStart w:id="584" w:name="_Toc27741"/>
      <w:bookmarkStart w:id="585" w:name="_Toc7487"/>
      <w:r>
        <w:rPr>
          <w:rFonts w:hint="eastAsia"/>
          <w:color w:val="000000" w:themeColor="text1"/>
          <w:highlight w:val="none"/>
          <w:lang w:val="en-US" w:eastAsia="zh-CN"/>
          <w14:textFill>
            <w14:solidFill>
              <w14:schemeClr w14:val="tx1"/>
            </w14:solidFill>
          </w14:textFill>
        </w:rPr>
        <w:t>与长江经济带保护政策相符性分析</w:t>
      </w:r>
      <w:bookmarkEnd w:id="584"/>
      <w:bookmarkEnd w:id="585"/>
    </w:p>
    <w:p w14:paraId="3EA939DA">
      <w:pPr>
        <w:pStyle w:val="4"/>
        <w:bidi w:val="0"/>
        <w:rPr>
          <w:rFonts w:hint="eastAsia"/>
        </w:rPr>
      </w:pPr>
      <w:bookmarkStart w:id="586" w:name="_Toc30243"/>
      <w:bookmarkStart w:id="587" w:name="_Toc14190"/>
      <w:r>
        <w:rPr>
          <w:rFonts w:hint="eastAsia"/>
        </w:rPr>
        <w:t>与《中华人民共和国长江保护法》的符合性分析</w:t>
      </w:r>
      <w:bookmarkEnd w:id="586"/>
      <w:bookmarkEnd w:id="587"/>
    </w:p>
    <w:p w14:paraId="2C1DDF7F">
      <w:pPr>
        <w:pStyle w:val="41"/>
        <w:bidi w:val="0"/>
        <w:rPr>
          <w:rFonts w:hint="eastAsia"/>
          <w:color w:val="000000" w:themeColor="text1"/>
          <w:highlight w:val="none"/>
          <w:lang w:val="en-US" w:eastAsia="zh-CN"/>
          <w14:textFill>
            <w14:solidFill>
              <w14:schemeClr w14:val="tx1"/>
            </w14:solidFill>
          </w14:textFill>
        </w:rPr>
      </w:pPr>
      <w:r>
        <w:rPr>
          <w:rFonts w:hint="default"/>
          <w:lang w:val="en-US" w:eastAsia="zh-CN"/>
        </w:rPr>
        <w:t>2020</w:t>
      </w:r>
      <w:r>
        <w:rPr>
          <w:rFonts w:hint="eastAsia"/>
          <w:lang w:val="en-US" w:eastAsia="zh-CN"/>
        </w:rPr>
        <w:t>年</w:t>
      </w:r>
      <w:r>
        <w:rPr>
          <w:rFonts w:hint="default"/>
          <w:lang w:val="en-US" w:eastAsia="zh-CN"/>
        </w:rPr>
        <w:t>12</w:t>
      </w:r>
      <w:r>
        <w:rPr>
          <w:rFonts w:hint="eastAsia"/>
          <w:lang w:val="en-US" w:eastAsia="zh-CN"/>
        </w:rPr>
        <w:t>月</w:t>
      </w:r>
      <w:r>
        <w:rPr>
          <w:rFonts w:hint="default"/>
          <w:lang w:val="en-US" w:eastAsia="zh-CN"/>
        </w:rPr>
        <w:t>26</w:t>
      </w:r>
      <w:r>
        <w:rPr>
          <w:rFonts w:hint="eastAsia"/>
          <w:lang w:val="en-US" w:eastAsia="zh-CN"/>
        </w:rPr>
        <w:t>日第十三届全国人民代表大会常务委员会第二十四次会议通过《中华人民共和国长江保护法》，项目与《中华人民共和国长江保护法》符合性分析如下。</w:t>
      </w:r>
    </w:p>
    <w:p w14:paraId="63830E9E">
      <w:pPr>
        <w:pStyle w:val="45"/>
        <w:bidi w:val="0"/>
        <w:rPr>
          <w:rFonts w:hint="default"/>
        </w:rPr>
      </w:pPr>
      <w:r>
        <w:rPr>
          <w:rFonts w:hint="eastAsia"/>
        </w:rPr>
        <w:t>表</w:t>
      </w:r>
      <w:r>
        <w:rPr>
          <w:rFonts w:hint="eastAsia"/>
          <w:lang w:val="en-US" w:eastAsia="zh-CN"/>
        </w:rPr>
        <w:t>9.9-1</w:t>
      </w:r>
      <w:r>
        <w:rPr>
          <w:rFonts w:hint="default"/>
        </w:rPr>
        <w:t xml:space="preserve">  </w:t>
      </w:r>
      <w:r>
        <w:rPr>
          <w:rFonts w:hint="eastAsia"/>
        </w:rPr>
        <w:t>项目与《中华人民共和国长江保护法》的符合性分析</w:t>
      </w: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98"/>
        <w:gridCol w:w="3309"/>
        <w:gridCol w:w="919"/>
      </w:tblGrid>
      <w:tr w14:paraId="4807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5E07D18A">
            <w:pPr>
              <w:pStyle w:val="43"/>
              <w:bidi w:val="0"/>
              <w:rPr>
                <w:rFonts w:hint="default"/>
                <w:b/>
                <w:bCs/>
                <w:lang w:val="en-US" w:eastAsia="zh-CN"/>
              </w:rPr>
            </w:pPr>
            <w:r>
              <w:rPr>
                <w:rFonts w:hint="eastAsia"/>
                <w:b/>
                <w:bCs/>
                <w:lang w:val="en-US" w:eastAsia="zh-CN"/>
              </w:rPr>
              <w:t>《中华人民共和国长江保护法》要求</w:t>
            </w:r>
          </w:p>
        </w:tc>
        <w:tc>
          <w:tcPr>
            <w:tcW w:w="1940" w:type="pct"/>
            <w:tcBorders>
              <w:top w:val="single" w:color="auto" w:sz="4" w:space="0"/>
              <w:left w:val="nil"/>
              <w:bottom w:val="single" w:color="auto" w:sz="4" w:space="0"/>
              <w:right w:val="single" w:color="auto" w:sz="4" w:space="0"/>
            </w:tcBorders>
            <w:shd w:val="clear" w:color="auto" w:fill="auto"/>
            <w:vAlign w:val="center"/>
          </w:tcPr>
          <w:p w14:paraId="0D7E98A0">
            <w:pPr>
              <w:pStyle w:val="43"/>
              <w:bidi w:val="0"/>
              <w:rPr>
                <w:rFonts w:hint="default"/>
                <w:b/>
                <w:bCs/>
                <w:lang w:val="en-US" w:eastAsia="zh-CN"/>
              </w:rPr>
            </w:pPr>
            <w:r>
              <w:rPr>
                <w:rFonts w:hint="eastAsia"/>
                <w:b/>
                <w:bCs/>
                <w:lang w:val="en-US" w:eastAsia="zh-CN"/>
              </w:rPr>
              <w:t>相符性分析</w:t>
            </w:r>
          </w:p>
        </w:tc>
        <w:tc>
          <w:tcPr>
            <w:tcW w:w="539" w:type="pct"/>
            <w:tcBorders>
              <w:top w:val="single" w:color="auto" w:sz="4" w:space="0"/>
              <w:left w:val="nil"/>
              <w:bottom w:val="single" w:color="auto" w:sz="4" w:space="0"/>
              <w:right w:val="single" w:color="auto" w:sz="4" w:space="0"/>
            </w:tcBorders>
            <w:shd w:val="clear" w:color="auto" w:fill="auto"/>
            <w:vAlign w:val="center"/>
          </w:tcPr>
          <w:p w14:paraId="73DD6AA9">
            <w:pPr>
              <w:pStyle w:val="43"/>
              <w:bidi w:val="0"/>
              <w:rPr>
                <w:rFonts w:hint="default"/>
                <w:b/>
                <w:bCs/>
                <w:lang w:val="en-US" w:eastAsia="zh-CN"/>
              </w:rPr>
            </w:pPr>
            <w:r>
              <w:rPr>
                <w:rFonts w:hint="eastAsia"/>
                <w:b/>
                <w:bCs/>
                <w:lang w:val="en-US" w:eastAsia="zh-CN"/>
              </w:rPr>
              <w:t>符合性</w:t>
            </w:r>
          </w:p>
        </w:tc>
      </w:tr>
      <w:tr w14:paraId="1C4B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21261498">
            <w:pPr>
              <w:pStyle w:val="43"/>
              <w:bidi w:val="0"/>
              <w:rPr>
                <w:rFonts w:hint="default"/>
                <w:lang w:val="en-US" w:eastAsia="zh-CN"/>
              </w:rPr>
            </w:pPr>
            <w:r>
              <w:rPr>
                <w:rFonts w:hint="eastAsia"/>
                <w:lang w:val="en-US" w:eastAsia="zh-CN"/>
              </w:rPr>
              <w:t>第二十二条：长江流域产业结构和布局应当与长江流域生态系统和资源环境承载能力相适应。禁止在长江流域重点生态功能区布局对生态系统有严重影响的产业。禁止重污染企业和项目向长江中上游转移。</w:t>
            </w:r>
          </w:p>
        </w:tc>
        <w:tc>
          <w:tcPr>
            <w:tcW w:w="1940" w:type="pct"/>
            <w:tcBorders>
              <w:top w:val="single" w:color="auto" w:sz="4" w:space="0"/>
              <w:left w:val="nil"/>
              <w:bottom w:val="single" w:color="auto" w:sz="4" w:space="0"/>
              <w:right w:val="single" w:color="auto" w:sz="4" w:space="0"/>
            </w:tcBorders>
            <w:shd w:val="clear" w:color="auto" w:fill="auto"/>
            <w:vAlign w:val="center"/>
          </w:tcPr>
          <w:p w14:paraId="2A8A1DB1">
            <w:pPr>
              <w:pStyle w:val="43"/>
              <w:bidi w:val="0"/>
              <w:rPr>
                <w:rFonts w:hint="default"/>
                <w:lang w:val="en-US" w:eastAsia="zh-CN"/>
              </w:rPr>
            </w:pPr>
            <w:r>
              <w:rPr>
                <w:rFonts w:hint="eastAsia"/>
                <w:lang w:val="en-US" w:eastAsia="zh-CN"/>
              </w:rPr>
              <w:t>项目位于云南省文山州砚山县江那镇铳卡石门坎，不在长江流域重点生态功能区。</w:t>
            </w:r>
            <w:r>
              <w:rPr>
                <w:rFonts w:hint="default"/>
                <w:lang w:val="zh-CN" w:eastAsia="zh-CN"/>
              </w:rPr>
              <w:t>本</w:t>
            </w:r>
            <w:r>
              <w:rPr>
                <w:rFonts w:hint="eastAsia"/>
                <w:lang w:val="zh-CN" w:eastAsia="zh-CN"/>
              </w:rPr>
              <w:t>项目为</w:t>
            </w:r>
            <w:r>
              <w:rPr>
                <w:rFonts w:hint="eastAsia"/>
                <w:lang w:val="en-US" w:eastAsia="zh-CN"/>
              </w:rPr>
              <w:t>灰岩矿</w:t>
            </w:r>
            <w:r>
              <w:rPr>
                <w:rFonts w:hint="eastAsia"/>
                <w:lang w:val="zh-CN" w:eastAsia="zh-CN"/>
              </w:rPr>
              <w:t>开采加工</w:t>
            </w:r>
            <w:r>
              <w:rPr>
                <w:rFonts w:hint="eastAsia"/>
                <w:lang w:val="en-US" w:eastAsia="zh-CN"/>
              </w:rPr>
              <w:t>，不属于重污染企业。</w:t>
            </w:r>
          </w:p>
        </w:tc>
        <w:tc>
          <w:tcPr>
            <w:tcW w:w="539" w:type="pct"/>
            <w:tcBorders>
              <w:top w:val="single" w:color="auto" w:sz="4" w:space="0"/>
              <w:left w:val="nil"/>
              <w:bottom w:val="single" w:color="auto" w:sz="4" w:space="0"/>
              <w:right w:val="single" w:color="auto" w:sz="4" w:space="0"/>
            </w:tcBorders>
            <w:shd w:val="clear" w:color="auto" w:fill="auto"/>
            <w:vAlign w:val="center"/>
          </w:tcPr>
          <w:p w14:paraId="21E560A5">
            <w:pPr>
              <w:pStyle w:val="43"/>
              <w:bidi w:val="0"/>
              <w:rPr>
                <w:rFonts w:hint="eastAsia"/>
                <w:lang w:val="en-US" w:eastAsia="zh-CN"/>
              </w:rPr>
            </w:pPr>
            <w:r>
              <w:rPr>
                <w:rFonts w:hint="eastAsia"/>
                <w:lang w:val="en-US" w:eastAsia="zh-CN"/>
              </w:rPr>
              <w:t>符合</w:t>
            </w:r>
          </w:p>
        </w:tc>
      </w:tr>
      <w:tr w14:paraId="01E8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562BF4A4">
            <w:pPr>
              <w:pStyle w:val="43"/>
              <w:bidi w:val="0"/>
              <w:rPr>
                <w:rFonts w:hint="default"/>
                <w:lang w:val="en-US" w:eastAsia="zh-CN"/>
              </w:rPr>
            </w:pPr>
            <w:r>
              <w:rPr>
                <w:rFonts w:hint="eastAsia"/>
                <w:lang w:val="en-US" w:eastAsia="zh-CN"/>
              </w:rPr>
              <w:t>第二十三条：国家加强对长江流域水能资源开发利用的管理。因国家发展战略和国计民生需要，在长江流域新建大中型水电工程，应当经科学论证，并报国务院或者国务院授权的部门批准。对长江流域已建小水电工程，不符合生态保护要求的，县级以上地方人民政府应当组织分类整改或者采取措施逐步退出。</w:t>
            </w:r>
          </w:p>
        </w:tc>
        <w:tc>
          <w:tcPr>
            <w:tcW w:w="1940" w:type="pct"/>
            <w:tcBorders>
              <w:top w:val="single" w:color="auto" w:sz="4" w:space="0"/>
              <w:left w:val="nil"/>
              <w:bottom w:val="single" w:color="auto" w:sz="4" w:space="0"/>
              <w:right w:val="single" w:color="auto" w:sz="4" w:space="0"/>
            </w:tcBorders>
            <w:shd w:val="clear" w:color="auto" w:fill="auto"/>
            <w:vAlign w:val="center"/>
          </w:tcPr>
          <w:p w14:paraId="70A4484A">
            <w:pPr>
              <w:pStyle w:val="43"/>
              <w:bidi w:val="0"/>
              <w:rPr>
                <w:rFonts w:hint="default"/>
                <w:lang w:val="en-US" w:eastAsia="zh-CN"/>
              </w:rPr>
            </w:pPr>
            <w:r>
              <w:rPr>
                <w:rFonts w:hint="eastAsia"/>
                <w:lang w:val="en-US" w:eastAsia="zh-CN"/>
              </w:rPr>
              <w:t>项目不属于长江流域，项目为建筑用灰岩矿开采加工，不属于水电工程。</w:t>
            </w:r>
          </w:p>
        </w:tc>
        <w:tc>
          <w:tcPr>
            <w:tcW w:w="539" w:type="pct"/>
            <w:tcBorders>
              <w:top w:val="single" w:color="auto" w:sz="4" w:space="0"/>
              <w:left w:val="nil"/>
              <w:bottom w:val="single" w:color="auto" w:sz="4" w:space="0"/>
              <w:right w:val="single" w:color="auto" w:sz="4" w:space="0"/>
            </w:tcBorders>
            <w:shd w:val="clear" w:color="auto" w:fill="auto"/>
            <w:vAlign w:val="center"/>
          </w:tcPr>
          <w:p w14:paraId="06B5BE32">
            <w:pPr>
              <w:pStyle w:val="43"/>
              <w:bidi w:val="0"/>
              <w:rPr>
                <w:rFonts w:hint="default"/>
                <w:lang w:val="en-US" w:eastAsia="zh-CN"/>
              </w:rPr>
            </w:pPr>
            <w:r>
              <w:rPr>
                <w:rFonts w:hint="eastAsia"/>
                <w:lang w:val="en-US" w:eastAsia="zh-CN"/>
              </w:rPr>
              <w:t>符合</w:t>
            </w:r>
          </w:p>
        </w:tc>
      </w:tr>
      <w:tr w14:paraId="24FF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3B21CE1B">
            <w:pPr>
              <w:pStyle w:val="43"/>
              <w:bidi w:val="0"/>
              <w:rPr>
                <w:rFonts w:hint="default"/>
                <w:lang w:val="en-US" w:eastAsia="zh-CN"/>
              </w:rPr>
            </w:pPr>
            <w:r>
              <w:rPr>
                <w:rFonts w:hint="eastAsia"/>
                <w:lang w:val="en-US" w:eastAsia="zh-CN"/>
              </w:rPr>
              <w:t>第二十六条：禁止在长江干支流岸线一公里范围内新建、扩建化工园区和化工项目。禁止在长江干流岸线三公里范围内和重要支流岸线一公里范围内新建、改建、扩建尾矿库；但是以提升安全、生态环境保护水平为目的的改建除外。</w:t>
            </w:r>
          </w:p>
        </w:tc>
        <w:tc>
          <w:tcPr>
            <w:tcW w:w="1940" w:type="pct"/>
            <w:tcBorders>
              <w:top w:val="single" w:color="auto" w:sz="4" w:space="0"/>
              <w:left w:val="nil"/>
              <w:bottom w:val="single" w:color="auto" w:sz="4" w:space="0"/>
              <w:right w:val="single" w:color="auto" w:sz="4" w:space="0"/>
            </w:tcBorders>
            <w:shd w:val="clear" w:color="auto" w:fill="auto"/>
            <w:vAlign w:val="center"/>
          </w:tcPr>
          <w:p w14:paraId="160CA9B2">
            <w:pPr>
              <w:pStyle w:val="43"/>
              <w:bidi w:val="0"/>
              <w:rPr>
                <w:rFonts w:hint="default"/>
                <w:lang w:val="en-US" w:eastAsia="zh-CN"/>
              </w:rPr>
            </w:pPr>
            <w:r>
              <w:rPr>
                <w:rFonts w:hint="eastAsia"/>
                <w:lang w:val="en-US" w:eastAsia="zh-CN"/>
              </w:rPr>
              <w:t>项目不属于长江流域，为建筑用灰岩矿开采加工，不属于化工园和化工项目。</w:t>
            </w:r>
          </w:p>
        </w:tc>
        <w:tc>
          <w:tcPr>
            <w:tcW w:w="539" w:type="pct"/>
            <w:tcBorders>
              <w:top w:val="single" w:color="auto" w:sz="4" w:space="0"/>
              <w:left w:val="nil"/>
              <w:bottom w:val="single" w:color="auto" w:sz="4" w:space="0"/>
              <w:right w:val="single" w:color="auto" w:sz="4" w:space="0"/>
            </w:tcBorders>
            <w:shd w:val="clear" w:color="auto" w:fill="auto"/>
            <w:vAlign w:val="center"/>
          </w:tcPr>
          <w:p w14:paraId="766E442C">
            <w:pPr>
              <w:pStyle w:val="43"/>
              <w:bidi w:val="0"/>
              <w:rPr>
                <w:rFonts w:hint="eastAsia"/>
                <w:lang w:val="en-US" w:eastAsia="zh-CN"/>
              </w:rPr>
            </w:pPr>
            <w:r>
              <w:rPr>
                <w:rFonts w:hint="eastAsia"/>
                <w:lang w:val="en-US" w:eastAsia="zh-CN"/>
              </w:rPr>
              <w:t>符合</w:t>
            </w:r>
          </w:p>
        </w:tc>
      </w:tr>
      <w:tr w14:paraId="49F0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58CA56C1">
            <w:pPr>
              <w:pStyle w:val="43"/>
              <w:bidi w:val="0"/>
              <w:rPr>
                <w:rFonts w:hint="eastAsia"/>
                <w:lang w:val="en-US" w:eastAsia="zh-CN"/>
              </w:rPr>
            </w:pPr>
            <w:r>
              <w:rPr>
                <w:rFonts w:hint="eastAsia"/>
                <w:lang w:val="en-US" w:eastAsia="zh-CN"/>
              </w:rPr>
              <w:t>第二十七条：禁止船舶在划定的禁止航行区域内航行。因国家发展战略和国计民生需要，在水生生物重要栖息地禁止航行区域内航行的，应当由国务院交通运输主管部门商国务院农业农村主管部门同意，并应当采取必要措施，减少对重要水生生物的干扰。严格限制在长江流域生态保护红线、自然保护地、水生生物重要栖息地水域实施航道整治工程；确需整治的，应当经科学论证，并依法办理相关手续。</w:t>
            </w:r>
          </w:p>
        </w:tc>
        <w:tc>
          <w:tcPr>
            <w:tcW w:w="1940" w:type="pct"/>
            <w:tcBorders>
              <w:top w:val="single" w:color="auto" w:sz="4" w:space="0"/>
              <w:left w:val="nil"/>
              <w:bottom w:val="single" w:color="auto" w:sz="4" w:space="0"/>
              <w:right w:val="single" w:color="auto" w:sz="4" w:space="0"/>
            </w:tcBorders>
            <w:shd w:val="clear" w:color="auto" w:fill="auto"/>
            <w:vAlign w:val="center"/>
          </w:tcPr>
          <w:p w14:paraId="4079E4E0">
            <w:pPr>
              <w:pStyle w:val="43"/>
              <w:bidi w:val="0"/>
              <w:rPr>
                <w:rFonts w:hint="default"/>
                <w:lang w:val="en-US" w:eastAsia="zh-CN"/>
              </w:rPr>
            </w:pPr>
            <w:r>
              <w:rPr>
                <w:rFonts w:hint="eastAsia"/>
                <w:lang w:val="en-US" w:eastAsia="zh-CN"/>
              </w:rPr>
              <w:t>项目位于云南省文山州砚山县江那镇铳卡石门坎，项目不属于长江流域，不涉及长江流域生态保护红线、自然保护地、水生生物重要栖息地。项目为建筑用灰岩矿开采加工，不属于航道整治工程。</w:t>
            </w:r>
          </w:p>
        </w:tc>
        <w:tc>
          <w:tcPr>
            <w:tcW w:w="539" w:type="pct"/>
            <w:tcBorders>
              <w:top w:val="single" w:color="auto" w:sz="4" w:space="0"/>
              <w:left w:val="nil"/>
              <w:bottom w:val="single" w:color="auto" w:sz="4" w:space="0"/>
              <w:right w:val="single" w:color="auto" w:sz="4" w:space="0"/>
            </w:tcBorders>
            <w:shd w:val="clear" w:color="auto" w:fill="auto"/>
            <w:vAlign w:val="center"/>
          </w:tcPr>
          <w:p w14:paraId="353BE31C">
            <w:pPr>
              <w:pStyle w:val="43"/>
              <w:bidi w:val="0"/>
              <w:rPr>
                <w:rFonts w:hint="default"/>
                <w:lang w:val="en-US" w:eastAsia="zh-CN"/>
              </w:rPr>
            </w:pPr>
            <w:r>
              <w:rPr>
                <w:rFonts w:hint="eastAsia"/>
                <w:lang w:val="en-US" w:eastAsia="zh-CN"/>
              </w:rPr>
              <w:t>符合</w:t>
            </w:r>
          </w:p>
        </w:tc>
      </w:tr>
      <w:tr w14:paraId="2404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46DC595C">
            <w:pPr>
              <w:pStyle w:val="43"/>
              <w:bidi w:val="0"/>
              <w:rPr>
                <w:rFonts w:hint="default"/>
                <w:lang w:val="en-US" w:eastAsia="zh-CN"/>
              </w:rPr>
            </w:pPr>
            <w:r>
              <w:rPr>
                <w:rFonts w:hint="eastAsia"/>
                <w:lang w:val="en-US" w:eastAsia="zh-CN"/>
              </w:rPr>
              <w:t>第三十八条：加强对高耗水行业、重点用水单位的用水定额管理，严格控制高耗水项目建设。</w:t>
            </w:r>
          </w:p>
        </w:tc>
        <w:tc>
          <w:tcPr>
            <w:tcW w:w="1940" w:type="pct"/>
            <w:tcBorders>
              <w:top w:val="single" w:color="auto" w:sz="4" w:space="0"/>
              <w:left w:val="nil"/>
              <w:bottom w:val="single" w:color="auto" w:sz="4" w:space="0"/>
              <w:right w:val="single" w:color="auto" w:sz="4" w:space="0"/>
            </w:tcBorders>
            <w:shd w:val="clear" w:color="auto" w:fill="auto"/>
            <w:vAlign w:val="center"/>
          </w:tcPr>
          <w:p w14:paraId="3B7BB8F7">
            <w:pPr>
              <w:pStyle w:val="43"/>
              <w:bidi w:val="0"/>
              <w:rPr>
                <w:rFonts w:hint="default"/>
                <w:lang w:val="en-US" w:eastAsia="zh-CN"/>
              </w:rPr>
            </w:pPr>
            <w:r>
              <w:rPr>
                <w:rFonts w:hint="eastAsia"/>
                <w:lang w:val="en-US" w:eastAsia="zh-CN"/>
              </w:rPr>
              <w:t>根据工程分析，项目运营期用水量较小，初期雨水经处理后全部回用于生产，不属于高耗水行业。</w:t>
            </w:r>
          </w:p>
        </w:tc>
        <w:tc>
          <w:tcPr>
            <w:tcW w:w="539" w:type="pct"/>
            <w:tcBorders>
              <w:top w:val="single" w:color="auto" w:sz="4" w:space="0"/>
              <w:left w:val="nil"/>
              <w:bottom w:val="single" w:color="auto" w:sz="4" w:space="0"/>
              <w:right w:val="single" w:color="auto" w:sz="4" w:space="0"/>
            </w:tcBorders>
            <w:shd w:val="clear" w:color="auto" w:fill="auto"/>
            <w:vAlign w:val="center"/>
          </w:tcPr>
          <w:p w14:paraId="50B85BA6">
            <w:pPr>
              <w:pStyle w:val="43"/>
              <w:bidi w:val="0"/>
              <w:rPr>
                <w:rFonts w:hint="default"/>
                <w:lang w:val="en-US" w:eastAsia="zh-CN"/>
              </w:rPr>
            </w:pPr>
            <w:r>
              <w:rPr>
                <w:rFonts w:hint="eastAsia"/>
                <w:lang w:val="en-US" w:eastAsia="zh-CN"/>
              </w:rPr>
              <w:t>符合</w:t>
            </w:r>
          </w:p>
        </w:tc>
      </w:tr>
      <w:tr w14:paraId="2783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67859491">
            <w:pPr>
              <w:pStyle w:val="43"/>
              <w:bidi w:val="0"/>
              <w:rPr>
                <w:rFonts w:hint="default"/>
                <w:lang w:val="en-US" w:eastAsia="zh-CN"/>
              </w:rPr>
            </w:pPr>
            <w:r>
              <w:rPr>
                <w:rFonts w:hint="eastAsia"/>
                <w:lang w:val="en-US" w:eastAsia="zh-CN"/>
              </w:rPr>
              <w:t>第四十六条：磷矿开采加工、磷肥和含磷农药制造等企业，应当按照排污许可要求，采取有效措施控制总磷排放浓度和排放总量；对排污口和周边环境进行总磷监测，依法公开监测信息。</w:t>
            </w:r>
          </w:p>
        </w:tc>
        <w:tc>
          <w:tcPr>
            <w:tcW w:w="1940" w:type="pct"/>
            <w:tcBorders>
              <w:top w:val="single" w:color="auto" w:sz="4" w:space="0"/>
              <w:left w:val="nil"/>
              <w:bottom w:val="single" w:color="auto" w:sz="4" w:space="0"/>
              <w:right w:val="single" w:color="auto" w:sz="4" w:space="0"/>
            </w:tcBorders>
            <w:shd w:val="clear" w:color="auto" w:fill="auto"/>
            <w:vAlign w:val="center"/>
          </w:tcPr>
          <w:p w14:paraId="1EC8C19B">
            <w:pPr>
              <w:pStyle w:val="43"/>
              <w:bidi w:val="0"/>
              <w:rPr>
                <w:rFonts w:hint="eastAsia"/>
                <w:lang w:val="en-US" w:eastAsia="zh-CN"/>
              </w:rPr>
            </w:pPr>
            <w:r>
              <w:rPr>
                <w:rFonts w:hint="eastAsia"/>
                <w:lang w:val="en-US" w:eastAsia="zh-CN"/>
              </w:rPr>
              <w:t>项目为建筑用灰岩矿开采加工，不属于磷矿开采加工、磷肥和含磷农药制造等企业。</w:t>
            </w:r>
          </w:p>
        </w:tc>
        <w:tc>
          <w:tcPr>
            <w:tcW w:w="539" w:type="pct"/>
            <w:tcBorders>
              <w:top w:val="single" w:color="auto" w:sz="4" w:space="0"/>
              <w:left w:val="nil"/>
              <w:bottom w:val="single" w:color="auto" w:sz="4" w:space="0"/>
              <w:right w:val="single" w:color="auto" w:sz="4" w:space="0"/>
            </w:tcBorders>
            <w:shd w:val="clear" w:color="auto" w:fill="auto"/>
            <w:vAlign w:val="center"/>
          </w:tcPr>
          <w:p w14:paraId="36F4782A">
            <w:pPr>
              <w:pStyle w:val="43"/>
              <w:bidi w:val="0"/>
              <w:rPr>
                <w:rFonts w:hint="default"/>
                <w:lang w:val="en-US" w:eastAsia="zh-CN"/>
              </w:rPr>
            </w:pPr>
            <w:r>
              <w:rPr>
                <w:rFonts w:hint="eastAsia"/>
                <w:lang w:val="en-US" w:eastAsia="zh-CN"/>
              </w:rPr>
              <w:t>符合</w:t>
            </w:r>
          </w:p>
        </w:tc>
      </w:tr>
      <w:tr w14:paraId="5614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021C94AC">
            <w:pPr>
              <w:pStyle w:val="43"/>
              <w:bidi w:val="0"/>
              <w:rPr>
                <w:rFonts w:hint="eastAsia"/>
                <w:lang w:val="en-US" w:eastAsia="zh-CN"/>
              </w:rPr>
            </w:pPr>
            <w:r>
              <w:rPr>
                <w:rFonts w:hint="eastAsia"/>
                <w:lang w:val="en-US" w:eastAsia="zh-CN"/>
              </w:rPr>
              <w:t>第四十七条：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tc>
        <w:tc>
          <w:tcPr>
            <w:tcW w:w="1940" w:type="pct"/>
            <w:tcBorders>
              <w:top w:val="single" w:color="auto" w:sz="4" w:space="0"/>
              <w:left w:val="nil"/>
              <w:bottom w:val="single" w:color="auto" w:sz="4" w:space="0"/>
              <w:right w:val="single" w:color="auto" w:sz="4" w:space="0"/>
            </w:tcBorders>
            <w:shd w:val="clear" w:color="auto" w:fill="auto"/>
            <w:vAlign w:val="center"/>
          </w:tcPr>
          <w:p w14:paraId="4BC7AB60">
            <w:pPr>
              <w:pStyle w:val="43"/>
              <w:bidi w:val="0"/>
              <w:rPr>
                <w:rFonts w:hint="default"/>
                <w:lang w:val="en-US" w:eastAsia="zh-CN"/>
              </w:rPr>
            </w:pPr>
            <w:r>
              <w:rPr>
                <w:rFonts w:hint="eastAsia"/>
                <w:lang w:val="en-US" w:eastAsia="zh-CN"/>
              </w:rPr>
              <w:t>项目位于云南省文山州砚山县江那镇铳卡石门坎，不涉及长江流域江河、湖泊。项目各类废水均回用，无废水外排，不设置废水排放口。</w:t>
            </w:r>
          </w:p>
        </w:tc>
        <w:tc>
          <w:tcPr>
            <w:tcW w:w="539" w:type="pct"/>
            <w:tcBorders>
              <w:top w:val="single" w:color="auto" w:sz="4" w:space="0"/>
              <w:left w:val="nil"/>
              <w:bottom w:val="single" w:color="auto" w:sz="4" w:space="0"/>
              <w:right w:val="single" w:color="auto" w:sz="4" w:space="0"/>
            </w:tcBorders>
            <w:shd w:val="clear" w:color="auto" w:fill="auto"/>
            <w:vAlign w:val="center"/>
          </w:tcPr>
          <w:p w14:paraId="32188A6F">
            <w:pPr>
              <w:pStyle w:val="43"/>
              <w:bidi w:val="0"/>
              <w:rPr>
                <w:rFonts w:hint="default"/>
                <w:lang w:val="en-US" w:eastAsia="zh-CN"/>
              </w:rPr>
            </w:pPr>
            <w:r>
              <w:rPr>
                <w:rFonts w:hint="eastAsia"/>
                <w:lang w:val="en-US" w:eastAsia="zh-CN"/>
              </w:rPr>
              <w:t>符合</w:t>
            </w:r>
          </w:p>
        </w:tc>
      </w:tr>
      <w:tr w14:paraId="74FD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7032E708">
            <w:pPr>
              <w:pStyle w:val="43"/>
              <w:bidi w:val="0"/>
              <w:rPr>
                <w:rFonts w:hint="default"/>
                <w:lang w:val="en-US" w:eastAsia="zh-CN"/>
              </w:rPr>
            </w:pPr>
            <w:r>
              <w:rPr>
                <w:rFonts w:hint="eastAsia"/>
                <w:lang w:val="en-US" w:eastAsia="zh-CN"/>
              </w:rPr>
              <w:t>第四十九条：禁止在长江流域河湖管理范围内倾倒、填埋、堆放、弃置、处理固体废物。</w:t>
            </w:r>
          </w:p>
        </w:tc>
        <w:tc>
          <w:tcPr>
            <w:tcW w:w="1940" w:type="pct"/>
            <w:tcBorders>
              <w:top w:val="single" w:color="auto" w:sz="4" w:space="0"/>
              <w:left w:val="nil"/>
              <w:bottom w:val="single" w:color="auto" w:sz="4" w:space="0"/>
              <w:right w:val="single" w:color="auto" w:sz="4" w:space="0"/>
            </w:tcBorders>
            <w:shd w:val="clear" w:color="auto" w:fill="auto"/>
            <w:vAlign w:val="center"/>
          </w:tcPr>
          <w:p w14:paraId="7EB00CE2">
            <w:pPr>
              <w:pStyle w:val="43"/>
              <w:bidi w:val="0"/>
              <w:rPr>
                <w:rFonts w:hint="default"/>
                <w:lang w:val="en-US" w:eastAsia="zh-CN"/>
              </w:rPr>
            </w:pPr>
            <w:r>
              <w:rPr>
                <w:rFonts w:hint="eastAsia"/>
                <w:lang w:val="en-US" w:eastAsia="zh-CN"/>
              </w:rPr>
              <w:t>项目固废均妥善处置，处置率为</w:t>
            </w:r>
            <w:r>
              <w:rPr>
                <w:rFonts w:hint="default"/>
                <w:lang w:val="en-US" w:eastAsia="zh-CN"/>
              </w:rPr>
              <w:t>100%</w:t>
            </w:r>
            <w:r>
              <w:rPr>
                <w:rFonts w:hint="eastAsia"/>
                <w:lang w:val="en-US" w:eastAsia="zh-CN"/>
              </w:rPr>
              <w:t>。</w:t>
            </w:r>
          </w:p>
        </w:tc>
        <w:tc>
          <w:tcPr>
            <w:tcW w:w="539" w:type="pct"/>
            <w:tcBorders>
              <w:top w:val="single" w:color="auto" w:sz="4" w:space="0"/>
              <w:left w:val="nil"/>
              <w:bottom w:val="single" w:color="auto" w:sz="4" w:space="0"/>
              <w:right w:val="single" w:color="auto" w:sz="4" w:space="0"/>
            </w:tcBorders>
            <w:shd w:val="clear" w:color="auto" w:fill="auto"/>
            <w:vAlign w:val="center"/>
          </w:tcPr>
          <w:p w14:paraId="5A5A4B8F">
            <w:pPr>
              <w:pStyle w:val="43"/>
              <w:bidi w:val="0"/>
              <w:rPr>
                <w:rFonts w:hint="default"/>
                <w:lang w:val="en-US" w:eastAsia="zh-CN"/>
              </w:rPr>
            </w:pPr>
            <w:r>
              <w:rPr>
                <w:rFonts w:hint="eastAsia"/>
                <w:lang w:val="en-US" w:eastAsia="zh-CN"/>
              </w:rPr>
              <w:t>符合</w:t>
            </w:r>
          </w:p>
        </w:tc>
      </w:tr>
      <w:tr w14:paraId="7356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20" w:type="pct"/>
            <w:tcBorders>
              <w:top w:val="single" w:color="auto" w:sz="4" w:space="0"/>
              <w:left w:val="single" w:color="auto" w:sz="4" w:space="0"/>
              <w:bottom w:val="single" w:color="auto" w:sz="4" w:space="0"/>
              <w:right w:val="single" w:color="auto" w:sz="4" w:space="0"/>
            </w:tcBorders>
            <w:shd w:val="clear" w:color="auto" w:fill="auto"/>
            <w:vAlign w:val="center"/>
          </w:tcPr>
          <w:p w14:paraId="71BACE14">
            <w:pPr>
              <w:pStyle w:val="43"/>
              <w:bidi w:val="0"/>
              <w:rPr>
                <w:rFonts w:hint="default"/>
                <w:lang w:val="en-US" w:eastAsia="zh-CN"/>
              </w:rPr>
            </w:pPr>
            <w:r>
              <w:rPr>
                <w:rFonts w:hint="eastAsia"/>
                <w:lang w:val="en-US" w:eastAsia="zh-CN"/>
              </w:rPr>
              <w:t>第五十一条：禁止在长江流域水上运输剧毒化学品和国家规定禁止通过内河运输的其他危险化学品。</w:t>
            </w:r>
          </w:p>
        </w:tc>
        <w:tc>
          <w:tcPr>
            <w:tcW w:w="1940" w:type="pct"/>
            <w:tcBorders>
              <w:top w:val="single" w:color="auto" w:sz="4" w:space="0"/>
              <w:left w:val="nil"/>
              <w:bottom w:val="single" w:color="auto" w:sz="4" w:space="0"/>
              <w:right w:val="single" w:color="auto" w:sz="4" w:space="0"/>
            </w:tcBorders>
            <w:shd w:val="clear" w:color="auto" w:fill="auto"/>
            <w:vAlign w:val="center"/>
          </w:tcPr>
          <w:p w14:paraId="7764795F">
            <w:pPr>
              <w:pStyle w:val="43"/>
              <w:bidi w:val="0"/>
              <w:rPr>
                <w:rFonts w:hint="default"/>
                <w:lang w:val="en-US" w:eastAsia="zh-CN"/>
              </w:rPr>
            </w:pPr>
            <w:r>
              <w:rPr>
                <w:rFonts w:hint="eastAsia"/>
                <w:lang w:val="en-US" w:eastAsia="zh-CN"/>
              </w:rPr>
              <w:t>本项目不涉及水上运输和内河运输危险化学品的行为。</w:t>
            </w:r>
          </w:p>
        </w:tc>
        <w:tc>
          <w:tcPr>
            <w:tcW w:w="539" w:type="pct"/>
            <w:tcBorders>
              <w:top w:val="single" w:color="auto" w:sz="4" w:space="0"/>
              <w:left w:val="nil"/>
              <w:bottom w:val="single" w:color="auto" w:sz="4" w:space="0"/>
              <w:right w:val="single" w:color="auto" w:sz="4" w:space="0"/>
            </w:tcBorders>
            <w:shd w:val="clear" w:color="auto" w:fill="auto"/>
            <w:vAlign w:val="center"/>
          </w:tcPr>
          <w:p w14:paraId="72E22807">
            <w:pPr>
              <w:pStyle w:val="43"/>
              <w:bidi w:val="0"/>
              <w:rPr>
                <w:rFonts w:hint="default"/>
                <w:lang w:val="en-US" w:eastAsia="zh-CN"/>
              </w:rPr>
            </w:pPr>
            <w:r>
              <w:rPr>
                <w:rFonts w:hint="eastAsia"/>
                <w:lang w:val="en-US" w:eastAsia="zh-CN"/>
              </w:rPr>
              <w:t>符合</w:t>
            </w:r>
          </w:p>
        </w:tc>
      </w:tr>
    </w:tbl>
    <w:p w14:paraId="7FBE0A8C">
      <w:pPr>
        <w:pStyle w:val="41"/>
        <w:bidi w:val="0"/>
        <w:rPr>
          <w:rFonts w:hint="eastAsia"/>
          <w:lang w:val="en-US" w:eastAsia="zh-CN"/>
        </w:rPr>
      </w:pPr>
      <w:r>
        <w:rPr>
          <w:rFonts w:hint="eastAsia"/>
          <w:lang w:val="en-US" w:eastAsia="zh-CN"/>
        </w:rPr>
        <w:t>根据上表分析可知，项目与《中华人民共和国长江保护法》要求相符。</w:t>
      </w:r>
    </w:p>
    <w:p w14:paraId="685E73B9">
      <w:pPr>
        <w:pStyle w:val="4"/>
        <w:bidi w:val="0"/>
        <w:rPr>
          <w:rFonts w:hint="eastAsia"/>
        </w:rPr>
      </w:pPr>
      <w:bookmarkStart w:id="588" w:name="_Toc23809"/>
      <w:bookmarkStart w:id="589" w:name="_Toc6161"/>
      <w:r>
        <w:rPr>
          <w:rFonts w:hint="eastAsia"/>
          <w:lang w:val="en-US" w:eastAsia="zh-CN"/>
        </w:rPr>
        <w:t>与《长江经济带发展负面清单指南（试行，2022年版）》符合性分析</w:t>
      </w:r>
      <w:bookmarkEnd w:id="588"/>
      <w:bookmarkEnd w:id="589"/>
    </w:p>
    <w:p w14:paraId="4D0EB1E7">
      <w:pPr>
        <w:pStyle w:val="41"/>
        <w:bidi w:val="0"/>
        <w:rPr>
          <w:rFonts w:hint="default"/>
          <w:lang w:val="zh-CN"/>
        </w:rPr>
      </w:pPr>
      <w:r>
        <w:rPr>
          <w:rFonts w:hint="default"/>
          <w:lang w:val="zh-CN"/>
        </w:rPr>
        <w:t>本项目与</w:t>
      </w:r>
      <w:r>
        <w:rPr>
          <w:rFonts w:hint="default"/>
          <w:lang w:val="en-US" w:eastAsia="zh-CN"/>
        </w:rPr>
        <w:t>《长江经济带发展负面清单指南（试行</w:t>
      </w:r>
      <w:r>
        <w:rPr>
          <w:rFonts w:hint="eastAsia"/>
          <w:lang w:val="en-US" w:eastAsia="zh-CN"/>
        </w:rPr>
        <w:t>，</w:t>
      </w:r>
      <w:r>
        <w:rPr>
          <w:rFonts w:hint="default"/>
          <w:lang w:val="en-US" w:eastAsia="zh-CN"/>
        </w:rPr>
        <w:t>2022年版）》</w:t>
      </w:r>
      <w:r>
        <w:rPr>
          <w:rFonts w:hint="default"/>
          <w:lang w:val="zh-CN"/>
        </w:rPr>
        <w:t>的符合性见表</w:t>
      </w:r>
      <w:r>
        <w:rPr>
          <w:rFonts w:hint="eastAsia"/>
          <w:lang w:val="en-US" w:eastAsia="zh-CN"/>
        </w:rPr>
        <w:t>9.9-2</w:t>
      </w:r>
      <w:r>
        <w:rPr>
          <w:rFonts w:hint="default"/>
          <w:lang w:val="zh-CN"/>
        </w:rPr>
        <w:t>。</w:t>
      </w:r>
    </w:p>
    <w:p w14:paraId="4F9673DB">
      <w:pPr>
        <w:pStyle w:val="45"/>
        <w:bidi w:val="0"/>
        <w:rPr>
          <w:rFonts w:hint="eastAsia"/>
          <w:lang w:val="en-US" w:eastAsia="zh-CN"/>
        </w:rPr>
      </w:pPr>
      <w:r>
        <w:rPr>
          <w:rFonts w:hint="default"/>
        </w:rPr>
        <w:t>表</w:t>
      </w:r>
      <w:r>
        <w:rPr>
          <w:rFonts w:hint="eastAsia"/>
          <w:lang w:val="en-US" w:eastAsia="zh-CN"/>
        </w:rPr>
        <w:t xml:space="preserve">9.9-2 </w:t>
      </w:r>
      <w:r>
        <w:rPr>
          <w:rFonts w:hint="default"/>
        </w:rPr>
        <w:t xml:space="preserve"> 项目与长江经济带发展负面清单符合性</w:t>
      </w:r>
      <w:r>
        <w:rPr>
          <w:rFonts w:hint="eastAsia"/>
          <w:lang w:val="en-US" w:eastAsia="zh-CN"/>
        </w:rPr>
        <w:t>分析</w:t>
      </w:r>
    </w:p>
    <w:tbl>
      <w:tblPr>
        <w:tblStyle w:val="3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711"/>
        <w:gridCol w:w="3068"/>
        <w:gridCol w:w="542"/>
      </w:tblGrid>
      <w:tr w14:paraId="4AB7D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DB05BC">
            <w:pPr>
              <w:pStyle w:val="43"/>
              <w:bidi w:val="0"/>
              <w:rPr>
                <w:rFonts w:hint="eastAsia"/>
              </w:rPr>
            </w:pPr>
            <w:r>
              <w:rPr>
                <w:rFonts w:hint="eastAsia"/>
              </w:rPr>
              <w:t>具体要求</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9BE4A4">
            <w:pPr>
              <w:pStyle w:val="43"/>
              <w:bidi w:val="0"/>
              <w:rPr>
                <w:rFonts w:hint="eastAsia"/>
              </w:rPr>
            </w:pPr>
            <w:r>
              <w:rPr>
                <w:rFonts w:hint="eastAsia"/>
              </w:rPr>
              <w:t>本项目</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C20BFD">
            <w:pPr>
              <w:pStyle w:val="43"/>
              <w:bidi w:val="0"/>
              <w:rPr>
                <w:rFonts w:hint="eastAsia"/>
              </w:rPr>
            </w:pPr>
            <w:r>
              <w:rPr>
                <w:rFonts w:hint="eastAsia"/>
              </w:rPr>
              <w:t>符合性</w:t>
            </w:r>
          </w:p>
        </w:tc>
      </w:tr>
      <w:tr w14:paraId="04F0C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B4D685">
            <w:pPr>
              <w:pStyle w:val="43"/>
              <w:bidi w:val="0"/>
              <w:rPr>
                <w:rFonts w:hint="eastAsia"/>
              </w:rPr>
            </w:pPr>
            <w:r>
              <w:rPr>
                <w:rFonts w:hint="eastAsia"/>
              </w:rPr>
              <w:t>1.禁止建设不符合全国和省级港口布局规划以及港口总体规划的码头项目</w:t>
            </w:r>
            <w:r>
              <w:rPr>
                <w:rFonts w:hint="eastAsia"/>
                <w:lang w:eastAsia="zh-CN"/>
              </w:rPr>
              <w:t>，</w:t>
            </w:r>
            <w:r>
              <w:rPr>
                <w:rFonts w:hint="eastAsia"/>
              </w:rPr>
              <w:t>禁止建设不符合《长江干线过江通道布局规划》的过长江通道项目。</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79FC2F">
            <w:pPr>
              <w:pStyle w:val="43"/>
              <w:bidi w:val="0"/>
              <w:rPr>
                <w:rFonts w:hint="eastAsia"/>
                <w:lang w:val="en-US"/>
              </w:rPr>
            </w:pPr>
            <w:r>
              <w:rPr>
                <w:rFonts w:hint="eastAsia"/>
                <w:lang w:val="en-US"/>
              </w:rPr>
              <w:t>本项目不属于码头、港口、通道等建设项目。</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3547AA">
            <w:pPr>
              <w:pStyle w:val="43"/>
              <w:bidi w:val="0"/>
              <w:rPr>
                <w:rFonts w:hint="eastAsia"/>
              </w:rPr>
            </w:pPr>
            <w:r>
              <w:rPr>
                <w:rFonts w:hint="eastAsia"/>
              </w:rPr>
              <w:t>符合</w:t>
            </w:r>
          </w:p>
        </w:tc>
      </w:tr>
      <w:tr w14:paraId="6E65B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D2F715">
            <w:pPr>
              <w:pStyle w:val="43"/>
              <w:bidi w:val="0"/>
              <w:rPr>
                <w:rFonts w:hint="eastAsia"/>
              </w:rPr>
            </w:pPr>
            <w:r>
              <w:rPr>
                <w:rFonts w:hint="eastAsia"/>
              </w:rPr>
              <w:t>2.禁止在自然保护区核心区、缓冲区的岸线和河段范围内投资建设旅游和生产经营项目。禁止在风景名胜区核心景区的岸线和河段范围内投资建设与风景名胜资源保护无关的项目。</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727821">
            <w:pPr>
              <w:pStyle w:val="43"/>
              <w:bidi w:val="0"/>
              <w:rPr>
                <w:rFonts w:hint="eastAsia"/>
                <w:lang w:val="en-US"/>
              </w:rPr>
            </w:pPr>
            <w:r>
              <w:rPr>
                <w:rFonts w:hint="eastAsia"/>
                <w:lang w:val="en-US" w:eastAsia="zh-CN"/>
              </w:rPr>
              <w:t>项目</w:t>
            </w:r>
            <w:r>
              <w:rPr>
                <w:rFonts w:hint="eastAsia"/>
                <w:lang w:val="en-US"/>
              </w:rPr>
              <w:t>不涉及自然保护区和风景名胜区。</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5F47E">
            <w:pPr>
              <w:pStyle w:val="43"/>
              <w:bidi w:val="0"/>
              <w:rPr>
                <w:rFonts w:hint="eastAsia"/>
              </w:rPr>
            </w:pPr>
            <w:r>
              <w:rPr>
                <w:rFonts w:hint="eastAsia"/>
              </w:rPr>
              <w:t>符合</w:t>
            </w:r>
          </w:p>
        </w:tc>
      </w:tr>
      <w:tr w14:paraId="6247F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3238FC">
            <w:pPr>
              <w:pStyle w:val="43"/>
              <w:bidi w:val="0"/>
              <w:rPr>
                <w:rFonts w:hint="eastAsia"/>
              </w:rPr>
            </w:pPr>
            <w:r>
              <w:rPr>
                <w:rFonts w:hint="eastAsia"/>
              </w:rPr>
              <w:t>3.禁止在饮用水水源一级保护区的岸线和河段范围内新建、改建、扩建与供水设施和保护水源无关的项目</w:t>
            </w:r>
            <w:r>
              <w:rPr>
                <w:rFonts w:hint="eastAsia"/>
                <w:lang w:eastAsia="zh-CN"/>
              </w:rPr>
              <w:t>，</w:t>
            </w:r>
            <w:r>
              <w:rPr>
                <w:rFonts w:hint="eastAsia"/>
              </w:rPr>
              <w:t>以及网箱养殖、畜禽养殖、旅游等可能污染饮用水水体的投资建设项目。禁止在饮用水水源二级保护区的岸线和河段范围内新建、改建、扩建排放污染物的投资建设项目。</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19CD1D">
            <w:pPr>
              <w:pStyle w:val="43"/>
              <w:bidi w:val="0"/>
              <w:rPr>
                <w:rFonts w:hint="eastAsia"/>
                <w:lang w:val="en-US"/>
              </w:rPr>
            </w:pPr>
            <w:r>
              <w:rPr>
                <w:rFonts w:hint="eastAsia"/>
                <w:lang w:val="en-US" w:eastAsia="zh-CN"/>
              </w:rPr>
              <w:t>项目</w:t>
            </w:r>
            <w:r>
              <w:rPr>
                <w:rFonts w:hint="eastAsia"/>
                <w:lang w:val="en-US"/>
              </w:rPr>
              <w:t>不涉及饮用水水源保护区。</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0B8E57">
            <w:pPr>
              <w:pStyle w:val="43"/>
              <w:bidi w:val="0"/>
              <w:rPr>
                <w:rFonts w:hint="eastAsia"/>
              </w:rPr>
            </w:pPr>
            <w:r>
              <w:rPr>
                <w:rFonts w:hint="eastAsia"/>
              </w:rPr>
              <w:t>符合</w:t>
            </w:r>
          </w:p>
        </w:tc>
      </w:tr>
      <w:tr w14:paraId="0E723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86B64D">
            <w:pPr>
              <w:pStyle w:val="43"/>
              <w:bidi w:val="0"/>
              <w:rPr>
                <w:rFonts w:hint="eastAsia"/>
              </w:rPr>
            </w:pPr>
            <w:r>
              <w:rPr>
                <w:rFonts w:hint="eastAsia"/>
              </w:rPr>
              <w:t>4.禁止在水产种质资源保护区的岸线和河段范围内新建围湖造田、围海造地或围填海等投资建设项目。禁止在国家湿地公园的岸线和河段范围内挖沙、采矿</w:t>
            </w:r>
            <w:r>
              <w:rPr>
                <w:rFonts w:hint="eastAsia"/>
                <w:lang w:eastAsia="zh-CN"/>
              </w:rPr>
              <w:t>，</w:t>
            </w:r>
            <w:r>
              <w:rPr>
                <w:rFonts w:hint="eastAsia"/>
              </w:rPr>
              <w:t>以及任何不符合主体功能定位的投资建设项目。</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EA9E14">
            <w:pPr>
              <w:pStyle w:val="43"/>
              <w:bidi w:val="0"/>
              <w:rPr>
                <w:rFonts w:hint="eastAsia"/>
              </w:rPr>
            </w:pPr>
            <w:r>
              <w:rPr>
                <w:rFonts w:hint="eastAsia"/>
                <w:lang w:val="en-US" w:eastAsia="zh-CN"/>
              </w:rPr>
              <w:t>项目</w:t>
            </w:r>
            <w:r>
              <w:rPr>
                <w:rFonts w:hint="eastAsia"/>
              </w:rPr>
              <w:t>不涉及水产种质资源保护区及国家湿地公园。</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2CADB0">
            <w:pPr>
              <w:pStyle w:val="43"/>
              <w:bidi w:val="0"/>
              <w:rPr>
                <w:rFonts w:hint="eastAsia"/>
              </w:rPr>
            </w:pPr>
            <w:r>
              <w:rPr>
                <w:rFonts w:hint="eastAsia"/>
              </w:rPr>
              <w:t>符合</w:t>
            </w:r>
          </w:p>
        </w:tc>
      </w:tr>
      <w:tr w14:paraId="06862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1784A7">
            <w:pPr>
              <w:pStyle w:val="43"/>
              <w:bidi w:val="0"/>
              <w:rPr>
                <w:rFonts w:hint="eastAsia"/>
              </w:rPr>
            </w:pPr>
            <w:r>
              <w:rPr>
                <w:rFonts w:hint="eastAsia"/>
              </w:rPr>
              <w:t>5.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D58C53">
            <w:pPr>
              <w:pStyle w:val="43"/>
              <w:bidi w:val="0"/>
              <w:rPr>
                <w:rFonts w:hint="eastAsia"/>
              </w:rPr>
            </w:pPr>
            <w:r>
              <w:rPr>
                <w:rFonts w:hint="eastAsia"/>
              </w:rPr>
              <w:t>本项目不在《长江岸线保护和开发利用总体规划》划定的岸线保护区以及《全国重要江河湖泊水功能区划》划定的河段保护区、保留区内。</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DEB336">
            <w:pPr>
              <w:pStyle w:val="43"/>
              <w:bidi w:val="0"/>
              <w:rPr>
                <w:rFonts w:hint="eastAsia"/>
              </w:rPr>
            </w:pPr>
            <w:r>
              <w:rPr>
                <w:rFonts w:hint="eastAsia"/>
              </w:rPr>
              <w:t>符合</w:t>
            </w:r>
          </w:p>
        </w:tc>
      </w:tr>
      <w:tr w14:paraId="274D6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83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7FDFEB">
            <w:pPr>
              <w:pStyle w:val="43"/>
              <w:bidi w:val="0"/>
              <w:rPr>
                <w:rFonts w:hint="eastAsia"/>
              </w:rPr>
            </w:pPr>
            <w:r>
              <w:rPr>
                <w:rFonts w:hint="eastAsia"/>
              </w:rPr>
              <w:t>6.禁止未经许可在长江干支流及湖泊新设、改设或扩大排污口。</w:t>
            </w:r>
          </w:p>
        </w:tc>
        <w:tc>
          <w:tcPr>
            <w:tcW w:w="184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563536">
            <w:pPr>
              <w:pStyle w:val="43"/>
              <w:bidi w:val="0"/>
              <w:rPr>
                <w:rFonts w:hint="eastAsia"/>
              </w:rPr>
            </w:pPr>
            <w:r>
              <w:rPr>
                <w:rFonts w:hint="eastAsia"/>
              </w:rPr>
              <w:t>本项目未在长江干支流及湖泊新设、改设或扩大排污口。</w:t>
            </w:r>
          </w:p>
        </w:tc>
        <w:tc>
          <w:tcPr>
            <w:tcW w:w="32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7ECAE7">
            <w:pPr>
              <w:pStyle w:val="43"/>
              <w:bidi w:val="0"/>
              <w:rPr>
                <w:rFonts w:hint="eastAsia"/>
              </w:rPr>
            </w:pPr>
            <w:r>
              <w:rPr>
                <w:rFonts w:hint="eastAsia"/>
              </w:rPr>
              <w:t>符合</w:t>
            </w:r>
          </w:p>
        </w:tc>
      </w:tr>
      <w:tr w14:paraId="1ACC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3E7B95">
            <w:pPr>
              <w:pStyle w:val="43"/>
              <w:bidi w:val="0"/>
              <w:rPr>
                <w:rFonts w:hint="eastAsia"/>
              </w:rPr>
            </w:pPr>
            <w:r>
              <w:rPr>
                <w:rFonts w:hint="eastAsia"/>
              </w:rPr>
              <w:t>7.禁止在</w:t>
            </w:r>
            <w:r>
              <w:rPr>
                <w:rFonts w:hint="eastAsia"/>
                <w:lang w:eastAsia="zh-CN"/>
              </w:rPr>
              <w:t>“</w:t>
            </w:r>
            <w:r>
              <w:rPr>
                <w:rFonts w:hint="eastAsia"/>
              </w:rPr>
              <w:t>一江一口两湖七河</w:t>
            </w:r>
            <w:r>
              <w:rPr>
                <w:rFonts w:hint="eastAsia"/>
                <w:lang w:eastAsia="zh-CN"/>
              </w:rPr>
              <w:t>”</w:t>
            </w:r>
            <w:r>
              <w:rPr>
                <w:rFonts w:hint="eastAsia"/>
              </w:rPr>
              <w:t>和332个水生生物保护区开展生产性捕捞。</w:t>
            </w:r>
          </w:p>
        </w:tc>
        <w:tc>
          <w:tcPr>
            <w:tcW w:w="184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013E2C">
            <w:pPr>
              <w:pStyle w:val="43"/>
              <w:bidi w:val="0"/>
              <w:rPr>
                <w:rFonts w:hint="eastAsia"/>
              </w:rPr>
            </w:pPr>
            <w:r>
              <w:rPr>
                <w:rFonts w:hint="eastAsia"/>
              </w:rPr>
              <w:t>本项目不涉及水生生物捕捞。</w:t>
            </w:r>
          </w:p>
        </w:tc>
        <w:tc>
          <w:tcPr>
            <w:tcW w:w="3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2E7274">
            <w:pPr>
              <w:pStyle w:val="43"/>
              <w:bidi w:val="0"/>
              <w:rPr>
                <w:rFonts w:hint="eastAsia"/>
              </w:rPr>
            </w:pPr>
            <w:r>
              <w:rPr>
                <w:rFonts w:hint="eastAsia"/>
              </w:rPr>
              <w:t>符合</w:t>
            </w:r>
          </w:p>
        </w:tc>
      </w:tr>
      <w:tr w14:paraId="7613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B1B8FF">
            <w:pPr>
              <w:pStyle w:val="43"/>
              <w:bidi w:val="0"/>
              <w:rPr>
                <w:rFonts w:hint="eastAsia"/>
              </w:rPr>
            </w:pPr>
            <w:r>
              <w:rPr>
                <w:rFonts w:hint="eastAsia"/>
              </w:rPr>
              <w:t>8.禁止在长江干支流、重要湖泊岸线一公里范围内新建、扩建化工园区和化工项目。禁止在长江干流岸线三公里范围内和重要支流岸线一公里范围内新建、改建、扩建尾矿库、冶炼渣库和磷石膏库</w:t>
            </w:r>
            <w:r>
              <w:rPr>
                <w:rFonts w:hint="eastAsia"/>
                <w:lang w:eastAsia="zh-CN"/>
              </w:rPr>
              <w:t>，</w:t>
            </w:r>
            <w:r>
              <w:rPr>
                <w:rFonts w:hint="eastAsia"/>
              </w:rPr>
              <w:t>以提升安全、生态环境保护水平为目的的改建除外。</w:t>
            </w:r>
          </w:p>
        </w:tc>
        <w:tc>
          <w:tcPr>
            <w:tcW w:w="184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C75B10">
            <w:pPr>
              <w:pStyle w:val="43"/>
              <w:bidi w:val="0"/>
              <w:rPr>
                <w:rFonts w:hint="eastAsia"/>
              </w:rPr>
            </w:pPr>
            <w:r>
              <w:rPr>
                <w:rFonts w:hint="eastAsia"/>
              </w:rPr>
              <w:t>本项目不在长江干支流、重要湖泊岸线一公里范围内。</w:t>
            </w:r>
          </w:p>
        </w:tc>
        <w:tc>
          <w:tcPr>
            <w:tcW w:w="3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1615DE">
            <w:pPr>
              <w:pStyle w:val="43"/>
              <w:bidi w:val="0"/>
              <w:rPr>
                <w:rFonts w:hint="eastAsia"/>
              </w:rPr>
            </w:pPr>
            <w:r>
              <w:rPr>
                <w:rFonts w:hint="eastAsia"/>
              </w:rPr>
              <w:t>符合</w:t>
            </w:r>
          </w:p>
        </w:tc>
      </w:tr>
      <w:tr w14:paraId="0F31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5D3EE8">
            <w:pPr>
              <w:pStyle w:val="43"/>
              <w:bidi w:val="0"/>
              <w:rPr>
                <w:rFonts w:hint="eastAsia"/>
              </w:rPr>
            </w:pPr>
            <w:r>
              <w:rPr>
                <w:rFonts w:hint="eastAsia"/>
                <w:lang w:eastAsia="zh-CN"/>
              </w:rPr>
              <w:t>8.</w:t>
            </w:r>
            <w:r>
              <w:rPr>
                <w:rFonts w:hint="eastAsia"/>
              </w:rPr>
              <w:t>禁止在合规园区外新建、扩建钢铁、石化、化工、焦化、建材、有色、制浆造纸等高污染项目。</w:t>
            </w:r>
          </w:p>
        </w:tc>
        <w:tc>
          <w:tcPr>
            <w:tcW w:w="184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9E9EF9">
            <w:pPr>
              <w:pStyle w:val="43"/>
              <w:bidi w:val="0"/>
              <w:rPr>
                <w:rFonts w:hint="eastAsia"/>
              </w:rPr>
            </w:pPr>
            <w:r>
              <w:rPr>
                <w:rFonts w:hint="eastAsia"/>
                <w:lang w:val="en-US" w:eastAsia="zh-CN"/>
              </w:rPr>
              <w:t>项目为建筑用灰岩矿开采加工</w:t>
            </w:r>
            <w:r>
              <w:rPr>
                <w:rFonts w:hint="eastAsia"/>
                <w:lang w:eastAsia="zh-CN"/>
              </w:rPr>
              <w:t>，</w:t>
            </w:r>
            <w:r>
              <w:rPr>
                <w:rFonts w:hint="eastAsia"/>
              </w:rPr>
              <w:t>不属于高污染项目。</w:t>
            </w:r>
          </w:p>
        </w:tc>
        <w:tc>
          <w:tcPr>
            <w:tcW w:w="3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632E98">
            <w:pPr>
              <w:pStyle w:val="43"/>
              <w:bidi w:val="0"/>
              <w:rPr>
                <w:rFonts w:hint="eastAsia"/>
              </w:rPr>
            </w:pPr>
            <w:r>
              <w:rPr>
                <w:rFonts w:hint="eastAsia"/>
              </w:rPr>
              <w:t>符合</w:t>
            </w:r>
          </w:p>
        </w:tc>
      </w:tr>
      <w:tr w14:paraId="00B8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1505B4">
            <w:pPr>
              <w:pStyle w:val="43"/>
              <w:bidi w:val="0"/>
              <w:rPr>
                <w:rFonts w:hint="eastAsia"/>
              </w:rPr>
            </w:pPr>
            <w:r>
              <w:rPr>
                <w:rFonts w:hint="eastAsia"/>
              </w:rPr>
              <w:t>10.禁止新建、扩建不符合国家石化、现代煤化工等产业布局规划的项目。</w:t>
            </w:r>
          </w:p>
        </w:tc>
        <w:tc>
          <w:tcPr>
            <w:tcW w:w="184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7099D7">
            <w:pPr>
              <w:pStyle w:val="43"/>
              <w:bidi w:val="0"/>
              <w:rPr>
                <w:rFonts w:hint="eastAsia"/>
              </w:rPr>
            </w:pPr>
            <w:r>
              <w:rPr>
                <w:rFonts w:hint="eastAsia"/>
              </w:rPr>
              <w:t>项目不属于石化、现代煤化工行业。</w:t>
            </w:r>
          </w:p>
        </w:tc>
        <w:tc>
          <w:tcPr>
            <w:tcW w:w="3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3ED3AC">
            <w:pPr>
              <w:pStyle w:val="43"/>
              <w:bidi w:val="0"/>
              <w:rPr>
                <w:rFonts w:hint="eastAsia"/>
              </w:rPr>
            </w:pPr>
            <w:r>
              <w:rPr>
                <w:rFonts w:hint="eastAsia"/>
              </w:rPr>
              <w:t>符合</w:t>
            </w:r>
          </w:p>
        </w:tc>
      </w:tr>
      <w:tr w14:paraId="3A3A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83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DB736C">
            <w:pPr>
              <w:pStyle w:val="43"/>
              <w:bidi w:val="0"/>
              <w:rPr>
                <w:rFonts w:hint="eastAsia"/>
              </w:rPr>
            </w:pPr>
            <w:r>
              <w:rPr>
                <w:rFonts w:hint="eastAsia"/>
              </w:rPr>
              <w:t>11.禁止新建、扩建法律法规和相关政策明令禁止的落后产能项目</w:t>
            </w:r>
            <w:r>
              <w:rPr>
                <w:rFonts w:hint="eastAsia"/>
                <w:lang w:eastAsia="zh-CN"/>
              </w:rPr>
              <w:t>，</w:t>
            </w:r>
            <w:r>
              <w:rPr>
                <w:rFonts w:hint="eastAsia"/>
              </w:rPr>
              <w:t>禁止新建、扩建不符合国家产能置换要求的严重过剩产能行业的项目。禁止新建、扩建不符合要求的高耗能高排放项目。</w:t>
            </w:r>
          </w:p>
        </w:tc>
        <w:tc>
          <w:tcPr>
            <w:tcW w:w="184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18D864">
            <w:pPr>
              <w:pStyle w:val="43"/>
              <w:bidi w:val="0"/>
              <w:rPr>
                <w:rFonts w:hint="eastAsia"/>
              </w:rPr>
            </w:pPr>
            <w:r>
              <w:rPr>
                <w:rFonts w:hint="eastAsia"/>
              </w:rPr>
              <w:t>本项目不属于严重过剩产能行业的项目</w:t>
            </w:r>
            <w:r>
              <w:rPr>
                <w:rFonts w:hint="eastAsia"/>
                <w:lang w:eastAsia="zh-CN"/>
              </w:rPr>
              <w:t>，</w:t>
            </w:r>
            <w:r>
              <w:rPr>
                <w:rFonts w:hint="eastAsia"/>
              </w:rPr>
              <w:t>不属于高耗能高排放项目</w:t>
            </w:r>
          </w:p>
        </w:tc>
        <w:tc>
          <w:tcPr>
            <w:tcW w:w="3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34C4B7">
            <w:pPr>
              <w:pStyle w:val="43"/>
              <w:bidi w:val="0"/>
              <w:rPr>
                <w:rFonts w:hint="eastAsia"/>
              </w:rPr>
            </w:pPr>
            <w:r>
              <w:rPr>
                <w:rFonts w:hint="eastAsia"/>
              </w:rPr>
              <w:t>符合</w:t>
            </w:r>
          </w:p>
        </w:tc>
      </w:tr>
    </w:tbl>
    <w:p w14:paraId="501B3F9F">
      <w:pPr>
        <w:pStyle w:val="41"/>
        <w:bidi w:val="0"/>
        <w:rPr>
          <w:rFonts w:hint="eastAsia"/>
        </w:rPr>
      </w:pPr>
      <w:r>
        <w:rPr>
          <w:rFonts w:hint="eastAsia"/>
          <w:lang w:val="en-US" w:eastAsia="zh-CN"/>
        </w:rPr>
        <w:t>根据上表可知</w:t>
      </w:r>
      <w:r>
        <w:rPr>
          <w:rFonts w:hint="eastAsia"/>
          <w:lang w:val="zh-CN" w:eastAsia="zh-CN"/>
        </w:rPr>
        <w:t>，</w:t>
      </w:r>
      <w:r>
        <w:rPr>
          <w:rFonts w:hint="default"/>
          <w:lang w:val="zh-CN" w:eastAsia="zh-CN"/>
        </w:rPr>
        <w:t>项目建设符合</w:t>
      </w:r>
      <w:r>
        <w:rPr>
          <w:rFonts w:hint="default"/>
          <w:lang w:val="en-US" w:eastAsia="zh-CN"/>
        </w:rPr>
        <w:t>《长江经济带发展负面清单指南（试行</w:t>
      </w:r>
      <w:r>
        <w:rPr>
          <w:rFonts w:hint="eastAsia"/>
          <w:lang w:val="en-US" w:eastAsia="zh-CN"/>
        </w:rPr>
        <w:t>，</w:t>
      </w:r>
      <w:r>
        <w:rPr>
          <w:rFonts w:hint="default"/>
          <w:lang w:val="en-US" w:eastAsia="zh-CN"/>
        </w:rPr>
        <w:t>2022年版）》</w:t>
      </w:r>
      <w:r>
        <w:rPr>
          <w:rFonts w:hint="default"/>
          <w:lang w:val="zh-CN" w:eastAsia="zh-CN"/>
        </w:rPr>
        <w:t>的相关要求</w:t>
      </w:r>
      <w:r>
        <w:rPr>
          <w:rFonts w:hint="eastAsia"/>
          <w:lang w:val="en-US" w:eastAsia="zh-CN"/>
        </w:rPr>
        <w:t>。</w:t>
      </w:r>
    </w:p>
    <w:p w14:paraId="46850DEC">
      <w:pPr>
        <w:pStyle w:val="4"/>
        <w:bidi w:val="0"/>
        <w:rPr>
          <w:rFonts w:hint="eastAsia"/>
        </w:rPr>
      </w:pPr>
      <w:bookmarkStart w:id="590" w:name="_Toc18261"/>
      <w:bookmarkStart w:id="591" w:name="_Toc5624"/>
      <w:r>
        <w:rPr>
          <w:rFonts w:hint="eastAsia"/>
        </w:rPr>
        <w:t>与《云南省长江经济带发展负面清单指南实施细则（试行</w:t>
      </w:r>
      <w:r>
        <w:rPr>
          <w:rFonts w:hint="eastAsia"/>
          <w:lang w:eastAsia="zh-CN"/>
        </w:rPr>
        <w:t>，</w:t>
      </w:r>
      <w:r>
        <w:rPr>
          <w:rFonts w:hint="eastAsia"/>
        </w:rPr>
        <w:t>2022年版）》符合性分析</w:t>
      </w:r>
      <w:bookmarkEnd w:id="590"/>
      <w:bookmarkEnd w:id="591"/>
    </w:p>
    <w:p w14:paraId="718F4C8E">
      <w:pPr>
        <w:pStyle w:val="41"/>
        <w:bidi w:val="0"/>
        <w:rPr>
          <w:rFonts w:hint="default" w:ascii="Times New Roman" w:hAnsi="Times New Roman" w:eastAsia="宋体" w:cs="Times New Roman"/>
          <w:b/>
          <w:bCs/>
          <w:color w:val="000000" w:themeColor="text1"/>
          <w:kern w:val="0"/>
          <w:highlight w:val="none"/>
          <w:lang w:val="en-US" w:eastAsia="zh-CN"/>
          <w14:textFill>
            <w14:solidFill>
              <w14:schemeClr w14:val="tx1"/>
            </w14:solidFill>
          </w14:textFill>
        </w:rPr>
      </w:pPr>
      <w:r>
        <w:rPr>
          <w:rFonts w:hint="eastAsia"/>
          <w:lang w:val="en-US" w:eastAsia="zh-CN"/>
        </w:rPr>
        <w:t>项目与《云南省长江经济带发展负面清单指南实施细则（试行，2022年版）》符合性分析如下表所示。</w:t>
      </w:r>
    </w:p>
    <w:p w14:paraId="235FAB27">
      <w:pPr>
        <w:pStyle w:val="45"/>
        <w:bidi w:val="0"/>
        <w:rPr>
          <w:rFonts w:hint="default"/>
          <w:lang w:val="en-US" w:eastAsia="zh-CN"/>
        </w:rPr>
      </w:pPr>
      <w:r>
        <w:rPr>
          <w:rFonts w:hint="default"/>
          <w:lang w:val="en-US" w:eastAsia="zh-CN"/>
        </w:rPr>
        <w:t>表</w:t>
      </w:r>
      <w:r>
        <w:rPr>
          <w:rFonts w:hint="eastAsia"/>
          <w:lang w:val="en-US" w:eastAsia="zh-CN"/>
        </w:rPr>
        <w:t>9.9-3  项目与</w:t>
      </w:r>
      <w:r>
        <w:rPr>
          <w:rFonts w:hint="default"/>
          <w:lang w:val="en-US" w:eastAsia="zh-CN"/>
        </w:rPr>
        <w:t>《云南省长江经济带发展负面清单指南实施细则（试行、2022 年版》符合性分析</w:t>
      </w:r>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026"/>
        <w:gridCol w:w="2396"/>
        <w:gridCol w:w="901"/>
      </w:tblGrid>
      <w:tr w14:paraId="6E52D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blHeader/>
          <w:jc w:val="center"/>
        </w:trPr>
        <w:tc>
          <w:tcPr>
            <w:tcW w:w="3019" w:type="pct"/>
            <w:noWrap w:val="0"/>
            <w:vAlign w:val="center"/>
          </w:tcPr>
          <w:p w14:paraId="1CA391DD">
            <w:pPr>
              <w:pStyle w:val="43"/>
              <w:bidi w:val="0"/>
              <w:rPr>
                <w:rFonts w:hint="default"/>
                <w:b/>
                <w:bCs/>
                <w:lang w:val="en-US" w:eastAsia="zh-CN"/>
              </w:rPr>
            </w:pPr>
            <w:r>
              <w:rPr>
                <w:rFonts w:hint="default"/>
                <w:b/>
                <w:bCs/>
                <w:lang w:val="en-US" w:eastAsia="zh-CN"/>
              </w:rPr>
              <w:t>具体要求</w:t>
            </w:r>
          </w:p>
        </w:tc>
        <w:tc>
          <w:tcPr>
            <w:tcW w:w="1439" w:type="pct"/>
            <w:noWrap w:val="0"/>
            <w:vAlign w:val="center"/>
          </w:tcPr>
          <w:p w14:paraId="3091813B">
            <w:pPr>
              <w:pStyle w:val="43"/>
              <w:bidi w:val="0"/>
              <w:rPr>
                <w:rFonts w:hint="default"/>
                <w:b/>
                <w:bCs/>
                <w:lang w:val="en-US" w:eastAsia="zh-CN"/>
              </w:rPr>
            </w:pPr>
            <w:r>
              <w:rPr>
                <w:rFonts w:hint="default"/>
                <w:b/>
                <w:bCs/>
                <w:lang w:val="en-US" w:eastAsia="zh-CN"/>
              </w:rPr>
              <w:t>本项目</w:t>
            </w:r>
          </w:p>
        </w:tc>
        <w:tc>
          <w:tcPr>
            <w:tcW w:w="541" w:type="pct"/>
            <w:noWrap w:val="0"/>
            <w:vAlign w:val="center"/>
          </w:tcPr>
          <w:p w14:paraId="269DE727">
            <w:pPr>
              <w:pStyle w:val="43"/>
              <w:bidi w:val="0"/>
              <w:rPr>
                <w:rFonts w:hint="default"/>
                <w:b/>
                <w:bCs/>
                <w:lang w:val="en-US" w:eastAsia="zh-CN"/>
              </w:rPr>
            </w:pPr>
            <w:r>
              <w:rPr>
                <w:rFonts w:hint="default"/>
                <w:b/>
                <w:bCs/>
                <w:lang w:val="en-US" w:eastAsia="zh-CN"/>
              </w:rPr>
              <w:t>符合性</w:t>
            </w:r>
          </w:p>
        </w:tc>
      </w:tr>
      <w:tr w14:paraId="377CB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1DFF4287">
            <w:pPr>
              <w:pStyle w:val="43"/>
              <w:bidi w:val="0"/>
              <w:rPr>
                <w:rFonts w:hint="default"/>
                <w:lang w:val="en-US" w:eastAsia="zh-CN"/>
              </w:rPr>
            </w:pPr>
            <w:r>
              <w:rPr>
                <w:rFonts w:hint="default"/>
                <w:lang w:val="en-US" w:eastAsia="zh-CN"/>
              </w:rPr>
              <w:t>1.禁止新建、改建和扩建不符合《全国内河航道与港口布局规划》等全国港口规划和《昭通市港口码头岸线规划（金沙江段2019年一2035年）</w:t>
            </w:r>
            <w:r>
              <w:rPr>
                <w:rFonts w:hint="eastAsia"/>
                <w:lang w:val="en-US" w:eastAsia="zh-CN"/>
              </w:rPr>
              <w:t>》《</w:t>
            </w:r>
            <w:r>
              <w:rPr>
                <w:rFonts w:hint="default"/>
                <w:lang w:val="en-US" w:eastAsia="zh-CN"/>
              </w:rPr>
              <w:t>景洪港总体规划（2019—2035年）》等州（市）级以上港口布局规划以及港口总体规划的码头项目。</w:t>
            </w:r>
          </w:p>
        </w:tc>
        <w:tc>
          <w:tcPr>
            <w:tcW w:w="1439" w:type="pct"/>
            <w:noWrap w:val="0"/>
            <w:vAlign w:val="center"/>
          </w:tcPr>
          <w:p w14:paraId="3EAF98AA">
            <w:pPr>
              <w:pStyle w:val="43"/>
              <w:bidi w:val="0"/>
              <w:rPr>
                <w:rFonts w:hint="default"/>
                <w:lang w:val="en-US" w:eastAsia="zh-CN"/>
              </w:rPr>
            </w:pPr>
            <w:r>
              <w:rPr>
                <w:rFonts w:hint="default"/>
                <w:lang w:val="en-US" w:eastAsia="zh-CN"/>
              </w:rPr>
              <w:t>本项目</w:t>
            </w:r>
            <w:r>
              <w:rPr>
                <w:rFonts w:hint="eastAsia"/>
                <w:lang w:val="en-US" w:eastAsia="zh-CN"/>
              </w:rPr>
              <w:t>不属于</w:t>
            </w:r>
            <w:r>
              <w:rPr>
                <w:rFonts w:hint="default"/>
                <w:lang w:val="en-US" w:eastAsia="zh-CN"/>
              </w:rPr>
              <w:t>码头、港口、通道等</w:t>
            </w:r>
            <w:r>
              <w:rPr>
                <w:rFonts w:hint="eastAsia"/>
                <w:lang w:val="en-US" w:eastAsia="zh-CN"/>
              </w:rPr>
              <w:t>建设项目</w:t>
            </w:r>
            <w:r>
              <w:rPr>
                <w:rFonts w:hint="default"/>
                <w:lang w:val="en-US" w:eastAsia="zh-CN"/>
              </w:rPr>
              <w:t>。</w:t>
            </w:r>
          </w:p>
        </w:tc>
        <w:tc>
          <w:tcPr>
            <w:tcW w:w="541" w:type="pct"/>
            <w:noWrap w:val="0"/>
            <w:vAlign w:val="center"/>
          </w:tcPr>
          <w:p w14:paraId="2C2F8CC8">
            <w:pPr>
              <w:pStyle w:val="43"/>
              <w:bidi w:val="0"/>
              <w:rPr>
                <w:rFonts w:hint="default"/>
                <w:lang w:val="en-US" w:eastAsia="zh-CN"/>
              </w:rPr>
            </w:pPr>
            <w:r>
              <w:rPr>
                <w:rFonts w:hint="default"/>
                <w:lang w:val="en-US" w:eastAsia="zh-CN"/>
              </w:rPr>
              <w:t>符合</w:t>
            </w:r>
          </w:p>
        </w:tc>
      </w:tr>
      <w:tr w14:paraId="1DA3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5A618906">
            <w:pPr>
              <w:pStyle w:val="43"/>
              <w:bidi w:val="0"/>
              <w:rPr>
                <w:rFonts w:hint="default"/>
                <w:lang w:val="en-US" w:eastAsia="zh-CN"/>
              </w:rPr>
            </w:pPr>
            <w:r>
              <w:rPr>
                <w:rFonts w:hint="default"/>
                <w:lang w:val="en-US" w:eastAsia="zh-CN"/>
              </w:rPr>
              <w:t>2.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w:t>
            </w:r>
            <w:r>
              <w:rPr>
                <w:rFonts w:hint="eastAsia"/>
                <w:lang w:val="en-US" w:eastAsia="zh-CN"/>
              </w:rPr>
              <w:t>，</w:t>
            </w:r>
            <w:r>
              <w:rPr>
                <w:rFonts w:hint="default"/>
                <w:lang w:val="en-US" w:eastAsia="zh-CN"/>
              </w:rPr>
              <w:t>禁止在自然保护区的实验区内建设污染环境、破坏资源或者景观的生产设施。</w:t>
            </w:r>
          </w:p>
        </w:tc>
        <w:tc>
          <w:tcPr>
            <w:tcW w:w="1439" w:type="pct"/>
            <w:noWrap w:val="0"/>
            <w:vAlign w:val="center"/>
          </w:tcPr>
          <w:p w14:paraId="302003A7">
            <w:pPr>
              <w:pStyle w:val="43"/>
              <w:bidi w:val="0"/>
              <w:rPr>
                <w:rFonts w:hint="default"/>
                <w:lang w:val="en-US" w:eastAsia="zh-CN"/>
              </w:rPr>
            </w:pPr>
            <w:r>
              <w:rPr>
                <w:rFonts w:hint="eastAsia"/>
                <w:lang w:val="en-US" w:eastAsia="zh-CN"/>
              </w:rPr>
              <w:t>项目不涉及自然保护区。</w:t>
            </w:r>
          </w:p>
        </w:tc>
        <w:tc>
          <w:tcPr>
            <w:tcW w:w="541" w:type="pct"/>
            <w:noWrap w:val="0"/>
            <w:vAlign w:val="center"/>
          </w:tcPr>
          <w:p w14:paraId="5E924971">
            <w:pPr>
              <w:pStyle w:val="43"/>
              <w:bidi w:val="0"/>
              <w:rPr>
                <w:rFonts w:hint="default"/>
                <w:lang w:val="en-US" w:eastAsia="zh-CN"/>
              </w:rPr>
            </w:pPr>
            <w:r>
              <w:rPr>
                <w:rFonts w:hint="default"/>
                <w:lang w:val="en-US" w:eastAsia="zh-CN"/>
              </w:rPr>
              <w:t>符合</w:t>
            </w:r>
          </w:p>
        </w:tc>
      </w:tr>
      <w:tr w14:paraId="41302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3985BFA5">
            <w:pPr>
              <w:pStyle w:val="43"/>
              <w:bidi w:val="0"/>
              <w:rPr>
                <w:rFonts w:hint="default"/>
                <w:lang w:val="en-US" w:eastAsia="zh-CN"/>
              </w:rPr>
            </w:pPr>
            <w:r>
              <w:rPr>
                <w:rFonts w:hint="default"/>
                <w:lang w:val="en-US" w:eastAsia="zh-CN"/>
              </w:rPr>
              <w:t>3.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439" w:type="pct"/>
            <w:noWrap w:val="0"/>
            <w:vAlign w:val="center"/>
          </w:tcPr>
          <w:p w14:paraId="25D821A7">
            <w:pPr>
              <w:pStyle w:val="43"/>
              <w:bidi w:val="0"/>
              <w:rPr>
                <w:rFonts w:hint="default"/>
                <w:lang w:val="en-US" w:eastAsia="zh-CN"/>
              </w:rPr>
            </w:pPr>
            <w:r>
              <w:rPr>
                <w:rFonts w:hint="eastAsia"/>
                <w:lang w:val="en-US" w:eastAsia="zh-CN"/>
              </w:rPr>
              <w:t>项目</w:t>
            </w:r>
            <w:r>
              <w:rPr>
                <w:rFonts w:hint="default"/>
                <w:lang w:val="en-US" w:eastAsia="zh-CN"/>
              </w:rPr>
              <w:t>不涉及风景名胜区。</w:t>
            </w:r>
          </w:p>
        </w:tc>
        <w:tc>
          <w:tcPr>
            <w:tcW w:w="541" w:type="pct"/>
            <w:noWrap w:val="0"/>
            <w:vAlign w:val="center"/>
          </w:tcPr>
          <w:p w14:paraId="5E644910">
            <w:pPr>
              <w:pStyle w:val="43"/>
              <w:bidi w:val="0"/>
              <w:rPr>
                <w:rFonts w:hint="default"/>
                <w:lang w:val="en-US" w:eastAsia="zh-CN"/>
              </w:rPr>
            </w:pPr>
            <w:r>
              <w:rPr>
                <w:rFonts w:hint="default"/>
                <w:lang w:val="en-US" w:eastAsia="zh-CN"/>
              </w:rPr>
              <w:t>符合</w:t>
            </w:r>
          </w:p>
        </w:tc>
      </w:tr>
      <w:tr w14:paraId="4E424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612CAC6B">
            <w:pPr>
              <w:pStyle w:val="43"/>
              <w:bidi w:val="0"/>
              <w:rPr>
                <w:rFonts w:hint="default"/>
                <w:lang w:val="en-US" w:eastAsia="zh-CN"/>
              </w:rPr>
            </w:pPr>
            <w:r>
              <w:rPr>
                <w:rFonts w:hint="default"/>
                <w:lang w:val="en-US" w:eastAsia="zh-CN"/>
              </w:rPr>
              <w:t>4.禁止在饮用水水源一级保护区的岸线和河段范围内新建、改建、扩建与供水设施和保护水源无关的投资建设项目</w:t>
            </w:r>
            <w:r>
              <w:rPr>
                <w:rFonts w:hint="eastAsia"/>
                <w:lang w:val="en-US" w:eastAsia="zh-CN"/>
              </w:rPr>
              <w:t>，</w:t>
            </w:r>
            <w:r>
              <w:rPr>
                <w:rFonts w:hint="default"/>
                <w:lang w:val="en-US" w:eastAsia="zh-CN"/>
              </w:rPr>
              <w:t>以及网箱养殖、畜禽养殖、旅游等可能污染饮用水水体的投资建设项目。禁止在饮用水水源二级保护区的岸线和河段范围内新建、改建、扩建排放污染物的投资建设项目。</w:t>
            </w:r>
          </w:p>
        </w:tc>
        <w:tc>
          <w:tcPr>
            <w:tcW w:w="1439" w:type="pct"/>
            <w:noWrap w:val="0"/>
            <w:vAlign w:val="center"/>
          </w:tcPr>
          <w:p w14:paraId="66523519">
            <w:pPr>
              <w:pStyle w:val="43"/>
              <w:bidi w:val="0"/>
              <w:rPr>
                <w:rFonts w:hint="default"/>
                <w:lang w:val="en-US" w:eastAsia="zh-CN"/>
              </w:rPr>
            </w:pPr>
            <w:r>
              <w:rPr>
                <w:rFonts w:hint="eastAsia"/>
                <w:lang w:val="en-US" w:eastAsia="zh-CN"/>
              </w:rPr>
              <w:t>项目</w:t>
            </w:r>
            <w:r>
              <w:rPr>
                <w:rFonts w:hint="default"/>
                <w:lang w:val="en-US" w:eastAsia="zh-CN"/>
              </w:rPr>
              <w:t>不涉及饮用水水源保护区</w:t>
            </w:r>
            <w:r>
              <w:rPr>
                <w:rFonts w:hint="eastAsia"/>
                <w:lang w:val="en-US" w:eastAsia="zh-CN"/>
              </w:rPr>
              <w:t>。</w:t>
            </w:r>
          </w:p>
        </w:tc>
        <w:tc>
          <w:tcPr>
            <w:tcW w:w="541" w:type="pct"/>
            <w:noWrap w:val="0"/>
            <w:vAlign w:val="center"/>
          </w:tcPr>
          <w:p w14:paraId="2E1B68F5">
            <w:pPr>
              <w:pStyle w:val="43"/>
              <w:bidi w:val="0"/>
              <w:rPr>
                <w:rFonts w:hint="default"/>
                <w:lang w:val="en-US" w:eastAsia="zh-CN"/>
              </w:rPr>
            </w:pPr>
            <w:r>
              <w:rPr>
                <w:rFonts w:hint="default"/>
                <w:lang w:val="en-US" w:eastAsia="zh-CN"/>
              </w:rPr>
              <w:t>符合</w:t>
            </w:r>
          </w:p>
        </w:tc>
      </w:tr>
      <w:tr w14:paraId="387F6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4455424F">
            <w:pPr>
              <w:pStyle w:val="43"/>
              <w:bidi w:val="0"/>
              <w:rPr>
                <w:rFonts w:hint="default"/>
                <w:lang w:val="en-US" w:eastAsia="zh-CN"/>
              </w:rPr>
            </w:pPr>
            <w:r>
              <w:rPr>
                <w:rFonts w:hint="default"/>
                <w:lang w:val="en-US" w:eastAsia="zh-CN"/>
              </w:rPr>
              <w:t>5.禁止在水产种质资源保护区的岸线和河段范围内新建围湖造田、围湖造地或围填海等投资建设项目。禁止擅自征收、占用国家湿地公园的土地；禁止在国家湿地公园内挖沙、采矿</w:t>
            </w:r>
            <w:r>
              <w:rPr>
                <w:rFonts w:hint="eastAsia"/>
                <w:lang w:val="en-US" w:eastAsia="zh-CN"/>
              </w:rPr>
              <w:t>，</w:t>
            </w:r>
            <w:r>
              <w:rPr>
                <w:rFonts w:hint="default"/>
                <w:lang w:val="en-US" w:eastAsia="zh-CN"/>
              </w:rPr>
              <w:t>以及建设度假村、高尔夫球场等不符合主体功能定位的投资建设项目。</w:t>
            </w:r>
          </w:p>
        </w:tc>
        <w:tc>
          <w:tcPr>
            <w:tcW w:w="1439" w:type="pct"/>
            <w:noWrap w:val="0"/>
            <w:vAlign w:val="center"/>
          </w:tcPr>
          <w:p w14:paraId="135966B5">
            <w:pPr>
              <w:pStyle w:val="43"/>
              <w:bidi w:val="0"/>
              <w:rPr>
                <w:rFonts w:hint="default"/>
                <w:lang w:val="en-US" w:eastAsia="zh-CN"/>
              </w:rPr>
            </w:pPr>
            <w:r>
              <w:rPr>
                <w:rFonts w:hint="eastAsia"/>
                <w:lang w:val="en-US" w:eastAsia="zh-CN"/>
              </w:rPr>
              <w:t>项目</w:t>
            </w:r>
            <w:r>
              <w:rPr>
                <w:rFonts w:hint="default"/>
                <w:lang w:val="en-US" w:eastAsia="zh-CN"/>
              </w:rPr>
              <w:t>不涉及水产种质资源保护区及国家湿地公园。</w:t>
            </w:r>
          </w:p>
        </w:tc>
        <w:tc>
          <w:tcPr>
            <w:tcW w:w="541" w:type="pct"/>
            <w:noWrap w:val="0"/>
            <w:vAlign w:val="center"/>
          </w:tcPr>
          <w:p w14:paraId="726728B6">
            <w:pPr>
              <w:pStyle w:val="43"/>
              <w:bidi w:val="0"/>
              <w:rPr>
                <w:rFonts w:hint="default"/>
                <w:lang w:val="en-US" w:eastAsia="zh-CN"/>
              </w:rPr>
            </w:pPr>
            <w:r>
              <w:rPr>
                <w:rFonts w:hint="default"/>
                <w:lang w:val="en-US" w:eastAsia="zh-CN"/>
              </w:rPr>
              <w:t>符合</w:t>
            </w:r>
          </w:p>
        </w:tc>
      </w:tr>
      <w:tr w14:paraId="6F150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019" w:type="pct"/>
            <w:noWrap w:val="0"/>
            <w:vAlign w:val="center"/>
          </w:tcPr>
          <w:p w14:paraId="2A9E33E6">
            <w:pPr>
              <w:pStyle w:val="43"/>
              <w:bidi w:val="0"/>
              <w:rPr>
                <w:rFonts w:hint="default"/>
                <w:lang w:val="en-US" w:eastAsia="zh-CN"/>
              </w:rPr>
            </w:pPr>
            <w:r>
              <w:rPr>
                <w:rFonts w:hint="default"/>
                <w:lang w:val="en-US" w:eastAsia="zh-CN"/>
              </w:rPr>
              <w:t>6.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1439" w:type="pct"/>
            <w:noWrap w:val="0"/>
            <w:vAlign w:val="center"/>
          </w:tcPr>
          <w:p w14:paraId="2F9BF54C">
            <w:pPr>
              <w:pStyle w:val="43"/>
              <w:bidi w:val="0"/>
              <w:rPr>
                <w:rFonts w:hint="default"/>
                <w:lang w:val="en-US" w:eastAsia="zh-CN"/>
              </w:rPr>
            </w:pPr>
            <w:r>
              <w:rPr>
                <w:rFonts w:hint="default"/>
                <w:lang w:val="en-US" w:eastAsia="zh-CN"/>
              </w:rPr>
              <w:t>本项目不涉及占用长江流域河湖岸线</w:t>
            </w:r>
            <w:r>
              <w:rPr>
                <w:rFonts w:hint="eastAsia"/>
                <w:lang w:val="en-US" w:eastAsia="zh-CN"/>
              </w:rPr>
              <w:t>。</w:t>
            </w:r>
          </w:p>
        </w:tc>
        <w:tc>
          <w:tcPr>
            <w:tcW w:w="541" w:type="pct"/>
            <w:noWrap w:val="0"/>
            <w:vAlign w:val="center"/>
          </w:tcPr>
          <w:p w14:paraId="064D686E">
            <w:pPr>
              <w:pStyle w:val="43"/>
              <w:bidi w:val="0"/>
              <w:rPr>
                <w:rFonts w:hint="default"/>
                <w:lang w:val="en-US" w:eastAsia="zh-CN"/>
              </w:rPr>
            </w:pPr>
            <w:r>
              <w:rPr>
                <w:rFonts w:hint="default"/>
                <w:lang w:val="en-US" w:eastAsia="zh-CN"/>
              </w:rPr>
              <w:t>符合</w:t>
            </w:r>
          </w:p>
        </w:tc>
      </w:tr>
      <w:tr w14:paraId="237F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78EF7FCD">
            <w:pPr>
              <w:pStyle w:val="43"/>
              <w:bidi w:val="0"/>
              <w:rPr>
                <w:rFonts w:hint="default"/>
                <w:lang w:val="en-US" w:eastAsia="zh-CN"/>
              </w:rPr>
            </w:pPr>
            <w:r>
              <w:rPr>
                <w:rFonts w:hint="default"/>
                <w:lang w:val="en-US" w:eastAsia="zh-CN"/>
              </w:rPr>
              <w:t>7.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1439" w:type="pct"/>
            <w:noWrap w:val="0"/>
            <w:vAlign w:val="center"/>
          </w:tcPr>
          <w:p w14:paraId="119FA97A">
            <w:pPr>
              <w:pStyle w:val="43"/>
              <w:bidi w:val="0"/>
              <w:rPr>
                <w:rFonts w:hint="default"/>
                <w:lang w:val="en-US" w:eastAsia="zh-CN"/>
              </w:rPr>
            </w:pPr>
            <w:r>
              <w:rPr>
                <w:rFonts w:hint="default"/>
                <w:lang w:val="en-US" w:eastAsia="zh-CN"/>
              </w:rPr>
              <w:t>本项目不属于过江基础设施项目</w:t>
            </w:r>
            <w:r>
              <w:rPr>
                <w:rFonts w:hint="eastAsia"/>
                <w:lang w:val="en-US" w:eastAsia="zh-CN"/>
              </w:rPr>
              <w:t>，</w:t>
            </w:r>
            <w:r>
              <w:rPr>
                <w:rFonts w:hint="default"/>
                <w:lang w:val="en-US" w:eastAsia="zh-CN"/>
              </w:rPr>
              <w:t>未在长江干支流及湖泊新设、改设或扩大排污口</w:t>
            </w:r>
            <w:r>
              <w:rPr>
                <w:rFonts w:hint="eastAsia"/>
                <w:lang w:val="en-US" w:eastAsia="zh-CN"/>
              </w:rPr>
              <w:t>。</w:t>
            </w:r>
          </w:p>
        </w:tc>
        <w:tc>
          <w:tcPr>
            <w:tcW w:w="541" w:type="pct"/>
            <w:noWrap w:val="0"/>
            <w:vAlign w:val="center"/>
          </w:tcPr>
          <w:p w14:paraId="29DD5F10">
            <w:pPr>
              <w:pStyle w:val="43"/>
              <w:bidi w:val="0"/>
              <w:rPr>
                <w:rFonts w:hint="default"/>
                <w:lang w:val="en-US" w:eastAsia="zh-CN"/>
              </w:rPr>
            </w:pPr>
            <w:r>
              <w:rPr>
                <w:rFonts w:hint="default"/>
                <w:lang w:val="en-US" w:eastAsia="zh-CN"/>
              </w:rPr>
              <w:t>符合</w:t>
            </w:r>
          </w:p>
        </w:tc>
      </w:tr>
      <w:tr w14:paraId="39F6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035008F9">
            <w:pPr>
              <w:pStyle w:val="43"/>
              <w:bidi w:val="0"/>
              <w:rPr>
                <w:rFonts w:hint="default"/>
                <w:lang w:val="en-US" w:eastAsia="zh-CN"/>
              </w:rPr>
            </w:pPr>
            <w:r>
              <w:rPr>
                <w:rFonts w:hint="default"/>
                <w:lang w:val="en-US" w:eastAsia="zh-CN"/>
              </w:rPr>
              <w:t>8.禁止在金沙江干流、长江一级支流、水生生物保护区和长江流域禁捕水域开展天然渔业资源生产性捕捞。</w:t>
            </w:r>
          </w:p>
        </w:tc>
        <w:tc>
          <w:tcPr>
            <w:tcW w:w="1439" w:type="pct"/>
            <w:noWrap w:val="0"/>
            <w:vAlign w:val="center"/>
          </w:tcPr>
          <w:p w14:paraId="6064D01F">
            <w:pPr>
              <w:pStyle w:val="43"/>
              <w:bidi w:val="0"/>
              <w:rPr>
                <w:rFonts w:hint="default"/>
                <w:lang w:val="en-US" w:eastAsia="zh-CN"/>
              </w:rPr>
            </w:pPr>
            <w:r>
              <w:rPr>
                <w:rFonts w:hint="default"/>
                <w:lang w:val="en-US" w:eastAsia="zh-CN"/>
              </w:rPr>
              <w:t>本项目不涉及水生生物捕捞。</w:t>
            </w:r>
          </w:p>
        </w:tc>
        <w:tc>
          <w:tcPr>
            <w:tcW w:w="541" w:type="pct"/>
            <w:noWrap w:val="0"/>
            <w:vAlign w:val="center"/>
          </w:tcPr>
          <w:p w14:paraId="73B513D4">
            <w:pPr>
              <w:pStyle w:val="43"/>
              <w:bidi w:val="0"/>
              <w:rPr>
                <w:rFonts w:hint="default"/>
                <w:lang w:val="en-US" w:eastAsia="zh-CN"/>
              </w:rPr>
            </w:pPr>
            <w:r>
              <w:rPr>
                <w:rFonts w:hint="default"/>
                <w:lang w:val="en-US" w:eastAsia="zh-CN"/>
              </w:rPr>
              <w:t>不涉及</w:t>
            </w:r>
          </w:p>
        </w:tc>
      </w:tr>
      <w:tr w14:paraId="1E50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214DB54E">
            <w:pPr>
              <w:pStyle w:val="43"/>
              <w:bidi w:val="0"/>
              <w:rPr>
                <w:rFonts w:hint="default"/>
                <w:lang w:val="en-US" w:eastAsia="zh-CN"/>
              </w:rPr>
            </w:pPr>
            <w:r>
              <w:rPr>
                <w:rFonts w:hint="eastAsia"/>
                <w:lang w:val="en-US" w:eastAsia="zh-CN"/>
              </w:rPr>
              <w:t>8.</w:t>
            </w:r>
            <w:r>
              <w:rPr>
                <w:rFonts w:hint="default"/>
                <w:lang w:val="en-US" w:eastAsia="zh-CN"/>
              </w:rPr>
              <w:t>禁止在金沙江干流</w:t>
            </w:r>
            <w:r>
              <w:rPr>
                <w:rFonts w:hint="eastAsia"/>
                <w:lang w:val="en-US" w:eastAsia="zh-CN"/>
              </w:rPr>
              <w:t>，</w:t>
            </w:r>
            <w:r>
              <w:rPr>
                <w:rFonts w:hint="default"/>
                <w:lang w:val="en-US" w:eastAsia="zh-CN"/>
              </w:rPr>
              <w:t>长江一级支流和九大高原湖泊岸线一公里范围内新建、扩建化工园区和化工项目。禁止在金沙江干流岸线三公里范围内和长江一级支流岸线一公里范围内新建、改建、扩建尾矿库、冶炼渣库和磷石膏库</w:t>
            </w:r>
            <w:r>
              <w:rPr>
                <w:rFonts w:hint="eastAsia"/>
                <w:lang w:val="en-US" w:eastAsia="zh-CN"/>
              </w:rPr>
              <w:t>，</w:t>
            </w:r>
            <w:r>
              <w:rPr>
                <w:rFonts w:hint="default"/>
                <w:lang w:val="en-US" w:eastAsia="zh-CN"/>
              </w:rPr>
              <w:t>以提升安全、生态环境保护水平为目的的改建除外。</w:t>
            </w:r>
          </w:p>
        </w:tc>
        <w:tc>
          <w:tcPr>
            <w:tcW w:w="1439" w:type="pct"/>
            <w:noWrap w:val="0"/>
            <w:vAlign w:val="center"/>
          </w:tcPr>
          <w:p w14:paraId="1918FA48">
            <w:pPr>
              <w:pStyle w:val="43"/>
              <w:bidi w:val="0"/>
              <w:rPr>
                <w:rFonts w:hint="default"/>
                <w:lang w:val="en-US" w:eastAsia="zh-CN"/>
              </w:rPr>
            </w:pPr>
            <w:r>
              <w:rPr>
                <w:rFonts w:hint="default"/>
                <w:lang w:val="en-US" w:eastAsia="zh-CN"/>
              </w:rPr>
              <w:t>本项目不在金沙江干流</w:t>
            </w:r>
            <w:r>
              <w:rPr>
                <w:rFonts w:hint="eastAsia"/>
                <w:lang w:val="en-US" w:eastAsia="zh-CN"/>
              </w:rPr>
              <w:t>，</w:t>
            </w:r>
            <w:r>
              <w:rPr>
                <w:rFonts w:hint="default"/>
                <w:lang w:val="en-US" w:eastAsia="zh-CN"/>
              </w:rPr>
              <w:t>长江一级支流和九大高原湖泊岸线一公里范围内。</w:t>
            </w:r>
          </w:p>
        </w:tc>
        <w:tc>
          <w:tcPr>
            <w:tcW w:w="541" w:type="pct"/>
            <w:noWrap w:val="0"/>
            <w:vAlign w:val="center"/>
          </w:tcPr>
          <w:p w14:paraId="317C3612">
            <w:pPr>
              <w:pStyle w:val="43"/>
              <w:bidi w:val="0"/>
              <w:rPr>
                <w:rFonts w:hint="default"/>
                <w:lang w:val="en-US" w:eastAsia="zh-CN"/>
              </w:rPr>
            </w:pPr>
            <w:r>
              <w:rPr>
                <w:rFonts w:hint="default"/>
                <w:lang w:val="en-US" w:eastAsia="zh-CN"/>
              </w:rPr>
              <w:t>符合</w:t>
            </w:r>
          </w:p>
        </w:tc>
      </w:tr>
      <w:tr w14:paraId="5E61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6583BA2A">
            <w:pPr>
              <w:pStyle w:val="43"/>
              <w:bidi w:val="0"/>
              <w:rPr>
                <w:rFonts w:hint="default"/>
                <w:lang w:val="en-US" w:eastAsia="zh-CN"/>
              </w:rPr>
            </w:pPr>
            <w:r>
              <w:rPr>
                <w:rFonts w:hint="default"/>
                <w:lang w:val="en-US" w:eastAsia="zh-CN"/>
              </w:rPr>
              <w:t>10.禁止在合规园区外新建、扩建钢铁、石化、化工、焦化、建材、有色、制浆造纸行业中的高污染项目。</w:t>
            </w:r>
          </w:p>
        </w:tc>
        <w:tc>
          <w:tcPr>
            <w:tcW w:w="1439" w:type="pct"/>
            <w:noWrap w:val="0"/>
            <w:vAlign w:val="center"/>
          </w:tcPr>
          <w:p w14:paraId="19EBFB20">
            <w:pPr>
              <w:pStyle w:val="43"/>
              <w:bidi w:val="0"/>
              <w:rPr>
                <w:rFonts w:hint="default"/>
                <w:lang w:val="en-US" w:eastAsia="zh-CN"/>
              </w:rPr>
            </w:pPr>
            <w:r>
              <w:rPr>
                <w:rFonts w:hint="eastAsia"/>
                <w:lang w:val="en-US" w:eastAsia="zh-CN"/>
              </w:rPr>
              <w:t>项目为建筑用灰岩矿开采加工</w:t>
            </w:r>
            <w:r>
              <w:rPr>
                <w:rFonts w:hint="eastAsia"/>
                <w:lang w:eastAsia="zh-CN"/>
              </w:rPr>
              <w:t>，</w:t>
            </w:r>
            <w:r>
              <w:rPr>
                <w:rFonts w:hint="eastAsia"/>
                <w:lang w:val="en-US" w:eastAsia="zh-CN"/>
              </w:rPr>
              <w:t>不属于</w:t>
            </w:r>
            <w:r>
              <w:rPr>
                <w:rFonts w:hint="default"/>
                <w:lang w:val="en-US" w:eastAsia="zh-CN"/>
              </w:rPr>
              <w:t>高污染项目。</w:t>
            </w:r>
          </w:p>
        </w:tc>
        <w:tc>
          <w:tcPr>
            <w:tcW w:w="541" w:type="pct"/>
            <w:noWrap w:val="0"/>
            <w:vAlign w:val="center"/>
          </w:tcPr>
          <w:p w14:paraId="4DCB75C8">
            <w:pPr>
              <w:pStyle w:val="43"/>
              <w:bidi w:val="0"/>
              <w:rPr>
                <w:rFonts w:hint="default"/>
                <w:lang w:val="en-US" w:eastAsia="zh-CN"/>
              </w:rPr>
            </w:pPr>
            <w:r>
              <w:rPr>
                <w:rFonts w:hint="default"/>
                <w:lang w:val="en-US" w:eastAsia="zh-CN"/>
              </w:rPr>
              <w:t>符合</w:t>
            </w:r>
          </w:p>
        </w:tc>
      </w:tr>
      <w:tr w14:paraId="631A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33B2C41A">
            <w:pPr>
              <w:pStyle w:val="43"/>
              <w:bidi w:val="0"/>
              <w:rPr>
                <w:rFonts w:hint="default"/>
                <w:lang w:val="en-US" w:eastAsia="zh-CN"/>
              </w:rPr>
            </w:pPr>
            <w:r>
              <w:rPr>
                <w:rFonts w:hint="default"/>
                <w:lang w:val="en-US" w:eastAsia="zh-CN"/>
              </w:rPr>
              <w:t>11.禁止新建、扩建不符合国家石化、现代煤化工等产业布局规划的项目。禁止列入《云南省城镇人口密集区危险化学品生产企业搬迁改造名单》的搬迁改造企业在原址新建、扩建危险化学品生产项目。</w:t>
            </w:r>
          </w:p>
        </w:tc>
        <w:tc>
          <w:tcPr>
            <w:tcW w:w="1439" w:type="pct"/>
            <w:noWrap w:val="0"/>
            <w:vAlign w:val="center"/>
          </w:tcPr>
          <w:p w14:paraId="00ECFF86">
            <w:pPr>
              <w:pStyle w:val="43"/>
              <w:bidi w:val="0"/>
              <w:rPr>
                <w:rFonts w:hint="default"/>
                <w:lang w:val="en-US" w:eastAsia="zh-CN"/>
              </w:rPr>
            </w:pPr>
            <w:r>
              <w:rPr>
                <w:rFonts w:hint="default"/>
                <w:lang w:val="en-US" w:eastAsia="zh-CN"/>
              </w:rPr>
              <w:t>本项目不属于石化、现代煤化工行业。</w:t>
            </w:r>
          </w:p>
        </w:tc>
        <w:tc>
          <w:tcPr>
            <w:tcW w:w="541" w:type="pct"/>
            <w:noWrap w:val="0"/>
            <w:vAlign w:val="center"/>
          </w:tcPr>
          <w:p w14:paraId="618DED77">
            <w:pPr>
              <w:pStyle w:val="43"/>
              <w:bidi w:val="0"/>
              <w:rPr>
                <w:rFonts w:hint="default"/>
                <w:lang w:val="en-US" w:eastAsia="zh-CN"/>
              </w:rPr>
            </w:pPr>
            <w:r>
              <w:rPr>
                <w:rFonts w:hint="default"/>
                <w:lang w:val="en-US" w:eastAsia="zh-CN"/>
              </w:rPr>
              <w:t>符合</w:t>
            </w:r>
          </w:p>
        </w:tc>
      </w:tr>
      <w:tr w14:paraId="2291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019" w:type="pct"/>
            <w:noWrap w:val="0"/>
            <w:vAlign w:val="center"/>
          </w:tcPr>
          <w:p w14:paraId="2F806161">
            <w:pPr>
              <w:pStyle w:val="43"/>
              <w:bidi w:val="0"/>
              <w:rPr>
                <w:rFonts w:hint="default"/>
                <w:lang w:val="en-US" w:eastAsia="zh-CN"/>
              </w:rPr>
            </w:pPr>
            <w:r>
              <w:rPr>
                <w:rFonts w:hint="default"/>
                <w:lang w:val="en-US" w:eastAsia="zh-CN"/>
              </w:rPr>
              <w:t>12.禁止新建、</w:t>
            </w:r>
            <w:r>
              <w:rPr>
                <w:rFonts w:hint="eastAsia"/>
                <w:lang w:val="en-US" w:eastAsia="zh-CN"/>
              </w:rPr>
              <w:t>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w:t>
            </w:r>
            <w:r>
              <w:rPr>
                <w:rFonts w:hint="default"/>
                <w:lang w:val="en-US" w:eastAsia="zh-CN"/>
              </w:rPr>
              <w:t>、聚氯乙烯等行业新增产能。</w:t>
            </w:r>
          </w:p>
        </w:tc>
        <w:tc>
          <w:tcPr>
            <w:tcW w:w="1439" w:type="pct"/>
            <w:noWrap w:val="0"/>
            <w:vAlign w:val="center"/>
          </w:tcPr>
          <w:p w14:paraId="62581F78">
            <w:pPr>
              <w:pStyle w:val="43"/>
              <w:bidi w:val="0"/>
              <w:rPr>
                <w:rFonts w:hint="default"/>
                <w:lang w:val="en-US" w:eastAsia="zh-CN"/>
              </w:rPr>
            </w:pPr>
            <w:r>
              <w:rPr>
                <w:rFonts w:hint="default"/>
                <w:lang w:val="en-US" w:eastAsia="zh-CN"/>
              </w:rPr>
              <w:t>本项目不属于法律法规和相关政策明令禁止的落后产能项目</w:t>
            </w:r>
            <w:r>
              <w:rPr>
                <w:rFonts w:hint="eastAsia"/>
                <w:lang w:val="en-US" w:eastAsia="zh-CN"/>
              </w:rPr>
              <w:t>，</w:t>
            </w:r>
            <w:r>
              <w:rPr>
                <w:rFonts w:hint="default"/>
                <w:lang w:val="en-US" w:eastAsia="zh-CN"/>
              </w:rPr>
              <w:t>不属于过剩产能行业的项目</w:t>
            </w:r>
            <w:r>
              <w:rPr>
                <w:rFonts w:hint="eastAsia"/>
                <w:lang w:val="en-US" w:eastAsia="zh-CN"/>
              </w:rPr>
              <w:t>，</w:t>
            </w:r>
            <w:r>
              <w:rPr>
                <w:rFonts w:hint="default"/>
                <w:lang w:val="en-US" w:eastAsia="zh-CN"/>
              </w:rPr>
              <w:t>不属于高耗能高排放项目。</w:t>
            </w:r>
          </w:p>
        </w:tc>
        <w:tc>
          <w:tcPr>
            <w:tcW w:w="541" w:type="pct"/>
            <w:noWrap w:val="0"/>
            <w:vAlign w:val="center"/>
          </w:tcPr>
          <w:p w14:paraId="249B7D84">
            <w:pPr>
              <w:pStyle w:val="43"/>
              <w:bidi w:val="0"/>
              <w:rPr>
                <w:rFonts w:hint="default"/>
                <w:lang w:val="en-US" w:eastAsia="zh-CN"/>
              </w:rPr>
            </w:pPr>
            <w:r>
              <w:rPr>
                <w:rFonts w:hint="default"/>
                <w:lang w:val="en-US" w:eastAsia="zh-CN"/>
              </w:rPr>
              <w:t>符合</w:t>
            </w:r>
          </w:p>
        </w:tc>
      </w:tr>
    </w:tbl>
    <w:p w14:paraId="6BC6C76B">
      <w:pPr>
        <w:pStyle w:val="41"/>
        <w:bidi w:val="0"/>
        <w:rPr>
          <w:rFonts w:hint="eastAsia"/>
        </w:rPr>
      </w:pPr>
      <w:r>
        <w:rPr>
          <w:rFonts w:hint="eastAsia"/>
          <w:lang w:val="en-US" w:eastAsia="zh-CN"/>
        </w:rPr>
        <w:t>根据上表</w:t>
      </w:r>
      <w:r>
        <w:rPr>
          <w:rFonts w:hint="eastAsia"/>
          <w:lang w:val="zh-CN" w:eastAsia="zh-CN"/>
        </w:rPr>
        <w:t>，</w:t>
      </w:r>
      <w:r>
        <w:rPr>
          <w:rFonts w:hint="default"/>
          <w:lang w:val="zh-CN" w:eastAsia="zh-CN"/>
        </w:rPr>
        <w:t>项目建设符合《云南省长江经济带发展负面清单指南实施细则（试行</w:t>
      </w:r>
      <w:r>
        <w:rPr>
          <w:rFonts w:hint="eastAsia"/>
          <w:lang w:val="zh-CN" w:eastAsia="zh-CN"/>
        </w:rPr>
        <w:t>，</w:t>
      </w:r>
      <w:r>
        <w:rPr>
          <w:rFonts w:hint="default"/>
          <w:lang w:val="en-US" w:eastAsia="zh-CN"/>
        </w:rPr>
        <w:t>2022年版</w:t>
      </w:r>
      <w:r>
        <w:rPr>
          <w:rFonts w:hint="default"/>
          <w:lang w:val="zh-CN" w:eastAsia="zh-CN"/>
        </w:rPr>
        <w:t>）》的相关要求</w:t>
      </w:r>
      <w:r>
        <w:rPr>
          <w:rFonts w:hint="eastAsia"/>
        </w:rPr>
        <w:t>。</w:t>
      </w:r>
    </w:p>
    <w:p w14:paraId="64E158A2">
      <w:pPr>
        <w:pStyle w:val="3"/>
        <w:keepNext/>
        <w:pageBreakBefore w:val="0"/>
        <w:kinsoku/>
        <w:overflowPunct/>
        <w:topLinePunct w:val="0"/>
        <w:bidi w:val="0"/>
        <w:rPr>
          <w:rFonts w:hint="eastAsia"/>
          <w:color w:val="000000" w:themeColor="text1"/>
          <w:highlight w:val="none"/>
          <w14:textFill>
            <w14:solidFill>
              <w14:schemeClr w14:val="tx1"/>
            </w14:solidFill>
          </w14:textFill>
        </w:rPr>
      </w:pPr>
      <w:bookmarkStart w:id="592" w:name="_Toc7124"/>
      <w:bookmarkStart w:id="593" w:name="_Toc2660"/>
      <w:r>
        <w:rPr>
          <w:rFonts w:hint="eastAsia"/>
          <w:color w:val="000000" w:themeColor="text1"/>
          <w:highlight w:val="none"/>
          <w14:textFill>
            <w14:solidFill>
              <w14:schemeClr w14:val="tx1"/>
            </w14:solidFill>
          </w14:textFill>
        </w:rPr>
        <w:t>项目选址合理性分析</w:t>
      </w:r>
      <w:bookmarkEnd w:id="592"/>
      <w:bookmarkEnd w:id="593"/>
    </w:p>
    <w:p w14:paraId="2F53C742">
      <w:pPr>
        <w:pStyle w:val="41"/>
        <w:bidi w:val="0"/>
        <w:rPr>
          <w:rFonts w:hint="default"/>
          <w:lang w:val="en-US" w:eastAsia="zh-CN"/>
        </w:rPr>
      </w:pPr>
      <w:r>
        <w:rPr>
          <w:rFonts w:hint="default"/>
          <w:lang w:val="en-US" w:eastAsia="zh-CN"/>
        </w:rPr>
        <w:t>根据</w:t>
      </w:r>
      <w:r>
        <w:rPr>
          <w:rFonts w:hint="eastAsia"/>
          <w:lang w:val="en-US" w:eastAsia="zh-CN"/>
        </w:rPr>
        <w:t>砚山县自然资源局提供的项目“三区三线”占用查询回函，项目</w:t>
      </w:r>
      <w:r>
        <w:rPr>
          <w:rFonts w:hint="default"/>
          <w:lang w:val="en-US" w:eastAsia="zh-CN"/>
        </w:rPr>
        <w:t>矿区范围不</w:t>
      </w:r>
      <w:r>
        <w:rPr>
          <w:rFonts w:hint="eastAsia"/>
          <w:lang w:val="en-US" w:eastAsia="zh-CN"/>
        </w:rPr>
        <w:t>涉及</w:t>
      </w:r>
      <w:r>
        <w:rPr>
          <w:rFonts w:hint="default"/>
          <w:lang w:val="en-US" w:eastAsia="zh-CN"/>
        </w:rPr>
        <w:t>自然保护区、国家公园、风景名胜区、森林公园、水资源保护区、地质公园、地质遗迹、不占生态红线、</w:t>
      </w:r>
      <w:r>
        <w:rPr>
          <w:rFonts w:hint="eastAsia"/>
          <w:lang w:val="en-US" w:eastAsia="zh-CN"/>
        </w:rPr>
        <w:t>耕地及永久基本农田，项目不</w:t>
      </w:r>
      <w:r>
        <w:rPr>
          <w:rFonts w:hint="default"/>
          <w:lang w:val="zh-CN" w:eastAsia="zh-CN"/>
        </w:rPr>
        <w:t>在重要道路、航道两侧及重要生态环境敏感目标可视范围内</w:t>
      </w:r>
      <w:r>
        <w:rPr>
          <w:rFonts w:hint="default"/>
          <w:lang w:val="en-US" w:eastAsia="zh-CN"/>
        </w:rPr>
        <w:t>。项目区未在城市规划区、风景名胜区、重要地质遗迹区范围内</w:t>
      </w:r>
      <w:r>
        <w:rPr>
          <w:rFonts w:hint="eastAsia"/>
          <w:lang w:val="en-US" w:eastAsia="zh-CN"/>
        </w:rPr>
        <w:t>，</w:t>
      </w:r>
      <w:r>
        <w:rPr>
          <w:rFonts w:hint="default"/>
          <w:lang w:val="en-US" w:eastAsia="zh-CN"/>
        </w:rPr>
        <w:t>项目的建设</w:t>
      </w:r>
      <w:r>
        <w:rPr>
          <w:rFonts w:hint="eastAsia"/>
          <w:lang w:val="en-US" w:eastAsia="zh-CN"/>
        </w:rPr>
        <w:t>符合环境分区管理要求、符合相关法律法规、当地矿产资源规划等</w:t>
      </w:r>
      <w:r>
        <w:rPr>
          <w:rFonts w:hint="default"/>
          <w:lang w:val="en-US" w:eastAsia="zh-CN"/>
        </w:rPr>
        <w:t>。</w:t>
      </w:r>
    </w:p>
    <w:p w14:paraId="22466C46">
      <w:pPr>
        <w:pStyle w:val="41"/>
        <w:bidi w:val="0"/>
        <w:rPr>
          <w:rFonts w:hint="default"/>
          <w:lang w:val="en-US" w:eastAsia="zh-CN"/>
        </w:rPr>
      </w:pPr>
      <w:r>
        <w:rPr>
          <w:rFonts w:hint="eastAsia"/>
          <w:lang w:val="en-US" w:eastAsia="zh-CN"/>
        </w:rPr>
        <w:t>项目为建筑用灰岩矿开采加工，开采方式采用露天开采。运营期项目采取环评提出的各项污染防治措施后，废气、废水、噪声均能达标排放，固体废物均能得到妥善处置，环境风险可接受，项目建设对周边环境影响较小</w:t>
      </w:r>
      <w:r>
        <w:rPr>
          <w:rFonts w:hint="default"/>
          <w:lang w:val="en-US" w:eastAsia="zh-CN"/>
        </w:rPr>
        <w:t>。</w:t>
      </w:r>
      <w:r>
        <w:rPr>
          <w:rFonts w:hint="eastAsia"/>
          <w:lang w:val="en-US" w:eastAsia="zh-CN"/>
        </w:rPr>
        <w:t>其次，建设单位已委托有资质单位进行《矿山地质环境保护与土地复垦方案》编制及《水土保持方案》，后续将按照相关要求，进行水土保持和土地复垦，闭矿后将对整个矿区进行生态修复，可降低对生态环境的影响</w:t>
      </w:r>
      <w:r>
        <w:rPr>
          <w:rFonts w:hint="default"/>
          <w:lang w:val="en-US" w:eastAsia="zh-CN"/>
        </w:rPr>
        <w:t>。</w:t>
      </w:r>
    </w:p>
    <w:p w14:paraId="30E899CC">
      <w:pPr>
        <w:pStyle w:val="41"/>
        <w:bidi w:val="0"/>
        <w:rPr>
          <w:rFonts w:hint="default"/>
        </w:rPr>
      </w:pPr>
      <w:r>
        <w:rPr>
          <w:rFonts w:hint="default"/>
          <w:lang w:val="en-US" w:eastAsia="zh-CN"/>
        </w:rPr>
        <w:t>综上分析</w:t>
      </w:r>
      <w:r>
        <w:rPr>
          <w:rFonts w:hint="eastAsia"/>
          <w:lang w:val="en-US" w:eastAsia="zh-CN"/>
        </w:rPr>
        <w:t>，</w:t>
      </w:r>
      <w:r>
        <w:rPr>
          <w:rFonts w:hint="default"/>
          <w:lang w:val="en-US" w:eastAsia="zh-CN"/>
        </w:rPr>
        <w:t>项目与周边环境相符</w:t>
      </w:r>
      <w:r>
        <w:rPr>
          <w:rFonts w:hint="eastAsia"/>
          <w:lang w:val="en-US" w:eastAsia="zh-CN"/>
        </w:rPr>
        <w:t>，</w:t>
      </w:r>
      <w:r>
        <w:rPr>
          <w:rFonts w:hint="default"/>
          <w:lang w:val="en-US" w:eastAsia="zh-CN"/>
        </w:rPr>
        <w:t>不存在环境制约因素</w:t>
      </w:r>
      <w:r>
        <w:rPr>
          <w:rFonts w:hint="eastAsia"/>
          <w:lang w:val="en-US" w:eastAsia="zh-CN"/>
        </w:rPr>
        <w:t>，</w:t>
      </w:r>
      <w:r>
        <w:rPr>
          <w:rFonts w:hint="default"/>
          <w:lang w:val="en-US" w:eastAsia="zh-CN"/>
        </w:rPr>
        <w:t>选址是合理可行的。</w:t>
      </w:r>
    </w:p>
    <w:p w14:paraId="7113F5BE">
      <w:pPr>
        <w:pStyle w:val="2"/>
        <w:bidi w:val="0"/>
        <w:rPr>
          <w:rFonts w:hint="default" w:ascii="Times New Roman" w:hAnsi="Times New Roman" w:cs="Times New Roman"/>
          <w:color w:val="000000" w:themeColor="text1"/>
          <w:highlight w:val="none"/>
          <w:lang w:val="en-US" w:eastAsia="zh-CN"/>
          <w14:textFill>
            <w14:solidFill>
              <w14:schemeClr w14:val="tx1"/>
            </w14:solidFill>
          </w14:textFill>
        </w:rPr>
      </w:pPr>
      <w:bookmarkStart w:id="594" w:name="_Toc19372"/>
      <w:r>
        <w:rPr>
          <w:rFonts w:hint="default" w:ascii="Times New Roman" w:hAnsi="Times New Roman" w:cs="Times New Roman"/>
          <w:color w:val="000000" w:themeColor="text1"/>
          <w:highlight w:val="none"/>
          <w:lang w:val="en-US" w:eastAsia="zh-CN"/>
          <w14:textFill>
            <w14:solidFill>
              <w14:schemeClr w14:val="tx1"/>
            </w14:solidFill>
          </w14:textFill>
        </w:rPr>
        <w:t>环境管理与环境监理、监测计划</w:t>
      </w:r>
      <w:bookmarkEnd w:id="594"/>
    </w:p>
    <w:p w14:paraId="746DCED5">
      <w:pPr>
        <w:pStyle w:val="3"/>
        <w:bidi w:val="0"/>
        <w:rPr>
          <w:rFonts w:hint="default" w:ascii="Times New Roman" w:hAnsi="Times New Roman" w:cs="Times New Roman"/>
          <w:color w:val="000000" w:themeColor="text1"/>
          <w:highlight w:val="none"/>
          <w14:textFill>
            <w14:solidFill>
              <w14:schemeClr w14:val="tx1"/>
            </w14:solidFill>
          </w14:textFill>
        </w:rPr>
      </w:pPr>
      <w:bookmarkStart w:id="595" w:name="_Toc227301260"/>
      <w:bookmarkStart w:id="596" w:name="_Toc51158285"/>
      <w:bookmarkStart w:id="597" w:name="_Toc15566"/>
      <w:bookmarkStart w:id="598" w:name="_Toc306116099"/>
      <w:bookmarkStart w:id="599" w:name="_Toc452561791"/>
      <w:bookmarkStart w:id="600" w:name="_Toc225500659"/>
      <w:r>
        <w:rPr>
          <w:rFonts w:hint="default" w:ascii="Times New Roman" w:hAnsi="Times New Roman" w:cs="Times New Roman"/>
          <w:color w:val="000000" w:themeColor="text1"/>
          <w:highlight w:val="none"/>
          <w14:textFill>
            <w14:solidFill>
              <w14:schemeClr w14:val="tx1"/>
            </w14:solidFill>
          </w14:textFill>
        </w:rPr>
        <w:t>环境保护管理计划</w:t>
      </w:r>
      <w:bookmarkEnd w:id="595"/>
      <w:bookmarkEnd w:id="596"/>
      <w:bookmarkEnd w:id="597"/>
      <w:bookmarkEnd w:id="598"/>
      <w:bookmarkEnd w:id="599"/>
      <w:bookmarkEnd w:id="600"/>
    </w:p>
    <w:p w14:paraId="1DB71B7D">
      <w:pPr>
        <w:pStyle w:val="4"/>
        <w:bidi w:val="0"/>
        <w:rPr>
          <w:rFonts w:hint="default"/>
        </w:rPr>
      </w:pPr>
      <w:bookmarkStart w:id="601" w:name="_Toc306116100"/>
      <w:bookmarkStart w:id="602" w:name="_Toc51158286"/>
      <w:bookmarkStart w:id="603" w:name="_Toc22680"/>
      <w:bookmarkStart w:id="604" w:name="_Toc452561792"/>
      <w:r>
        <w:rPr>
          <w:rFonts w:hint="default"/>
        </w:rPr>
        <w:t>管理机构</w:t>
      </w:r>
      <w:bookmarkEnd w:id="601"/>
      <w:bookmarkEnd w:id="602"/>
      <w:bookmarkEnd w:id="603"/>
      <w:bookmarkEnd w:id="604"/>
    </w:p>
    <w:p w14:paraId="62B05788">
      <w:pPr>
        <w:pStyle w:val="41"/>
        <w:bidi w:val="0"/>
        <w:rPr>
          <w:rFonts w:hint="default"/>
        </w:rPr>
      </w:pPr>
      <w:r>
        <w:rPr>
          <w:rFonts w:hint="default"/>
        </w:rPr>
        <w:t>在项目运营期和闭矿期，项目建设方应建立自上而下的专职环境保护机构负责制，并由环境保护主管部门监督，切实落实运营期和闭矿期各项环保措施，环境管理机构如图</w:t>
      </w:r>
      <w:r>
        <w:rPr>
          <w:rFonts w:hint="eastAsia"/>
          <w:lang w:val="en-US" w:eastAsia="zh-CN"/>
        </w:rPr>
        <w:t>10</w:t>
      </w:r>
      <w:r>
        <w:rPr>
          <w:rFonts w:hint="default"/>
          <w:lang w:eastAsia="zh-CN"/>
        </w:rPr>
        <w:t>.</w:t>
      </w:r>
      <w:r>
        <w:rPr>
          <w:rFonts w:hint="default"/>
        </w:rPr>
        <w:t>1-1。其主要职责是：</w:t>
      </w:r>
    </w:p>
    <w:p w14:paraId="73427147">
      <w:pPr>
        <w:pStyle w:val="41"/>
        <w:bidi w:val="0"/>
        <w:rPr>
          <w:rFonts w:hint="default"/>
        </w:rPr>
      </w:pPr>
      <w:r>
        <w:rPr>
          <w:rFonts w:hint="default"/>
        </w:rPr>
        <w:t>（1）贯彻执行国家、地方</w:t>
      </w:r>
      <w:r>
        <w:rPr>
          <w:rFonts w:hint="eastAsia"/>
          <w:lang w:eastAsia="zh-CN"/>
        </w:rPr>
        <w:t>环境保护</w:t>
      </w:r>
      <w:r>
        <w:rPr>
          <w:rFonts w:hint="default"/>
        </w:rPr>
        <w:t>法规和标准。</w:t>
      </w:r>
    </w:p>
    <w:p w14:paraId="2A9F2B11">
      <w:pPr>
        <w:pStyle w:val="41"/>
        <w:bidi w:val="0"/>
        <w:rPr>
          <w:rFonts w:hint="default"/>
        </w:rPr>
      </w:pPr>
      <w:r>
        <w:rPr>
          <w:rFonts w:hint="default"/>
        </w:rPr>
        <w:t>（2）随着工程进展情况，不断落实环评中的环境保护措施，确保环境保护措施与工程同步协调进行。</w:t>
      </w:r>
    </w:p>
    <w:p w14:paraId="7E17B99F">
      <w:pPr>
        <w:pStyle w:val="41"/>
        <w:bidi w:val="0"/>
        <w:rPr>
          <w:rFonts w:hint="default"/>
        </w:rPr>
      </w:pPr>
      <w:r>
        <w:rPr>
          <w:rFonts w:hint="default"/>
        </w:rPr>
        <w:t>（3）制定项目污染物排放和环保设施运转情况，协同当地环保部门处理与本项目有关的环境问题，以及公众提出的意见和建议。</w:t>
      </w:r>
    </w:p>
    <w:p w14:paraId="36C7C041">
      <w:pPr>
        <w:pStyle w:val="41"/>
        <w:bidi w:val="0"/>
        <w:rPr>
          <w:rFonts w:hint="default"/>
        </w:rPr>
      </w:pPr>
      <w:r>
        <w:rPr>
          <w:rFonts w:hint="default"/>
        </w:rPr>
        <w:t>（4）领导并组织项目环境监测工作，建立监测档案。负责环境工作人员业务培训。认真按照环境监测计划完成监测任务。</w:t>
      </w:r>
    </w:p>
    <w:p w14:paraId="09AB7365">
      <w:pPr>
        <w:pStyle w:val="41"/>
        <w:bidi w:val="0"/>
        <w:rPr>
          <w:rFonts w:hint="default"/>
        </w:rPr>
      </w:pPr>
      <w:r>
        <w:rPr>
          <w:rFonts w:hint="default"/>
        </w:rPr>
        <w:t>（5）完成项目环境监控规定的各</w:t>
      </w:r>
      <w:r>
        <w:rPr>
          <w:rFonts w:hint="eastAsia"/>
          <w:lang w:eastAsia="zh-CN"/>
        </w:rPr>
        <w:t>项</w:t>
      </w:r>
      <w:r>
        <w:rPr>
          <w:rFonts w:hint="default"/>
        </w:rPr>
        <w:t>监控任务，按有关规定编制各种报告与报表，并负责向上级领导及环保部门呈报。</w:t>
      </w:r>
    </w:p>
    <w:p w14:paraId="03315BB8">
      <w:pPr>
        <w:pStyle w:val="41"/>
        <w:bidi w:val="0"/>
        <w:rPr>
          <w:rFonts w:hint="default"/>
        </w:rPr>
      </w:pPr>
      <w:r>
        <w:rPr>
          <w:rFonts w:hint="default"/>
        </w:rPr>
        <w:t>（6）组织开展环境教育和技术培训、</w:t>
      </w:r>
      <w:r>
        <w:rPr>
          <w:rFonts w:hint="eastAsia"/>
          <w:lang w:eastAsia="zh-CN"/>
        </w:rPr>
        <w:t>增强</w:t>
      </w:r>
      <w:r>
        <w:rPr>
          <w:rFonts w:hint="default"/>
        </w:rPr>
        <w:t>全体工作人员环境保护意识。</w:t>
      </w:r>
    </w:p>
    <w:p w14:paraId="3E408C69">
      <w:pPr>
        <w:pStyle w:val="41"/>
        <w:bidi w:val="0"/>
        <w:rPr>
          <w:rFonts w:hint="default"/>
        </w:rPr>
      </w:pPr>
      <w:r>
        <w:rPr>
          <w:rFonts w:hint="default"/>
        </w:rPr>
        <w:t>（7）参与项目的污染事故调查，协调环境问题的解决。</w:t>
      </w:r>
    </w:p>
    <w:p w14:paraId="3979A725">
      <w:pPr>
        <w:pStyle w:val="4"/>
        <w:bidi w:val="0"/>
        <w:rPr>
          <w:rFonts w:hint="default"/>
        </w:rPr>
      </w:pPr>
      <w:bookmarkStart w:id="605" w:name="_Toc9240"/>
      <w:bookmarkStart w:id="606" w:name="_Toc51158287"/>
      <w:bookmarkStart w:id="607" w:name="_Toc452561793"/>
      <w:bookmarkStart w:id="608" w:name="_Toc306116101"/>
      <w:r>
        <w:rPr>
          <w:rFonts w:hint="default"/>
        </w:rPr>
        <w:t>环境保护管理计划</w:t>
      </w:r>
      <w:bookmarkEnd w:id="605"/>
      <w:bookmarkEnd w:id="606"/>
      <w:bookmarkEnd w:id="607"/>
      <w:bookmarkEnd w:id="608"/>
    </w:p>
    <w:p w14:paraId="1B973FCD">
      <w:pPr>
        <w:pStyle w:val="41"/>
        <w:bidi w:val="0"/>
        <w:rPr>
          <w:rFonts w:hint="default"/>
        </w:rPr>
      </w:pPr>
      <w:r>
        <w:rPr>
          <w:rFonts w:hint="default"/>
        </w:rPr>
        <w:t>本项目环境监督计划见表</w:t>
      </w:r>
      <w:r>
        <w:rPr>
          <w:rFonts w:hint="eastAsia"/>
          <w:lang w:val="en-US" w:eastAsia="zh-CN"/>
        </w:rPr>
        <w:t>10</w:t>
      </w:r>
      <w:r>
        <w:rPr>
          <w:rFonts w:hint="default"/>
          <w:lang w:eastAsia="zh-CN"/>
        </w:rPr>
        <w:t>.</w:t>
      </w:r>
      <w:r>
        <w:rPr>
          <w:rFonts w:hint="default"/>
        </w:rPr>
        <w:t>1-1，环境管理计划见表</w:t>
      </w:r>
      <w:r>
        <w:rPr>
          <w:rFonts w:hint="eastAsia"/>
          <w:lang w:val="en-US" w:eastAsia="zh-CN"/>
        </w:rPr>
        <w:t>10</w:t>
      </w:r>
      <w:r>
        <w:rPr>
          <w:rFonts w:hint="default"/>
          <w:lang w:eastAsia="zh-CN"/>
        </w:rPr>
        <w:t>.</w:t>
      </w:r>
      <w:r>
        <w:rPr>
          <w:rFonts w:hint="default"/>
        </w:rPr>
        <w:t>1-2。</w:t>
      </w:r>
    </w:p>
    <w:p w14:paraId="6F61989B">
      <w:pPr>
        <w:pStyle w:val="41"/>
        <w:bidi w:val="0"/>
        <w:rPr>
          <w:rFonts w:hint="default"/>
        </w:rPr>
      </w:pPr>
      <w:r>
        <w:rPr>
          <w:rFonts w:hint="default"/>
        </w:rPr>
        <w:t>为了切实减轻环境影响，落实本报告中提出的环境保护计划，在项目运作的各个阶段，应执行相应的环境管理计划：</w:t>
      </w:r>
    </w:p>
    <w:p w14:paraId="010911E7">
      <w:pPr>
        <w:pStyle w:val="41"/>
        <w:bidi w:val="0"/>
        <w:rPr>
          <w:rFonts w:hint="default"/>
        </w:rPr>
      </w:pPr>
      <w:r>
        <w:rPr>
          <w:rFonts w:hint="default"/>
        </w:rPr>
        <w:t>●设计阶段：设计部门应将环境影响报告书中提出的环保措施落实在设计中；建设单位环保部门应对环保措施的工程设计方案负责审查。</w:t>
      </w:r>
    </w:p>
    <w:p w14:paraId="0C31AA1C">
      <w:pPr>
        <w:pStyle w:val="41"/>
        <w:bidi w:val="0"/>
        <w:rPr>
          <w:rFonts w:hint="default"/>
        </w:rPr>
      </w:pPr>
      <w:r>
        <w:rPr>
          <w:rFonts w:hint="default"/>
        </w:rPr>
        <w:t>●生产阶段：项目管理部门成立专职的环保管理机构，负责日常的环境管理、环保设施的维护，落实相关的环境管理制度。制定风险的应急措施。</w:t>
      </w:r>
    </w:p>
    <w:p w14:paraId="2D7DEA71">
      <w:pPr>
        <w:bidi w:val="0"/>
        <w:ind w:left="0" w:leftChars="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object>
          <v:shape id="_x0000_i1029" o:spt="75" type="#_x0000_t75" style="height:121.9pt;width:415.5pt;" o:ole="t" filled="f" o:preferrelative="t" stroked="f" coordsize="21600,21600">
            <v:path/>
            <v:fill on="f" focussize="0,0"/>
            <v:stroke on="f"/>
            <v:imagedata r:id="rId43" o:title=""/>
            <o:lock v:ext="edit" aspectratio="t"/>
            <w10:wrap type="none"/>
            <w10:anchorlock/>
          </v:shape>
          <o:OLEObject Type="Embed" ProgID="Visio.Drawing.11" ShapeID="_x0000_i1029" DrawAspect="Content" ObjectID="_1468075729" r:id="rId42">
            <o:LockedField>false</o:LockedField>
          </o:OLEObject>
        </w:object>
      </w:r>
    </w:p>
    <w:p w14:paraId="37BF9300">
      <w:pPr>
        <w:pStyle w:val="45"/>
        <w:bidi w:val="0"/>
        <w:rPr>
          <w:rFonts w:hint="default"/>
        </w:rPr>
      </w:pPr>
      <w:r>
        <w:rPr>
          <w:rFonts w:hint="default"/>
        </w:rPr>
        <w:t>图</w:t>
      </w:r>
      <w:r>
        <w:rPr>
          <w:rFonts w:hint="eastAsia"/>
          <w:lang w:val="en-US" w:eastAsia="zh-CN"/>
        </w:rPr>
        <w:t>10</w:t>
      </w:r>
      <w:r>
        <w:rPr>
          <w:rFonts w:hint="default"/>
          <w:lang w:eastAsia="zh-CN"/>
        </w:rPr>
        <w:t>.</w:t>
      </w:r>
      <w:r>
        <w:rPr>
          <w:rFonts w:hint="default"/>
        </w:rPr>
        <w:t>1-1  运营期环境管理机构示意图</w:t>
      </w:r>
    </w:p>
    <w:p w14:paraId="77542015">
      <w:pPr>
        <w:pStyle w:val="45"/>
        <w:bidi w:val="0"/>
        <w:rPr>
          <w:rFonts w:hint="default"/>
        </w:rPr>
      </w:pPr>
      <w:bookmarkStart w:id="609" w:name="_Toc175816894"/>
      <w:bookmarkStart w:id="610" w:name="_Toc225500660"/>
      <w:bookmarkStart w:id="611" w:name="_Toc227301261"/>
      <w:bookmarkStart w:id="612" w:name="_Toc306116102"/>
      <w:r>
        <w:rPr>
          <w:rFonts w:hint="default"/>
        </w:rPr>
        <w:t>表</w:t>
      </w:r>
      <w:r>
        <w:rPr>
          <w:rFonts w:hint="eastAsia"/>
          <w:lang w:val="en-US" w:eastAsia="zh-CN"/>
        </w:rPr>
        <w:t>10</w:t>
      </w:r>
      <w:r>
        <w:rPr>
          <w:rFonts w:hint="default"/>
          <w:lang w:eastAsia="zh-CN"/>
        </w:rPr>
        <w:t>.</w:t>
      </w:r>
      <w:r>
        <w:rPr>
          <w:rFonts w:hint="default"/>
        </w:rPr>
        <w:t>1-1  项目环境监督计划</w:t>
      </w:r>
      <w:bookmarkEnd w:id="609"/>
    </w:p>
    <w:tbl>
      <w:tblPr>
        <w:tblStyle w:val="3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5"/>
        <w:gridCol w:w="652"/>
        <w:gridCol w:w="3936"/>
        <w:gridCol w:w="3246"/>
      </w:tblGrid>
      <w:tr w14:paraId="71A1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01" w:type="dxa"/>
            <w:noWrap w:val="0"/>
            <w:vAlign w:val="center"/>
          </w:tcPr>
          <w:p w14:paraId="149DCAB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阶段</w:t>
            </w:r>
          </w:p>
        </w:tc>
        <w:tc>
          <w:tcPr>
            <w:tcW w:w="657" w:type="dxa"/>
            <w:noWrap w:val="0"/>
            <w:vAlign w:val="center"/>
          </w:tcPr>
          <w:p w14:paraId="0270B444">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机构</w:t>
            </w:r>
          </w:p>
        </w:tc>
        <w:tc>
          <w:tcPr>
            <w:tcW w:w="3982" w:type="dxa"/>
            <w:noWrap w:val="0"/>
            <w:vAlign w:val="center"/>
          </w:tcPr>
          <w:p w14:paraId="3A9E35FD">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监督内容</w:t>
            </w:r>
          </w:p>
        </w:tc>
        <w:tc>
          <w:tcPr>
            <w:tcW w:w="3283" w:type="dxa"/>
            <w:noWrap w:val="0"/>
            <w:vAlign w:val="center"/>
          </w:tcPr>
          <w:p w14:paraId="33BABD0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监督目的</w:t>
            </w:r>
          </w:p>
        </w:tc>
      </w:tr>
      <w:tr w14:paraId="50891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01" w:type="dxa"/>
            <w:noWrap w:val="0"/>
            <w:vAlign w:val="center"/>
          </w:tcPr>
          <w:p w14:paraId="434A550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w:t>
            </w:r>
          </w:p>
        </w:tc>
        <w:tc>
          <w:tcPr>
            <w:tcW w:w="657" w:type="dxa"/>
            <w:noWrap w:val="0"/>
            <w:vAlign w:val="center"/>
          </w:tcPr>
          <w:p w14:paraId="47B8DC48">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建设单位环保部门</w:t>
            </w:r>
          </w:p>
        </w:tc>
        <w:tc>
          <w:tcPr>
            <w:tcW w:w="3982" w:type="dxa"/>
            <w:noWrap w:val="0"/>
            <w:vAlign w:val="center"/>
          </w:tcPr>
          <w:p w14:paraId="4A28C56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1 \* GB3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①</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制定环境监督计划，拟定项目施工期环境管理的项目和内容，并进行监督。</w:t>
            </w:r>
          </w:p>
          <w:p w14:paraId="1B2DF02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2 \* GB3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②</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对项目施工过程进行监督管理，防止和减轻施工作业引起的环境污染。</w:t>
            </w:r>
          </w:p>
          <w:p w14:paraId="7C136D2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3 \* GB3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③</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全面监督和检查各施工阶段环境保护措施实施情况和实际效果，及时处理和解决临时出现的环境污染事件。</w:t>
            </w:r>
          </w:p>
          <w:p w14:paraId="45618BB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4 \* GB3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④</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在日常工作中做好环境管理，参与竣工验收。</w:t>
            </w:r>
          </w:p>
        </w:tc>
        <w:tc>
          <w:tcPr>
            <w:tcW w:w="3283" w:type="dxa"/>
            <w:noWrap w:val="0"/>
            <w:vAlign w:val="center"/>
          </w:tcPr>
          <w:p w14:paraId="457B177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落实施工期环保管理及监测计划的实施内容；切实保护环境，使工程施工建设对环境的影响降至最低。</w:t>
            </w:r>
          </w:p>
        </w:tc>
      </w:tr>
      <w:tr w14:paraId="54C17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01" w:type="dxa"/>
            <w:vMerge w:val="restart"/>
            <w:noWrap w:val="0"/>
            <w:vAlign w:val="center"/>
          </w:tcPr>
          <w:p w14:paraId="6FCE09C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运营期</w:t>
            </w:r>
          </w:p>
        </w:tc>
        <w:tc>
          <w:tcPr>
            <w:tcW w:w="657" w:type="dxa"/>
            <w:vMerge w:val="restart"/>
            <w:noWrap w:val="0"/>
            <w:vAlign w:val="center"/>
          </w:tcPr>
          <w:p w14:paraId="68D2E462">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建设单位环保部门</w:t>
            </w:r>
          </w:p>
        </w:tc>
        <w:tc>
          <w:tcPr>
            <w:tcW w:w="3982" w:type="dxa"/>
            <w:noWrap w:val="0"/>
            <w:vAlign w:val="center"/>
          </w:tcPr>
          <w:p w14:paraId="0BC2567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检查生产期环保管理及监测计划的实施，检查有无必要采取进一步的环保措施（或出现原来未估计到的环境问题）。</w:t>
            </w:r>
          </w:p>
        </w:tc>
        <w:tc>
          <w:tcPr>
            <w:tcW w:w="3283" w:type="dxa"/>
            <w:noWrap w:val="0"/>
            <w:vAlign w:val="center"/>
          </w:tcPr>
          <w:p w14:paraId="092A942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落实环保管理及监测计划的实施内容；切实保护环境，使工程建设和运营对环境的影响降至最低。</w:t>
            </w:r>
          </w:p>
        </w:tc>
      </w:tr>
      <w:tr w14:paraId="0C801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01" w:type="dxa"/>
            <w:vMerge w:val="continue"/>
            <w:noWrap w:val="0"/>
            <w:vAlign w:val="center"/>
          </w:tcPr>
          <w:p w14:paraId="406BB983">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7" w:type="dxa"/>
            <w:vMerge w:val="continue"/>
            <w:noWrap w:val="0"/>
            <w:vAlign w:val="center"/>
          </w:tcPr>
          <w:p w14:paraId="203B5916">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3982" w:type="dxa"/>
            <w:noWrap w:val="0"/>
            <w:vAlign w:val="center"/>
          </w:tcPr>
          <w:p w14:paraId="3C27253D">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检查环境敏感区的环境质量是否满足其相应质量标准要求。</w:t>
            </w:r>
          </w:p>
        </w:tc>
        <w:tc>
          <w:tcPr>
            <w:tcW w:w="3283" w:type="dxa"/>
            <w:noWrap w:val="0"/>
            <w:vAlign w:val="center"/>
          </w:tcPr>
          <w:p w14:paraId="7EA3C59A">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加强环境管理，切实保护人群生活质量。</w:t>
            </w:r>
          </w:p>
        </w:tc>
      </w:tr>
      <w:tr w14:paraId="5CE58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01" w:type="dxa"/>
            <w:vMerge w:val="continue"/>
            <w:noWrap w:val="0"/>
            <w:vAlign w:val="center"/>
          </w:tcPr>
          <w:p w14:paraId="3133C8C7">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657" w:type="dxa"/>
            <w:vMerge w:val="continue"/>
            <w:noWrap w:val="0"/>
            <w:vAlign w:val="center"/>
          </w:tcPr>
          <w:p w14:paraId="5594E8E4">
            <w:pPr>
              <w:pStyle w:val="43"/>
              <w:bidi w:val="0"/>
              <w:rPr>
                <w:rFonts w:hint="default" w:ascii="Times New Roman" w:hAnsi="Times New Roman" w:cs="Times New Roman"/>
                <w:color w:val="000000" w:themeColor="text1"/>
                <w:highlight w:val="none"/>
                <w14:textFill>
                  <w14:solidFill>
                    <w14:schemeClr w14:val="tx1"/>
                  </w14:solidFill>
                </w14:textFill>
              </w:rPr>
            </w:pPr>
          </w:p>
        </w:tc>
        <w:tc>
          <w:tcPr>
            <w:tcW w:w="3982" w:type="dxa"/>
            <w:noWrap w:val="0"/>
            <w:vAlign w:val="center"/>
          </w:tcPr>
          <w:p w14:paraId="3243C00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加强监督，防止突发事故，消除事故隐患。预先制定紧急事故应急方案，一旦发生事故能及时</w:t>
            </w:r>
            <w:r>
              <w:rPr>
                <w:rFonts w:hint="default" w:ascii="Times New Roman" w:hAnsi="Times New Roman" w:cs="Times New Roman"/>
                <w:color w:val="000000" w:themeColor="text1"/>
                <w:highlight w:val="none"/>
                <w:lang w:eastAsia="zh-CN"/>
                <w14:textFill>
                  <w14:solidFill>
                    <w14:schemeClr w14:val="tx1"/>
                  </w14:solidFill>
                </w14:textFill>
              </w:rPr>
              <w:t>消除</w:t>
            </w:r>
            <w:r>
              <w:rPr>
                <w:rFonts w:hint="default" w:ascii="Times New Roman" w:hAnsi="Times New Roman" w:cs="Times New Roman"/>
                <w:color w:val="000000" w:themeColor="text1"/>
                <w:highlight w:val="none"/>
                <w14:textFill>
                  <w14:solidFill>
                    <w14:schemeClr w14:val="tx1"/>
                  </w14:solidFill>
                </w14:textFill>
              </w:rPr>
              <w:t>危险。</w:t>
            </w:r>
          </w:p>
        </w:tc>
        <w:tc>
          <w:tcPr>
            <w:tcW w:w="3283" w:type="dxa"/>
            <w:noWrap w:val="0"/>
            <w:vAlign w:val="center"/>
          </w:tcPr>
          <w:p w14:paraId="3CD242C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消防事故隐患，避免发生恶性污染事件。</w:t>
            </w:r>
          </w:p>
        </w:tc>
      </w:tr>
    </w:tbl>
    <w:p w14:paraId="4F0A14DB">
      <w:pPr>
        <w:bidi w:val="0"/>
        <w:rPr>
          <w:rFonts w:hint="default" w:ascii="Times New Roman" w:hAnsi="Times New Roman" w:cs="Times New Roman"/>
          <w:color w:val="000000" w:themeColor="text1"/>
          <w:highlight w:val="none"/>
          <w14:textFill>
            <w14:solidFill>
              <w14:schemeClr w14:val="tx1"/>
            </w14:solidFill>
          </w14:textFill>
        </w:rPr>
        <w:sectPr>
          <w:headerReference r:id="rId13" w:type="default"/>
          <w:footerReference r:id="rId14" w:type="default"/>
          <w:pgSz w:w="11907" w:h="16840"/>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5C35ED81">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bookmarkStart w:id="613" w:name="_Toc175816895"/>
      <w:r>
        <w:rPr>
          <w:rFonts w:hint="default" w:ascii="Times New Roman" w:hAnsi="Times New Roman" w:cs="Times New Roman"/>
          <w:b/>
          <w:bCs/>
          <w:color w:val="000000" w:themeColor="text1"/>
          <w:highlight w:val="none"/>
          <w14:textFill>
            <w14:solidFill>
              <w14:schemeClr w14:val="tx1"/>
            </w14:solidFill>
          </w14:textFill>
        </w:rPr>
        <w:t>表</w:t>
      </w:r>
      <w:r>
        <w:rPr>
          <w:rFonts w:hint="eastAsia" w:cs="Times New Roman"/>
          <w:b/>
          <w:bCs/>
          <w:color w:val="000000" w:themeColor="text1"/>
          <w:highlight w:val="none"/>
          <w:lang w:val="en-US" w:eastAsia="zh-CN"/>
          <w14:textFill>
            <w14:solidFill>
              <w14:schemeClr w14:val="tx1"/>
            </w14:solidFill>
          </w14:textFill>
        </w:rPr>
        <w:t>10</w:t>
      </w:r>
      <w:r>
        <w:rPr>
          <w:rFonts w:hint="default" w:ascii="Times New Roman" w:hAnsi="Times New Roman" w:cs="Times New Roman"/>
          <w:b/>
          <w:bCs/>
          <w:color w:val="000000" w:themeColor="text1"/>
          <w:highlight w:val="none"/>
          <w:lang w:eastAsia="zh-CN"/>
          <w14:textFill>
            <w14:solidFill>
              <w14:schemeClr w14:val="tx1"/>
            </w14:solidFill>
          </w14:textFill>
        </w:rPr>
        <w:t>.</w:t>
      </w:r>
      <w:r>
        <w:rPr>
          <w:rFonts w:hint="default" w:ascii="Times New Roman" w:hAnsi="Times New Roman" w:cs="Times New Roman"/>
          <w:b/>
          <w:bCs/>
          <w:color w:val="000000" w:themeColor="text1"/>
          <w:highlight w:val="none"/>
          <w14:textFill>
            <w14:solidFill>
              <w14:schemeClr w14:val="tx1"/>
            </w14:solidFill>
          </w14:textFill>
        </w:rPr>
        <w:t>1-2  项目环境管理计划</w:t>
      </w:r>
      <w:bookmarkEnd w:id="613"/>
    </w:p>
    <w:tbl>
      <w:tblPr>
        <w:tblStyle w:val="34"/>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57"/>
        <w:gridCol w:w="7902"/>
        <w:gridCol w:w="949"/>
        <w:gridCol w:w="1077"/>
      </w:tblGrid>
      <w:tr w14:paraId="36BC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4054" w:type="dxa"/>
            <w:noWrap w:val="0"/>
            <w:vAlign w:val="center"/>
          </w:tcPr>
          <w:p w14:paraId="3113E522">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潜在的环境影响</w:t>
            </w:r>
          </w:p>
        </w:tc>
        <w:tc>
          <w:tcPr>
            <w:tcW w:w="7898" w:type="dxa"/>
            <w:noWrap w:val="0"/>
            <w:vAlign w:val="center"/>
          </w:tcPr>
          <w:p w14:paraId="3E3E521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管理计划</w:t>
            </w:r>
          </w:p>
        </w:tc>
        <w:tc>
          <w:tcPr>
            <w:tcW w:w="948" w:type="dxa"/>
            <w:noWrap w:val="0"/>
            <w:vAlign w:val="center"/>
          </w:tcPr>
          <w:p w14:paraId="51B4F80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实施机构</w:t>
            </w:r>
          </w:p>
        </w:tc>
        <w:tc>
          <w:tcPr>
            <w:tcW w:w="1076" w:type="dxa"/>
            <w:noWrap w:val="0"/>
            <w:vAlign w:val="center"/>
          </w:tcPr>
          <w:p w14:paraId="0F22D389">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监督机构</w:t>
            </w:r>
          </w:p>
        </w:tc>
      </w:tr>
      <w:tr w14:paraId="4DD9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054" w:type="dxa"/>
            <w:noWrap w:val="0"/>
            <w:vAlign w:val="center"/>
          </w:tcPr>
          <w:p w14:paraId="436E0363">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一、施工期</w:t>
            </w:r>
          </w:p>
          <w:p w14:paraId="52287C70">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1.施工设备润滑剂、燃料对土壤的污染；</w:t>
            </w:r>
          </w:p>
          <w:p w14:paraId="426D2CC3">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2.施工现场粉尘和噪声、空气污染；</w:t>
            </w:r>
          </w:p>
          <w:p w14:paraId="6E7D659E">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3.产生的生态破坏；</w:t>
            </w:r>
          </w:p>
          <w:p w14:paraId="3FEDC735">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4.施工现场固体废弃物；</w:t>
            </w:r>
          </w:p>
        </w:tc>
        <w:tc>
          <w:tcPr>
            <w:tcW w:w="7898" w:type="dxa"/>
            <w:noWrap w:val="0"/>
            <w:vAlign w:val="center"/>
          </w:tcPr>
          <w:p w14:paraId="2C3CDBD1">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认真实施水保措施。</w:t>
            </w:r>
          </w:p>
          <w:p w14:paraId="4FA6CED4">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加强润滑剂、燃油的管理，避免意外</w:t>
            </w:r>
            <w:r>
              <w:rPr>
                <w:rFonts w:hint="eastAsia" w:cs="Times New Roman"/>
                <w:color w:val="000000" w:themeColor="text1"/>
                <w:highlight w:val="none"/>
                <w:lang w:eastAsia="zh-CN"/>
                <w14:textFill>
                  <w14:solidFill>
                    <w14:schemeClr w14:val="tx1"/>
                  </w14:solidFill>
                </w14:textFill>
              </w:rPr>
              <w:t>洒落</w:t>
            </w:r>
            <w:r>
              <w:rPr>
                <w:rFonts w:hint="default" w:ascii="Times New Roman" w:hAnsi="Times New Roman" w:cs="Times New Roman"/>
                <w:color w:val="000000" w:themeColor="text1"/>
                <w:highlight w:val="none"/>
                <w14:textFill>
                  <w14:solidFill>
                    <w14:schemeClr w14:val="tx1"/>
                  </w14:solidFill>
                </w14:textFill>
              </w:rPr>
              <w:t>。</w:t>
            </w:r>
          </w:p>
          <w:p w14:paraId="258027E9">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使用先进设备装置，恰当选择作业场所。</w:t>
            </w:r>
          </w:p>
          <w:p w14:paraId="1F4C50F5">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4.</w:t>
            </w:r>
            <w:r>
              <w:rPr>
                <w:rFonts w:hint="default" w:ascii="Times New Roman" w:hAnsi="Times New Roman" w:cs="Times New Roman"/>
                <w:color w:val="000000" w:themeColor="text1"/>
                <w:highlight w:val="none"/>
                <w14:textFill>
                  <w14:solidFill>
                    <w14:schemeClr w14:val="tx1"/>
                  </w14:solidFill>
                </w14:textFill>
              </w:rPr>
              <w:t>临时道路定期洒水，对设备及时维护避免带病作业。</w:t>
            </w:r>
          </w:p>
          <w:p w14:paraId="69D426E7">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通过设计使之与地形（景观）相融，重新修理破碎的地表。</w:t>
            </w:r>
          </w:p>
          <w:p w14:paraId="49FD4E6D">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6.</w:t>
            </w:r>
            <w:r>
              <w:rPr>
                <w:rFonts w:hint="default" w:ascii="Times New Roman" w:hAnsi="Times New Roman" w:cs="Times New Roman"/>
                <w:color w:val="000000" w:themeColor="text1"/>
                <w:highlight w:val="none"/>
                <w:lang w:val="en-US" w:eastAsia="zh-CN"/>
                <w14:textFill>
                  <w14:solidFill>
                    <w14:schemeClr w14:val="tx1"/>
                  </w14:solidFill>
                </w14:textFill>
              </w:rPr>
              <w:t>废土石</w:t>
            </w:r>
            <w:r>
              <w:rPr>
                <w:rFonts w:hint="default" w:ascii="Times New Roman" w:hAnsi="Times New Roman" w:cs="Times New Roman"/>
                <w:color w:val="000000" w:themeColor="text1"/>
                <w:highlight w:val="none"/>
                <w14:textFill>
                  <w14:solidFill>
                    <w14:schemeClr w14:val="tx1"/>
                  </w14:solidFill>
                </w14:textFill>
              </w:rPr>
              <w:t>收集后，及时清运至</w:t>
            </w:r>
            <w:r>
              <w:rPr>
                <w:rFonts w:hint="eastAsia" w:cs="Times New Roman"/>
                <w:color w:val="000000" w:themeColor="text1"/>
                <w:highlight w:val="none"/>
                <w:lang w:val="en-US" w:eastAsia="zh-CN"/>
                <w14:textFill>
                  <w14:solidFill>
                    <w14:schemeClr w14:val="tx1"/>
                  </w14:solidFill>
                </w14:textFill>
              </w:rPr>
              <w:t>弃渣场</w:t>
            </w:r>
            <w:r>
              <w:rPr>
                <w:rFonts w:hint="default" w:ascii="Times New Roman" w:hAnsi="Times New Roman" w:cs="Times New Roman"/>
                <w:color w:val="000000" w:themeColor="text1"/>
                <w:highlight w:val="none"/>
                <w14:textFill>
                  <w14:solidFill>
                    <w14:schemeClr w14:val="tx1"/>
                  </w14:solidFill>
                </w14:textFill>
              </w:rPr>
              <w:t>。</w:t>
            </w:r>
          </w:p>
        </w:tc>
        <w:tc>
          <w:tcPr>
            <w:tcW w:w="948" w:type="dxa"/>
            <w:noWrap w:val="0"/>
            <w:vAlign w:val="center"/>
          </w:tcPr>
          <w:p w14:paraId="5DC252B4">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建设单位</w:t>
            </w:r>
          </w:p>
        </w:tc>
        <w:tc>
          <w:tcPr>
            <w:tcW w:w="1076" w:type="dxa"/>
            <w:noWrap w:val="0"/>
            <w:vAlign w:val="center"/>
          </w:tcPr>
          <w:p w14:paraId="60D67639">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文山州生态环境局砚山分局</w:t>
            </w:r>
          </w:p>
        </w:tc>
      </w:tr>
      <w:tr w14:paraId="3257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054" w:type="dxa"/>
            <w:noWrap w:val="0"/>
            <w:vAlign w:val="center"/>
          </w:tcPr>
          <w:p w14:paraId="4D5CF7B3">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二、运营期</w:t>
            </w:r>
          </w:p>
          <w:p w14:paraId="690EC1C2">
            <w:pPr>
              <w:pStyle w:val="43"/>
              <w:bidi w:val="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1.矿山开采、运输产生的环境空气、噪声污染</w:t>
            </w:r>
            <w:r>
              <w:rPr>
                <w:rFonts w:hint="default" w:ascii="Times New Roman" w:hAnsi="Times New Roman" w:cs="Times New Roman"/>
                <w:color w:val="000000" w:themeColor="text1"/>
                <w:highlight w:val="none"/>
                <w:lang w:eastAsia="zh-CN"/>
                <w14:textFill>
                  <w14:solidFill>
                    <w14:schemeClr w14:val="tx1"/>
                  </w14:solidFill>
                </w14:textFill>
              </w:rPr>
              <w:t>；</w:t>
            </w:r>
          </w:p>
          <w:p w14:paraId="28EB0B84">
            <w:pPr>
              <w:pStyle w:val="43"/>
              <w:bidi w:val="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矿坑涌水、初期雨水</w:t>
            </w:r>
            <w:r>
              <w:rPr>
                <w:rFonts w:hint="default" w:ascii="Times New Roman" w:hAnsi="Times New Roman" w:cs="Times New Roman"/>
                <w:color w:val="000000" w:themeColor="text1"/>
                <w:highlight w:val="none"/>
                <w14:textFill>
                  <w14:solidFill>
                    <w14:schemeClr w14:val="tx1"/>
                  </w14:solidFill>
                </w14:textFill>
              </w:rPr>
              <w:t>的污染</w:t>
            </w:r>
            <w:r>
              <w:rPr>
                <w:rFonts w:hint="default" w:ascii="Times New Roman" w:hAnsi="Times New Roman" w:cs="Times New Roman"/>
                <w:color w:val="000000" w:themeColor="text1"/>
                <w:highlight w:val="none"/>
                <w:lang w:eastAsia="zh-CN"/>
                <w14:textFill>
                  <w14:solidFill>
                    <w14:schemeClr w14:val="tx1"/>
                  </w14:solidFill>
                </w14:textFill>
              </w:rPr>
              <w:t>；</w:t>
            </w:r>
          </w:p>
          <w:p w14:paraId="73D359C0">
            <w:pPr>
              <w:pStyle w:val="43"/>
              <w:bidi w:val="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3.固体废物的排放</w:t>
            </w:r>
            <w:r>
              <w:rPr>
                <w:rFonts w:hint="default" w:ascii="Times New Roman" w:hAnsi="Times New Roman" w:cs="Times New Roman"/>
                <w:color w:val="000000" w:themeColor="text1"/>
                <w:highlight w:val="none"/>
                <w:lang w:eastAsia="zh-CN"/>
                <w14:textFill>
                  <w14:solidFill>
                    <w14:schemeClr w14:val="tx1"/>
                  </w14:solidFill>
                </w14:textFill>
              </w:rPr>
              <w:t>；</w:t>
            </w:r>
          </w:p>
          <w:p w14:paraId="480CC7B5">
            <w:pPr>
              <w:pStyle w:val="43"/>
              <w:bidi w:val="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4.产生的风险事故，由此可导致影响</w:t>
            </w:r>
            <w:r>
              <w:rPr>
                <w:rFonts w:hint="default" w:ascii="Times New Roman" w:hAnsi="Times New Roman" w:cs="Times New Roman"/>
                <w:color w:val="000000" w:themeColor="text1"/>
                <w:highlight w:val="none"/>
                <w:lang w:eastAsia="zh-CN"/>
                <w14:textFill>
                  <w14:solidFill>
                    <w14:schemeClr w14:val="tx1"/>
                  </w14:solidFill>
                </w14:textFill>
              </w:rPr>
              <w:t>；</w:t>
            </w:r>
          </w:p>
        </w:tc>
        <w:tc>
          <w:tcPr>
            <w:tcW w:w="7898" w:type="dxa"/>
            <w:noWrap w:val="0"/>
            <w:vAlign w:val="center"/>
          </w:tcPr>
          <w:p w14:paraId="5908AB6D">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项目环保设施建成后及时组织竣工验收，检查环保设施是否达到</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三同时</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要求。</w:t>
            </w:r>
          </w:p>
          <w:p w14:paraId="3D6745A0">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加强环保设施的管理，定期检查项目内各设施运行情况，如截、排水是否堵塞。若发现故障，要及时排除，保证环保设施正常运转。</w:t>
            </w:r>
          </w:p>
          <w:p w14:paraId="3D3B1AB6">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项目生产过程中，防止设备噪声、生产过程中产生的粉尘等对环境造成影响。</w:t>
            </w:r>
          </w:p>
          <w:p w14:paraId="50FFFC54">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4.</w:t>
            </w:r>
            <w:r>
              <w:rPr>
                <w:rFonts w:hint="default" w:ascii="Times New Roman" w:hAnsi="Times New Roman" w:cs="Times New Roman"/>
                <w:color w:val="000000" w:themeColor="text1"/>
                <w:highlight w:val="none"/>
                <w14:textFill>
                  <w14:solidFill>
                    <w14:schemeClr w14:val="tx1"/>
                  </w14:solidFill>
                </w14:textFill>
              </w:rPr>
              <w:t>运用经济、教育、行政、法律及其它手段，加强项目内人员的环保意识，加强环境保护的自觉性，不断提高环境管理水平。</w:t>
            </w:r>
          </w:p>
        </w:tc>
        <w:tc>
          <w:tcPr>
            <w:tcW w:w="948" w:type="dxa"/>
            <w:noWrap w:val="0"/>
            <w:vAlign w:val="center"/>
          </w:tcPr>
          <w:p w14:paraId="6EC05A70">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建设单位</w:t>
            </w:r>
          </w:p>
        </w:tc>
        <w:tc>
          <w:tcPr>
            <w:tcW w:w="1076" w:type="dxa"/>
            <w:noWrap w:val="0"/>
            <w:vAlign w:val="center"/>
          </w:tcPr>
          <w:p w14:paraId="7F05670F">
            <w:pPr>
              <w:pStyle w:val="43"/>
              <w:bidi w:val="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文山州生态环境局砚山分局</w:t>
            </w:r>
          </w:p>
        </w:tc>
      </w:tr>
      <w:tr w14:paraId="425F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054" w:type="dxa"/>
            <w:noWrap w:val="0"/>
            <w:vAlign w:val="center"/>
          </w:tcPr>
          <w:p w14:paraId="39CEAA9B">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三、闭矿期</w:t>
            </w:r>
          </w:p>
          <w:p w14:paraId="018C94E8">
            <w:pPr>
              <w:pStyle w:val="43"/>
              <w:bidi w:val="0"/>
              <w:jc w:val="left"/>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由于采矿活动造成采场地表生态破坏、开裂，局部地段可能会发生滑坡等地质灾害</w:t>
            </w:r>
            <w:r>
              <w:rPr>
                <w:rFonts w:hint="default" w:ascii="Times New Roman" w:hAnsi="Times New Roman" w:cs="Times New Roman"/>
                <w:color w:val="000000" w:themeColor="text1"/>
                <w:highlight w:val="none"/>
                <w:lang w:eastAsia="zh-CN"/>
                <w14:textFill>
                  <w14:solidFill>
                    <w14:schemeClr w14:val="tx1"/>
                  </w14:solidFill>
                </w14:textFill>
              </w:rPr>
              <w:t>；</w:t>
            </w:r>
          </w:p>
          <w:p w14:paraId="66D6BCD1">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采场</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弃渣场</w:t>
            </w:r>
            <w:r>
              <w:rPr>
                <w:rFonts w:hint="default" w:ascii="Times New Roman" w:hAnsi="Times New Roman" w:cs="Times New Roman"/>
                <w:color w:val="000000" w:themeColor="text1"/>
                <w:highlight w:val="none"/>
                <w14:textFill>
                  <w14:solidFill>
                    <w14:schemeClr w14:val="tx1"/>
                  </w14:solidFill>
                </w14:textFill>
              </w:rPr>
              <w:t>表疏松，在降雨影响下，易形成水土流失，且水土流失程度较开采前大大加重。</w:t>
            </w:r>
          </w:p>
        </w:tc>
        <w:tc>
          <w:tcPr>
            <w:tcW w:w="7898" w:type="dxa"/>
            <w:noWrap w:val="0"/>
            <w:vAlign w:val="center"/>
          </w:tcPr>
          <w:p w14:paraId="310A6AB1">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1.</w:t>
            </w:r>
            <w:r>
              <w:rPr>
                <w:rFonts w:hint="eastAsia" w:cs="Times New Roman"/>
                <w:color w:val="000000" w:themeColor="text1"/>
                <w:highlight w:val="none"/>
                <w:lang w:val="en-US" w:eastAsia="zh-CN"/>
                <w14:textFill>
                  <w14:solidFill>
                    <w14:schemeClr w14:val="tx1"/>
                  </w14:solidFill>
                </w14:textFill>
              </w:rPr>
              <w:t>各场地闭矿期应进行植被恢复</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剥离区</w:t>
            </w:r>
            <w:r>
              <w:rPr>
                <w:rFonts w:hint="default" w:ascii="Times New Roman" w:hAnsi="Times New Roman" w:cs="Times New Roman"/>
                <w:color w:val="000000" w:themeColor="text1"/>
                <w:highlight w:val="none"/>
                <w14:textFill>
                  <w14:solidFill>
                    <w14:schemeClr w14:val="tx1"/>
                  </w14:solidFill>
                </w14:textFill>
              </w:rPr>
              <w:t>适地适树，恢复植被，同时考虑生态效益和景观效益，充分发挥土地生产力，以获得最大的水土保持效益</w:t>
            </w:r>
          </w:p>
          <w:p w14:paraId="65DB949C">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在</w:t>
            </w:r>
            <w:r>
              <w:rPr>
                <w:rFonts w:hint="eastAsia" w:cs="Times New Roman"/>
                <w:color w:val="000000" w:themeColor="text1"/>
                <w:highlight w:val="none"/>
                <w:lang w:val="en-US" w:eastAsia="zh-CN"/>
                <w14:textFill>
                  <w14:solidFill>
                    <w14:schemeClr w14:val="tx1"/>
                  </w14:solidFill>
                </w14:textFill>
              </w:rPr>
              <w:t>表土堆场</w:t>
            </w:r>
            <w:r>
              <w:rPr>
                <w:rFonts w:hint="default" w:ascii="Times New Roman" w:hAnsi="Times New Roman" w:cs="Times New Roman"/>
                <w:color w:val="000000" w:themeColor="text1"/>
                <w:highlight w:val="none"/>
                <w14:textFill>
                  <w14:solidFill>
                    <w14:schemeClr w14:val="tx1"/>
                  </w14:solidFill>
                </w14:textFill>
              </w:rPr>
              <w:t>使用结束后，恢复</w:t>
            </w:r>
            <w:r>
              <w:rPr>
                <w:rFonts w:hint="eastAsia" w:cs="Times New Roman"/>
                <w:color w:val="000000" w:themeColor="text1"/>
                <w:highlight w:val="none"/>
                <w:lang w:val="en-US" w:eastAsia="zh-CN"/>
                <w14:textFill>
                  <w14:solidFill>
                    <w14:schemeClr w14:val="tx1"/>
                  </w14:solidFill>
                </w14:textFill>
              </w:rPr>
              <w:t>表土堆场</w:t>
            </w:r>
            <w:r>
              <w:rPr>
                <w:rFonts w:hint="default" w:ascii="Times New Roman" w:hAnsi="Times New Roman" w:cs="Times New Roman"/>
                <w:color w:val="000000" w:themeColor="text1"/>
                <w:highlight w:val="none"/>
                <w14:textFill>
                  <w14:solidFill>
                    <w14:schemeClr w14:val="tx1"/>
                  </w14:solidFill>
                </w14:textFill>
              </w:rPr>
              <w:t>植被，改善项目区景观。</w:t>
            </w:r>
          </w:p>
          <w:p w14:paraId="69D120F3">
            <w:pPr>
              <w:pStyle w:val="43"/>
              <w:bidi w:val="0"/>
              <w:jc w:val="left"/>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按照</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适地适树、适地适草</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的原则，结合立地条件及植被特点选用绿化树种。</w:t>
            </w:r>
          </w:p>
        </w:tc>
        <w:tc>
          <w:tcPr>
            <w:tcW w:w="948" w:type="dxa"/>
            <w:noWrap w:val="0"/>
            <w:vAlign w:val="center"/>
          </w:tcPr>
          <w:p w14:paraId="13C2DCC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建设单位</w:t>
            </w:r>
          </w:p>
        </w:tc>
        <w:tc>
          <w:tcPr>
            <w:tcW w:w="1076" w:type="dxa"/>
            <w:noWrap w:val="0"/>
            <w:vAlign w:val="center"/>
          </w:tcPr>
          <w:p w14:paraId="14B55A5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文山州生态环境局砚山分局</w:t>
            </w:r>
          </w:p>
        </w:tc>
      </w:tr>
    </w:tbl>
    <w:p w14:paraId="70DA9886">
      <w:pPr>
        <w:bidi w:val="0"/>
        <w:rPr>
          <w:rFonts w:hint="default" w:ascii="Times New Roman" w:hAnsi="Times New Roman" w:cs="Times New Roman"/>
          <w:color w:val="000000" w:themeColor="text1"/>
          <w:highlight w:val="none"/>
          <w14:textFill>
            <w14:solidFill>
              <w14:schemeClr w14:val="tx1"/>
            </w14:solidFill>
          </w14:textFill>
        </w:rPr>
        <w:sectPr>
          <w:headerReference r:id="rId15" w:type="default"/>
          <w:pgSz w:w="16838" w:h="11906" w:orient="landscape"/>
          <w:pgMar w:top="1797" w:right="1440" w:bottom="1797"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610"/>
    <w:bookmarkEnd w:id="611"/>
    <w:bookmarkEnd w:id="612"/>
    <w:p w14:paraId="41E71863">
      <w:pPr>
        <w:pStyle w:val="3"/>
        <w:bidi w:val="0"/>
        <w:rPr>
          <w:rFonts w:hint="default" w:ascii="Times New Roman" w:hAnsi="Times New Roman" w:cs="Times New Roman"/>
          <w:color w:val="000000" w:themeColor="text1"/>
          <w:highlight w:val="none"/>
          <w14:textFill>
            <w14:solidFill>
              <w14:schemeClr w14:val="tx1"/>
            </w14:solidFill>
          </w14:textFill>
        </w:rPr>
      </w:pPr>
      <w:bookmarkStart w:id="614" w:name="_Toc227301262"/>
      <w:bookmarkStart w:id="615" w:name="_Toc452561801"/>
      <w:bookmarkStart w:id="616" w:name="_Toc225500661"/>
      <w:bookmarkStart w:id="617" w:name="_Toc306116109"/>
      <w:bookmarkStart w:id="618" w:name="_Toc51158288"/>
      <w:bookmarkStart w:id="619" w:name="_Toc24492"/>
      <w:r>
        <w:rPr>
          <w:rFonts w:hint="default" w:ascii="Times New Roman" w:hAnsi="Times New Roman" w:cs="Times New Roman"/>
          <w:color w:val="000000" w:themeColor="text1"/>
          <w:highlight w:val="none"/>
          <w14:textFill>
            <w14:solidFill>
              <w14:schemeClr w14:val="tx1"/>
            </w14:solidFill>
          </w14:textFill>
        </w:rPr>
        <w:t>监测</w:t>
      </w:r>
      <w:bookmarkEnd w:id="614"/>
      <w:bookmarkEnd w:id="615"/>
      <w:bookmarkEnd w:id="616"/>
      <w:bookmarkEnd w:id="617"/>
      <w:r>
        <w:rPr>
          <w:rFonts w:hint="default" w:ascii="Times New Roman" w:hAnsi="Times New Roman" w:cs="Times New Roman"/>
          <w:color w:val="000000" w:themeColor="text1"/>
          <w:highlight w:val="none"/>
          <w14:textFill>
            <w14:solidFill>
              <w14:schemeClr w14:val="tx1"/>
            </w14:solidFill>
          </w14:textFill>
        </w:rPr>
        <w:t>内容及计划</w:t>
      </w:r>
      <w:bookmarkEnd w:id="618"/>
      <w:bookmarkEnd w:id="619"/>
    </w:p>
    <w:p w14:paraId="0D1197D1">
      <w:pPr>
        <w:pStyle w:val="4"/>
        <w:bidi w:val="0"/>
        <w:rPr>
          <w:rFonts w:hint="default"/>
        </w:rPr>
      </w:pPr>
      <w:bookmarkStart w:id="620" w:name="_Toc51158290"/>
      <w:bookmarkStart w:id="621" w:name="_Toc18632"/>
      <w:bookmarkStart w:id="622" w:name="_Toc306116112"/>
      <w:r>
        <w:rPr>
          <w:rFonts w:hint="default"/>
        </w:rPr>
        <w:t>运营期监测</w:t>
      </w:r>
      <w:bookmarkEnd w:id="620"/>
      <w:bookmarkEnd w:id="621"/>
    </w:p>
    <w:p w14:paraId="1E3DC689">
      <w:pPr>
        <w:pStyle w:val="41"/>
        <w:bidi w:val="0"/>
        <w:rPr>
          <w:rFonts w:hint="default"/>
        </w:rPr>
      </w:pPr>
      <w:r>
        <w:rPr>
          <w:rFonts w:hint="default"/>
        </w:rPr>
        <w:t>项目运营期监测内容、监测点位与验收监测相同，具体监测频次见下表。</w:t>
      </w:r>
    </w:p>
    <w:p w14:paraId="4305BAA2">
      <w:pPr>
        <w:pStyle w:val="45"/>
        <w:bidi w:val="0"/>
        <w:rPr>
          <w:rFonts w:hint="default"/>
          <w:lang w:val="en-US" w:eastAsia="zh-CN"/>
        </w:rPr>
      </w:pPr>
      <w:r>
        <w:rPr>
          <w:rFonts w:hint="default"/>
        </w:rPr>
        <w:t>表</w:t>
      </w:r>
      <w:r>
        <w:rPr>
          <w:rFonts w:hint="eastAsia"/>
          <w:lang w:val="en-US" w:eastAsia="zh-CN"/>
        </w:rPr>
        <w:t>10</w:t>
      </w:r>
      <w:r>
        <w:rPr>
          <w:rFonts w:hint="default"/>
          <w:lang w:eastAsia="zh-CN"/>
        </w:rPr>
        <w:t>.</w:t>
      </w:r>
      <w:r>
        <w:rPr>
          <w:rFonts w:hint="default"/>
        </w:rPr>
        <w:t>2-</w:t>
      </w:r>
      <w:r>
        <w:rPr>
          <w:rFonts w:hint="eastAsia"/>
          <w:lang w:val="en-US" w:eastAsia="zh-CN"/>
        </w:rPr>
        <w:t>1</w:t>
      </w:r>
      <w:r>
        <w:rPr>
          <w:rFonts w:hint="default"/>
        </w:rPr>
        <w:t xml:space="preserve">  项目运营期监测表</w:t>
      </w:r>
      <w:r>
        <w:rPr>
          <w:rFonts w:hint="eastAsia"/>
          <w:lang w:eastAsia="zh-CN"/>
        </w:rPr>
        <w:t>（</w:t>
      </w:r>
      <w:r>
        <w:rPr>
          <w:rFonts w:hint="eastAsia"/>
          <w:lang w:val="en-US" w:eastAsia="zh-CN"/>
        </w:rPr>
        <w:t>污染源）</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4"/>
        <w:gridCol w:w="1494"/>
        <w:gridCol w:w="1519"/>
        <w:gridCol w:w="2129"/>
        <w:gridCol w:w="1936"/>
      </w:tblGrid>
      <w:tr w14:paraId="0119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444" w:type="dxa"/>
            <w:noWrap w:val="0"/>
            <w:vAlign w:val="center"/>
          </w:tcPr>
          <w:p w14:paraId="58217A96">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内容</w:t>
            </w:r>
          </w:p>
        </w:tc>
        <w:tc>
          <w:tcPr>
            <w:tcW w:w="1494" w:type="dxa"/>
            <w:noWrap w:val="0"/>
            <w:vAlign w:val="center"/>
          </w:tcPr>
          <w:p w14:paraId="2532060A">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监测地点</w:t>
            </w:r>
          </w:p>
        </w:tc>
        <w:tc>
          <w:tcPr>
            <w:tcW w:w="1519" w:type="dxa"/>
            <w:noWrap w:val="0"/>
            <w:vAlign w:val="center"/>
          </w:tcPr>
          <w:p w14:paraId="7F82C9D3">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监测指标</w:t>
            </w:r>
          </w:p>
        </w:tc>
        <w:tc>
          <w:tcPr>
            <w:tcW w:w="2129" w:type="dxa"/>
            <w:noWrap w:val="0"/>
            <w:vAlign w:val="center"/>
          </w:tcPr>
          <w:p w14:paraId="6CF1AFBF">
            <w:pPr>
              <w:pStyle w:val="43"/>
              <w:bidi w:val="0"/>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监测频次</w:t>
            </w:r>
          </w:p>
        </w:tc>
        <w:tc>
          <w:tcPr>
            <w:tcW w:w="1936" w:type="dxa"/>
            <w:noWrap w:val="0"/>
            <w:vAlign w:val="center"/>
          </w:tcPr>
          <w:p w14:paraId="490988F1">
            <w:pPr>
              <w:pStyle w:val="43"/>
              <w:bidi w:val="0"/>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执行标准</w:t>
            </w:r>
          </w:p>
        </w:tc>
      </w:tr>
      <w:tr w14:paraId="293D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444" w:type="dxa"/>
            <w:noWrap w:val="0"/>
            <w:vAlign w:val="center"/>
          </w:tcPr>
          <w:p w14:paraId="110675F2">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DA001排气筒</w:t>
            </w:r>
          </w:p>
        </w:tc>
        <w:tc>
          <w:tcPr>
            <w:tcW w:w="1494" w:type="dxa"/>
            <w:noWrap w:val="0"/>
            <w:vAlign w:val="center"/>
          </w:tcPr>
          <w:p w14:paraId="614C44D4">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DA001排气筒出口</w:t>
            </w:r>
          </w:p>
        </w:tc>
        <w:tc>
          <w:tcPr>
            <w:tcW w:w="1519" w:type="dxa"/>
            <w:noWrap w:val="0"/>
            <w:vAlign w:val="center"/>
          </w:tcPr>
          <w:p w14:paraId="04350515">
            <w:pPr>
              <w:pStyle w:val="43"/>
              <w:bidi w:val="0"/>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颗粒物</w:t>
            </w:r>
          </w:p>
        </w:tc>
        <w:tc>
          <w:tcPr>
            <w:tcW w:w="2129" w:type="dxa"/>
            <w:noWrap w:val="0"/>
            <w:vAlign w:val="center"/>
          </w:tcPr>
          <w:p w14:paraId="4FA41E04">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每季度1次</w:t>
            </w:r>
          </w:p>
        </w:tc>
        <w:tc>
          <w:tcPr>
            <w:tcW w:w="1936" w:type="dxa"/>
            <w:noWrap w:val="0"/>
            <w:vAlign w:val="center"/>
          </w:tcPr>
          <w:p w14:paraId="74F3B82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《大气污染物综合排放标准》（GB 16297-1996）</w:t>
            </w:r>
          </w:p>
        </w:tc>
      </w:tr>
      <w:tr w14:paraId="58D0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444" w:type="dxa"/>
            <w:noWrap w:val="0"/>
            <w:vAlign w:val="center"/>
          </w:tcPr>
          <w:p w14:paraId="6B3FFB38">
            <w:pPr>
              <w:pStyle w:val="43"/>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无组织废气</w:t>
            </w:r>
          </w:p>
        </w:tc>
        <w:tc>
          <w:tcPr>
            <w:tcW w:w="1494" w:type="dxa"/>
            <w:noWrap w:val="0"/>
            <w:vAlign w:val="center"/>
          </w:tcPr>
          <w:p w14:paraId="2E278E37">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上风向设1个、下风向3个</w:t>
            </w:r>
          </w:p>
        </w:tc>
        <w:tc>
          <w:tcPr>
            <w:tcW w:w="1519" w:type="dxa"/>
            <w:noWrap w:val="0"/>
            <w:vAlign w:val="center"/>
          </w:tcPr>
          <w:p w14:paraId="22F7F4CC">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颗粒物</w:t>
            </w:r>
          </w:p>
        </w:tc>
        <w:tc>
          <w:tcPr>
            <w:tcW w:w="2129" w:type="dxa"/>
            <w:noWrap w:val="0"/>
            <w:vAlign w:val="center"/>
          </w:tcPr>
          <w:p w14:paraId="452A9C85">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每年1次，每次监测2天，每天不少于3个样品</w:t>
            </w:r>
          </w:p>
        </w:tc>
        <w:tc>
          <w:tcPr>
            <w:tcW w:w="1936" w:type="dxa"/>
            <w:noWrap w:val="0"/>
            <w:vAlign w:val="center"/>
          </w:tcPr>
          <w:p w14:paraId="53D0834F">
            <w:pPr>
              <w:pStyle w:val="43"/>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《大气污染物综合排放标准》（GB 16297-1996）</w:t>
            </w:r>
          </w:p>
        </w:tc>
      </w:tr>
      <w:tr w14:paraId="09E6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444" w:type="dxa"/>
            <w:noWrap w:val="0"/>
            <w:vAlign w:val="center"/>
          </w:tcPr>
          <w:p w14:paraId="21692913">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噪声</w:t>
            </w:r>
          </w:p>
        </w:tc>
        <w:tc>
          <w:tcPr>
            <w:tcW w:w="1494" w:type="dxa"/>
            <w:noWrap w:val="0"/>
            <w:vAlign w:val="center"/>
          </w:tcPr>
          <w:p w14:paraId="7CC7466F">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项目</w:t>
            </w:r>
            <w:r>
              <w:rPr>
                <w:rFonts w:hint="default" w:ascii="Times New Roman" w:hAnsi="Times New Roman" w:cs="Times New Roman"/>
                <w:color w:val="000000" w:themeColor="text1"/>
                <w:highlight w:val="none"/>
                <w14:textFill>
                  <w14:solidFill>
                    <w14:schemeClr w14:val="tx1"/>
                  </w14:solidFill>
                </w14:textFill>
              </w:rPr>
              <w:t>四周厂界</w:t>
            </w:r>
          </w:p>
        </w:tc>
        <w:tc>
          <w:tcPr>
            <w:tcW w:w="1519" w:type="dxa"/>
            <w:noWrap w:val="0"/>
            <w:vAlign w:val="center"/>
          </w:tcPr>
          <w:p w14:paraId="47FF456E">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Leq[dB</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A</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p>
        </w:tc>
        <w:tc>
          <w:tcPr>
            <w:tcW w:w="2129" w:type="dxa"/>
            <w:noWrap w:val="0"/>
            <w:vAlign w:val="center"/>
          </w:tcPr>
          <w:p w14:paraId="0224E786">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每年1次，每次连续监测2天，每天昼夜各监测1次</w:t>
            </w:r>
          </w:p>
        </w:tc>
        <w:tc>
          <w:tcPr>
            <w:tcW w:w="1936" w:type="dxa"/>
            <w:noWrap w:val="0"/>
            <w:vAlign w:val="center"/>
          </w:tcPr>
          <w:p w14:paraId="666AB39B">
            <w:pPr>
              <w:pStyle w:val="4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《工业企业厂界环境噪声排放标准》（GB12348-2008）2类标准</w:t>
            </w:r>
          </w:p>
        </w:tc>
      </w:tr>
    </w:tbl>
    <w:p w14:paraId="733DAE68">
      <w:pPr>
        <w:pStyle w:val="4"/>
        <w:bidi w:val="0"/>
        <w:rPr>
          <w:rFonts w:hint="default"/>
        </w:rPr>
      </w:pPr>
      <w:bookmarkStart w:id="623" w:name="_Toc29661"/>
      <w:bookmarkStart w:id="624" w:name="_Toc51158291"/>
      <w:r>
        <w:rPr>
          <w:rFonts w:hint="default"/>
        </w:rPr>
        <w:t>项目竣工环境保护验收</w:t>
      </w:r>
      <w:bookmarkEnd w:id="623"/>
      <w:bookmarkEnd w:id="624"/>
    </w:p>
    <w:p w14:paraId="72C44E81">
      <w:pPr>
        <w:pStyle w:val="41"/>
        <w:bidi w:val="0"/>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rPr>
        <w:t>建设项目竣工验收是指建设项目竣工后，建设单位根据</w:t>
      </w:r>
      <w:r>
        <w:rPr>
          <w:rFonts w:hint="eastAsia"/>
          <w:lang w:eastAsia="zh-CN"/>
        </w:rPr>
        <w:t>《</w:t>
      </w:r>
      <w:r>
        <w:rPr>
          <w:rFonts w:hint="default"/>
        </w:rPr>
        <w:t>建设项目竣工环境保护验收暂行办法》，依据环境保护验收监测或调查结果，并通过现场检查等手段，考核该建设项目是否达到环境保护要求的活动。建设方在项目竣工时，可委托当地的环境监测部门进行此项工作。监测结果建档并定期上报环保部门。项目环保竣工环保验收内容一览表见表</w:t>
      </w:r>
      <w:r>
        <w:rPr>
          <w:rFonts w:hint="eastAsia"/>
          <w:lang w:val="en-US" w:eastAsia="zh-CN"/>
        </w:rPr>
        <w:t>10</w:t>
      </w:r>
      <w:r>
        <w:rPr>
          <w:rFonts w:hint="default"/>
          <w:lang w:eastAsia="zh-CN"/>
        </w:rPr>
        <w:t>.</w:t>
      </w:r>
      <w:r>
        <w:rPr>
          <w:rFonts w:hint="default"/>
        </w:rPr>
        <w:t>2-</w:t>
      </w:r>
      <w:r>
        <w:rPr>
          <w:rFonts w:hint="eastAsia"/>
          <w:lang w:val="en-US" w:eastAsia="zh-CN"/>
        </w:rPr>
        <w:t>2</w:t>
      </w:r>
      <w:r>
        <w:rPr>
          <w:rFonts w:hint="default"/>
        </w:rPr>
        <w:t>。</w:t>
      </w:r>
    </w:p>
    <w:p w14:paraId="4BBADEF8">
      <w:pPr>
        <w:pStyle w:val="45"/>
        <w:bidi w:val="0"/>
        <w:rPr>
          <w:rFonts w:hint="default"/>
        </w:rPr>
      </w:pPr>
      <w:r>
        <w:rPr>
          <w:rFonts w:hint="default"/>
        </w:rPr>
        <w:t>表</w:t>
      </w:r>
      <w:r>
        <w:rPr>
          <w:rFonts w:hint="eastAsia"/>
          <w:lang w:val="en-US" w:eastAsia="zh-CN"/>
        </w:rPr>
        <w:t>10</w:t>
      </w:r>
      <w:r>
        <w:rPr>
          <w:rFonts w:hint="default"/>
          <w:lang w:eastAsia="zh-CN"/>
        </w:rPr>
        <w:t>.</w:t>
      </w:r>
      <w:r>
        <w:rPr>
          <w:rFonts w:hint="default"/>
        </w:rPr>
        <w:t>2-</w:t>
      </w:r>
      <w:r>
        <w:rPr>
          <w:rFonts w:hint="default"/>
          <w:lang w:val="en-US" w:eastAsia="zh-CN"/>
        </w:rPr>
        <w:t>4</w:t>
      </w:r>
      <w:r>
        <w:rPr>
          <w:rFonts w:hint="default"/>
        </w:rPr>
        <w:t xml:space="preserve">  项目竣工环境保护验收一览表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3686"/>
        <w:gridCol w:w="1320"/>
        <w:gridCol w:w="6036"/>
        <w:gridCol w:w="1782"/>
      </w:tblGrid>
      <w:tr w14:paraId="2829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51" w:type="dxa"/>
            <w:vMerge w:val="restart"/>
            <w:tcBorders>
              <w:tl2br w:val="single" w:color="auto" w:sz="4" w:space="0"/>
            </w:tcBorders>
            <w:vAlign w:val="center"/>
          </w:tcPr>
          <w:p w14:paraId="21232F2F">
            <w:pPr>
              <w:pStyle w:val="43"/>
              <w:bidi w:val="0"/>
              <w:rPr>
                <w:rFonts w:hint="default"/>
                <w:b/>
                <w:bCs/>
              </w:rPr>
            </w:pPr>
            <w:r>
              <w:rPr>
                <w:rFonts w:hint="default"/>
                <w:b/>
                <w:bCs/>
              </w:rPr>
              <w:t>内容</w:t>
            </w:r>
          </w:p>
          <w:p w14:paraId="12B40ECB">
            <w:pPr>
              <w:pStyle w:val="43"/>
              <w:bidi w:val="0"/>
              <w:rPr>
                <w:rFonts w:hint="default"/>
                <w:b/>
                <w:bCs/>
              </w:rPr>
            </w:pPr>
            <w:r>
              <w:rPr>
                <w:rFonts w:hint="default"/>
                <w:b/>
                <w:bCs/>
              </w:rPr>
              <w:t>要素</w:t>
            </w:r>
          </w:p>
        </w:tc>
        <w:tc>
          <w:tcPr>
            <w:tcW w:w="5006" w:type="dxa"/>
            <w:gridSpan w:val="2"/>
            <w:vAlign w:val="center"/>
          </w:tcPr>
          <w:p w14:paraId="36123423">
            <w:pPr>
              <w:pStyle w:val="43"/>
              <w:bidi w:val="0"/>
              <w:rPr>
                <w:rFonts w:hint="default"/>
                <w:b/>
                <w:bCs/>
              </w:rPr>
            </w:pPr>
            <w:r>
              <w:rPr>
                <w:rFonts w:hint="default"/>
                <w:b/>
                <w:bCs/>
              </w:rPr>
              <w:t>施工期</w:t>
            </w:r>
          </w:p>
        </w:tc>
        <w:tc>
          <w:tcPr>
            <w:tcW w:w="7818" w:type="dxa"/>
            <w:gridSpan w:val="2"/>
            <w:vAlign w:val="center"/>
          </w:tcPr>
          <w:p w14:paraId="0F06A20A">
            <w:pPr>
              <w:pStyle w:val="43"/>
              <w:bidi w:val="0"/>
              <w:rPr>
                <w:rFonts w:hint="default"/>
                <w:b/>
                <w:bCs/>
              </w:rPr>
            </w:pPr>
            <w:r>
              <w:rPr>
                <w:rFonts w:hint="default"/>
                <w:b/>
                <w:bCs/>
              </w:rPr>
              <w:t>运营期</w:t>
            </w:r>
          </w:p>
        </w:tc>
      </w:tr>
      <w:tr w14:paraId="3EF1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51" w:type="dxa"/>
            <w:vMerge w:val="continue"/>
            <w:vAlign w:val="center"/>
          </w:tcPr>
          <w:p w14:paraId="5F31BD5D">
            <w:pPr>
              <w:pStyle w:val="43"/>
              <w:bidi w:val="0"/>
              <w:rPr>
                <w:rFonts w:hint="default"/>
                <w:b/>
                <w:bCs/>
              </w:rPr>
            </w:pPr>
          </w:p>
        </w:tc>
        <w:tc>
          <w:tcPr>
            <w:tcW w:w="3686" w:type="dxa"/>
            <w:vAlign w:val="center"/>
          </w:tcPr>
          <w:p w14:paraId="047A389B">
            <w:pPr>
              <w:pStyle w:val="43"/>
              <w:bidi w:val="0"/>
              <w:rPr>
                <w:rFonts w:hint="default"/>
                <w:b/>
                <w:bCs/>
              </w:rPr>
            </w:pPr>
            <w:r>
              <w:rPr>
                <w:rFonts w:hint="default"/>
                <w:b/>
                <w:bCs/>
              </w:rPr>
              <w:t>环境保护措施</w:t>
            </w:r>
          </w:p>
        </w:tc>
        <w:tc>
          <w:tcPr>
            <w:tcW w:w="1320" w:type="dxa"/>
            <w:vAlign w:val="center"/>
          </w:tcPr>
          <w:p w14:paraId="75423286">
            <w:pPr>
              <w:pStyle w:val="43"/>
              <w:bidi w:val="0"/>
              <w:rPr>
                <w:rFonts w:hint="default"/>
                <w:b/>
                <w:bCs/>
              </w:rPr>
            </w:pPr>
            <w:r>
              <w:rPr>
                <w:rFonts w:hint="default"/>
                <w:b/>
                <w:bCs/>
              </w:rPr>
              <w:t>验收要求</w:t>
            </w:r>
          </w:p>
        </w:tc>
        <w:tc>
          <w:tcPr>
            <w:tcW w:w="6036" w:type="dxa"/>
            <w:vAlign w:val="center"/>
          </w:tcPr>
          <w:p w14:paraId="661A6FCB">
            <w:pPr>
              <w:pStyle w:val="43"/>
              <w:bidi w:val="0"/>
              <w:rPr>
                <w:rFonts w:hint="default"/>
                <w:b/>
                <w:bCs/>
              </w:rPr>
            </w:pPr>
            <w:r>
              <w:rPr>
                <w:rFonts w:hint="default"/>
                <w:b/>
                <w:bCs/>
              </w:rPr>
              <w:t>环境保护措施</w:t>
            </w:r>
          </w:p>
        </w:tc>
        <w:tc>
          <w:tcPr>
            <w:tcW w:w="1782" w:type="dxa"/>
            <w:vAlign w:val="center"/>
          </w:tcPr>
          <w:p w14:paraId="346CA4E0">
            <w:pPr>
              <w:pStyle w:val="43"/>
              <w:bidi w:val="0"/>
              <w:rPr>
                <w:rFonts w:hint="default"/>
                <w:b/>
                <w:bCs/>
              </w:rPr>
            </w:pPr>
            <w:r>
              <w:rPr>
                <w:rFonts w:hint="default"/>
                <w:b/>
                <w:bCs/>
              </w:rPr>
              <w:t>验收要求</w:t>
            </w:r>
          </w:p>
        </w:tc>
      </w:tr>
      <w:tr w14:paraId="335A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0B877DFA">
            <w:pPr>
              <w:pStyle w:val="43"/>
              <w:bidi w:val="0"/>
              <w:rPr>
                <w:rFonts w:hint="default"/>
              </w:rPr>
            </w:pPr>
            <w:r>
              <w:rPr>
                <w:rFonts w:hint="default"/>
              </w:rPr>
              <w:t>陆生生态</w:t>
            </w:r>
          </w:p>
        </w:tc>
        <w:tc>
          <w:tcPr>
            <w:tcW w:w="11042" w:type="dxa"/>
            <w:gridSpan w:val="3"/>
            <w:vAlign w:val="center"/>
          </w:tcPr>
          <w:p w14:paraId="00879D0B">
            <w:pPr>
              <w:pStyle w:val="44"/>
              <w:bidi w:val="0"/>
              <w:rPr>
                <w:rFonts w:hint="eastAsia"/>
                <w:lang w:eastAsia="zh-CN"/>
              </w:rPr>
            </w:pPr>
            <w:r>
              <w:rPr>
                <w:rFonts w:hint="eastAsia"/>
                <w:lang w:val="en-US" w:eastAsia="zh-CN"/>
              </w:rPr>
              <w:t>一、</w:t>
            </w:r>
            <w:r>
              <w:rPr>
                <w:rFonts w:hint="eastAsia"/>
              </w:rPr>
              <w:t>避让措施</w:t>
            </w:r>
          </w:p>
          <w:p w14:paraId="2841CAF9">
            <w:pPr>
              <w:pStyle w:val="44"/>
              <w:bidi w:val="0"/>
            </w:pPr>
            <w:r>
              <w:rPr>
                <w:rFonts w:hint="eastAsia"/>
              </w:rPr>
              <w:t>（1）在矿山开采过程中，须严格控制占地红线，严禁超矿权范围开采，严禁施工人员砍伐、破坏矿区范围外的植被，严禁在征地范围外堆渣、堆矿等。设置施工范围、施工活动警示牌，避免采矿活动超范围用地，破坏</w:t>
            </w:r>
            <w:r>
              <w:rPr>
                <w:rFonts w:hint="eastAsia"/>
                <w:lang w:val="en-US" w:eastAsia="zh-CN"/>
              </w:rPr>
              <w:t>周边植被</w:t>
            </w:r>
            <w:r>
              <w:rPr>
                <w:rFonts w:hint="eastAsia"/>
              </w:rPr>
              <w:t>。</w:t>
            </w:r>
          </w:p>
          <w:p w14:paraId="415FE083">
            <w:pPr>
              <w:pStyle w:val="44"/>
              <w:bidi w:val="0"/>
            </w:pPr>
            <w:r>
              <w:rPr>
                <w:rFonts w:hint="eastAsia"/>
                <w:lang w:eastAsia="zh-CN"/>
              </w:rPr>
              <w:t>（</w:t>
            </w:r>
            <w:r>
              <w:rPr>
                <w:rFonts w:hint="eastAsia"/>
                <w:lang w:val="en-US" w:eastAsia="zh-CN"/>
              </w:rPr>
              <w:t>2）</w:t>
            </w:r>
            <w:r>
              <w:rPr>
                <w:rFonts w:hint="eastAsia"/>
              </w:rPr>
              <w:t>项目实施过程中要严格进行保护，严禁破坏。工程实施期间加强工作人员生态环境保护宣传教育，严禁对占地范围外的植被、植物及红椿等重要植物进行破坏。</w:t>
            </w:r>
          </w:p>
          <w:p w14:paraId="1DB4A46B">
            <w:pPr>
              <w:pStyle w:val="44"/>
              <w:bidi w:val="0"/>
              <w:rPr>
                <w:rFonts w:hint="eastAsia"/>
              </w:rPr>
            </w:pPr>
            <w:r>
              <w:rPr>
                <w:rFonts w:hint="eastAsia"/>
              </w:rPr>
              <w:t>（</w:t>
            </w:r>
            <w:r>
              <w:rPr>
                <w:rFonts w:hint="eastAsia"/>
                <w:lang w:val="en-US" w:eastAsia="zh-CN"/>
              </w:rPr>
              <w:t>3</w:t>
            </w:r>
            <w:r>
              <w:rPr>
                <w:rFonts w:hint="eastAsia"/>
              </w:rPr>
              <w:t>）</w:t>
            </w:r>
            <w:r>
              <w:t>加强对施工人员</w:t>
            </w:r>
            <w:r>
              <w:rPr>
                <w:rFonts w:hint="eastAsia"/>
              </w:rPr>
              <w:t>、运营期工作人员</w:t>
            </w:r>
            <w:r>
              <w:t>进行</w:t>
            </w:r>
            <w:r>
              <w:rPr>
                <w:rFonts w:hint="eastAsia"/>
              </w:rPr>
              <w:t>生态</w:t>
            </w:r>
            <w:r>
              <w:t>环境教育、生物多样性保护教育及有关</w:t>
            </w:r>
            <w:r>
              <w:rPr>
                <w:rFonts w:hint="eastAsia"/>
                <w:lang w:eastAsia="zh-CN"/>
              </w:rPr>
              <w:t>法律法规</w:t>
            </w:r>
            <w:r>
              <w:t>的宣传教育</w:t>
            </w:r>
            <w:r>
              <w:rPr>
                <w:rFonts w:hint="eastAsia"/>
              </w:rPr>
              <w:t>。严禁工作人员猎杀兽类，严禁捕蛇、打鸟、捉野鸡、捉蛙等非法狩猎行为，严禁食用野生动物（野味）。</w:t>
            </w:r>
          </w:p>
          <w:p w14:paraId="13E86CBD">
            <w:pPr>
              <w:pStyle w:val="44"/>
              <w:bidi w:val="0"/>
            </w:pPr>
            <w:r>
              <w:t>（</w:t>
            </w:r>
            <w:r>
              <w:rPr>
                <w:rFonts w:hint="eastAsia"/>
                <w:lang w:val="en-US" w:eastAsia="zh-CN"/>
              </w:rPr>
              <w:t>4</w:t>
            </w:r>
            <w:r>
              <w:t>）项目实施期间，工作人员野外作业会带来野外火源管理的压力，必须把火的管理放在首要位置，常抓不懈，杜绝一切隐患。积极贯彻《森林防火条例》，加强防火宣传教育，时时敲响防火警钟，禁止在草坡、灌丛地、林区附近吸烟和生火，做好生活和生产用火的火源管理，建立防火及火警警报系统和管理制度，明确责任制最大程度避免发生火灾。</w:t>
            </w:r>
          </w:p>
          <w:p w14:paraId="64249B6C">
            <w:pPr>
              <w:pStyle w:val="44"/>
              <w:bidi w:val="0"/>
            </w:pPr>
            <w:r>
              <w:rPr>
                <w:rFonts w:hint="eastAsia"/>
                <w:lang w:val="en-US" w:eastAsia="zh-CN"/>
              </w:rPr>
              <w:t>二、</w:t>
            </w:r>
            <w:r>
              <w:rPr>
                <w:rFonts w:hint="eastAsia"/>
              </w:rPr>
              <w:t>减缓措施</w:t>
            </w:r>
          </w:p>
          <w:p w14:paraId="3EAB570E">
            <w:pPr>
              <w:pStyle w:val="44"/>
              <w:bidi w:val="0"/>
              <w:rPr>
                <w:rFonts w:hint="eastAsia"/>
                <w:lang w:eastAsia="zh-CN"/>
              </w:rPr>
            </w:pPr>
            <w:r>
              <w:rPr>
                <w:rFonts w:hint="eastAsia"/>
              </w:rPr>
              <w:t>（</w:t>
            </w:r>
            <w:r>
              <w:t>1</w:t>
            </w:r>
            <w:r>
              <w:rPr>
                <w:rFonts w:hint="eastAsia"/>
              </w:rPr>
              <w:t>）按照自然资源部门规定组织编制</w:t>
            </w:r>
            <w:r>
              <w:t>《矿山地质环境保护与土地复垦方案》</w:t>
            </w:r>
            <w:r>
              <w:rPr>
                <w:rFonts w:hint="eastAsia"/>
                <w:lang w:eastAsia="zh-CN"/>
              </w:rPr>
              <w:t>，在</w:t>
            </w:r>
            <w:r>
              <w:rPr>
                <w:rFonts w:hint="eastAsia"/>
              </w:rPr>
              <w:t>项目实施过程中按照方案要求对矿山、破碎及堆料场地等进行预防控制措施及生态修复。矿山开采过程中应按照方案做好拦挡及截排水工程，控制损毁范围，避免造成更大范围的土地损毁。</w:t>
            </w:r>
          </w:p>
          <w:p w14:paraId="33B50A9C">
            <w:pPr>
              <w:pStyle w:val="44"/>
              <w:bidi w:val="0"/>
            </w:pPr>
            <w:r>
              <w:rPr>
                <w:rFonts w:hint="eastAsia"/>
              </w:rPr>
              <w:t>（</w:t>
            </w:r>
            <w:r>
              <w:t>2</w:t>
            </w:r>
            <w:r>
              <w:rPr>
                <w:rFonts w:hint="eastAsia"/>
              </w:rPr>
              <w:t>）矿山方面应坚持</w:t>
            </w:r>
            <w:r>
              <w:rPr>
                <w:rFonts w:hint="eastAsia"/>
                <w:lang w:eastAsia="zh-CN"/>
              </w:rPr>
              <w:t>“</w:t>
            </w:r>
            <w:r>
              <w:rPr>
                <w:rFonts w:hint="eastAsia"/>
              </w:rPr>
              <w:t>边开采、边生态修复</w:t>
            </w:r>
            <w:r>
              <w:rPr>
                <w:rFonts w:hint="eastAsia"/>
                <w:lang w:eastAsia="zh-CN"/>
              </w:rPr>
              <w:t>”</w:t>
            </w:r>
            <w:r>
              <w:rPr>
                <w:rFonts w:hint="eastAsia"/>
              </w:rPr>
              <w:t>的方式，以减少土地损毁。对停止使用的采矿区应尽快覆盖土层进行植被恢复，避免采空区长期裸露，并加强管护、养护，保证恢复成效。植被恢复应</w:t>
            </w:r>
            <w:r>
              <w:t>乔、灌、</w:t>
            </w:r>
            <w:r>
              <w:rPr>
                <w:rFonts w:hint="eastAsia"/>
              </w:rPr>
              <w:t>藤、</w:t>
            </w:r>
            <w:r>
              <w:t>草结合，</w:t>
            </w:r>
            <w:r>
              <w:rPr>
                <w:rFonts w:hint="eastAsia"/>
              </w:rPr>
              <w:t>尽可能选用当地乡土物种，可选用云南松、栓皮栎、清香木、坡柳、狗牙根</w:t>
            </w:r>
            <w:r>
              <w:rPr>
                <w:rFonts w:hint="eastAsia"/>
                <w:lang w:val="pt-BR"/>
              </w:rPr>
              <w:t>等本土物种。</w:t>
            </w:r>
          </w:p>
          <w:p w14:paraId="015BD5CE">
            <w:pPr>
              <w:pStyle w:val="44"/>
              <w:bidi w:val="0"/>
              <w:rPr>
                <w:rFonts w:hint="eastAsia"/>
              </w:rPr>
            </w:pPr>
            <w:r>
              <w:rPr>
                <w:rFonts w:hint="eastAsia"/>
              </w:rPr>
              <w:t>（</w:t>
            </w:r>
            <w:r>
              <w:t>3</w:t>
            </w:r>
            <w:r>
              <w:rPr>
                <w:rFonts w:hint="eastAsia"/>
              </w:rPr>
              <w:t>）采用先进的施工工艺和优良设备，严格规范施工，特别注意减少工程爆破噪声对鸟类和兽类的惊扰，尽量采用无声爆破或深孔松动式等爆破震动小的爆破方式等先进技术；做好爆破方式、数量、时间的计划，减轻施工噪声和震动对当地野生动物的影响；</w:t>
            </w:r>
          </w:p>
          <w:p w14:paraId="29D2FDC3">
            <w:pPr>
              <w:pStyle w:val="44"/>
              <w:bidi w:val="0"/>
              <w:rPr>
                <w:rFonts w:hint="eastAsia"/>
              </w:rPr>
            </w:pPr>
            <w:r>
              <w:rPr>
                <w:rFonts w:hint="eastAsia"/>
              </w:rPr>
              <w:t>（</w:t>
            </w:r>
            <w:r>
              <w:t>4</w:t>
            </w:r>
            <w:r>
              <w:rPr>
                <w:rFonts w:hint="eastAsia"/>
              </w:rPr>
              <w:t>）项目矿山开采期间注重污染物的治理，确保可利用废物能够得到资源化利用、污染物能达标排放，避免污染物事故排放对周围土壤环境产生影响。</w:t>
            </w:r>
          </w:p>
          <w:p w14:paraId="627AB84C">
            <w:pPr>
              <w:pStyle w:val="44"/>
              <w:bidi w:val="0"/>
              <w:rPr>
                <w:rFonts w:hint="eastAsia"/>
              </w:rPr>
            </w:pPr>
            <w:r>
              <w:rPr>
                <w:rFonts w:hint="eastAsia"/>
              </w:rPr>
              <w:t>（</w:t>
            </w:r>
            <w:r>
              <w:rPr>
                <w:lang w:eastAsia="zh-CN"/>
              </w:rPr>
              <w:t>5</w:t>
            </w:r>
            <w:r>
              <w:rPr>
                <w:rFonts w:hint="eastAsia"/>
              </w:rPr>
              <w:t>）暂存施工、开采过程中的表土，</w:t>
            </w:r>
            <w:r>
              <w:t>用于土地复垦、</w:t>
            </w:r>
            <w:r>
              <w:rPr>
                <w:rFonts w:hint="eastAsia"/>
                <w:lang w:eastAsia="zh-CN"/>
              </w:rPr>
              <w:t>生态修复</w:t>
            </w:r>
            <w:r>
              <w:t>等环境恢复治理。</w:t>
            </w:r>
          </w:p>
          <w:p w14:paraId="6A7A09E2">
            <w:pPr>
              <w:pStyle w:val="44"/>
              <w:bidi w:val="0"/>
            </w:pPr>
            <w:r>
              <w:rPr>
                <w:rFonts w:hint="eastAsia"/>
              </w:rPr>
              <w:t>（</w:t>
            </w:r>
            <w:r>
              <w:t>6</w:t>
            </w:r>
            <w:r>
              <w:rPr>
                <w:rFonts w:hint="eastAsia"/>
              </w:rPr>
              <w:t>）矿山服务期满后应</w:t>
            </w:r>
            <w:r>
              <w:t>尽</w:t>
            </w:r>
            <w:r>
              <w:rPr>
                <w:rFonts w:hint="eastAsia"/>
              </w:rPr>
              <w:t>快</w:t>
            </w:r>
            <w:r>
              <w:t>进行覆土绿化</w:t>
            </w:r>
            <w:r>
              <w:rPr>
                <w:rFonts w:hint="eastAsia"/>
              </w:rPr>
              <w:t>、植被恢复</w:t>
            </w:r>
            <w:r>
              <w:t>工作，恢复</w:t>
            </w:r>
            <w:r>
              <w:rPr>
                <w:rFonts w:hint="eastAsia"/>
              </w:rPr>
              <w:t>采空</w:t>
            </w:r>
            <w:r>
              <w:t>区的生态环境。对可能造成人身安全事故的采空区或</w:t>
            </w:r>
            <w:r>
              <w:rPr>
                <w:rFonts w:hint="eastAsia"/>
                <w:lang w:eastAsia="zh-CN"/>
              </w:rPr>
              <w:t>其他</w:t>
            </w:r>
            <w:r>
              <w:t>危险区，其周边要设立永久性安全警示牌。</w:t>
            </w:r>
          </w:p>
          <w:p w14:paraId="72F64976">
            <w:pPr>
              <w:pStyle w:val="44"/>
              <w:bidi w:val="0"/>
            </w:pPr>
            <w:r>
              <w:rPr>
                <w:rFonts w:hint="eastAsia"/>
                <w:lang w:val="en-US" w:eastAsia="zh-CN"/>
              </w:rPr>
              <w:t>三、</w:t>
            </w:r>
            <w:r>
              <w:rPr>
                <w:rFonts w:hint="eastAsia"/>
              </w:rPr>
              <w:t>修复措施</w:t>
            </w:r>
          </w:p>
          <w:p w14:paraId="77B06C10">
            <w:pPr>
              <w:pStyle w:val="44"/>
              <w:bidi w:val="0"/>
            </w:pPr>
            <w:r>
              <w:rPr>
                <w:rFonts w:hint="eastAsia"/>
              </w:rPr>
              <w:t>（1）对矿区、采空区等采取必要的工程措施进行矿区的生态修复，如修建格构护坡、以形成一个格构防护网；在边坡上打入一定数量的锚杆或锚索，以防止岩体边坡或土体发生滑移；采取挂网喷播的方式播种植被恢复种子；修建排水沟达到边坡排水的目的；修建挡墙来防止边坡发生滑坡等。</w:t>
            </w:r>
          </w:p>
          <w:p w14:paraId="5E72C06A">
            <w:pPr>
              <w:pStyle w:val="44"/>
              <w:bidi w:val="0"/>
            </w:pPr>
            <w:r>
              <w:rPr>
                <w:rFonts w:hint="eastAsia"/>
              </w:rPr>
              <w:t>（</w:t>
            </w:r>
            <w:r>
              <w:t>2</w:t>
            </w:r>
            <w:r>
              <w:rPr>
                <w:rFonts w:hint="eastAsia"/>
              </w:rPr>
              <w:t>）开采</w:t>
            </w:r>
            <w:r>
              <w:t>过程中注意保护好表层土壤，用于</w:t>
            </w:r>
            <w:r>
              <w:rPr>
                <w:rFonts w:hint="eastAsia"/>
              </w:rPr>
              <w:t>临时</w:t>
            </w:r>
            <w:r>
              <w:t>施工迹地</w:t>
            </w:r>
            <w:r>
              <w:rPr>
                <w:rFonts w:hint="eastAsia"/>
              </w:rPr>
              <w:t>、采空区</w:t>
            </w:r>
            <w:r>
              <w:t>的</w:t>
            </w:r>
            <w:r>
              <w:rPr>
                <w:rFonts w:hint="eastAsia"/>
              </w:rPr>
              <w:t>植被</w:t>
            </w:r>
            <w:r>
              <w:t>恢复。</w:t>
            </w:r>
            <w:r>
              <w:rPr>
                <w:rFonts w:hint="eastAsia"/>
              </w:rPr>
              <w:t>工程开采结束后</w:t>
            </w:r>
            <w:r>
              <w:t>应督促施工单位及时</w:t>
            </w:r>
            <w:r>
              <w:rPr>
                <w:rFonts w:hint="eastAsia"/>
              </w:rPr>
              <w:t>该区</w:t>
            </w:r>
            <w:r>
              <w:t>拆除临时建筑，清理和平整场地，恢复土层</w:t>
            </w:r>
            <w:r>
              <w:rPr>
                <w:rFonts w:hint="eastAsia"/>
              </w:rPr>
              <w:t>。临时施工迹地恢复可采用人工种植和封育相结合的方法进行生态恢复，要坚持因地制宜、优先选用乡土种等原则，并注重生态系统的整体性。</w:t>
            </w:r>
          </w:p>
          <w:p w14:paraId="0E30A53F">
            <w:pPr>
              <w:pStyle w:val="44"/>
              <w:bidi w:val="0"/>
              <w:rPr>
                <w:rFonts w:hint="eastAsia"/>
              </w:rPr>
            </w:pPr>
            <w:r>
              <w:rPr>
                <w:rFonts w:hint="eastAsia"/>
              </w:rPr>
              <w:t>（</w:t>
            </w:r>
            <w:r>
              <w:t>3</w:t>
            </w:r>
            <w:r>
              <w:rPr>
                <w:rFonts w:hint="eastAsia"/>
              </w:rPr>
              <w:t>）植被恢复及绿化过程中，宜</w:t>
            </w:r>
            <w:r>
              <w:t>采用当地植物进行</w:t>
            </w:r>
            <w:r>
              <w:rPr>
                <w:rFonts w:hint="eastAsia"/>
                <w:lang w:eastAsia="zh-CN"/>
              </w:rPr>
              <w:t>“</w:t>
            </w:r>
            <w:r>
              <w:t>恢复性</w:t>
            </w:r>
            <w:r>
              <w:rPr>
                <w:rFonts w:hint="eastAsia"/>
                <w:lang w:eastAsia="zh-CN"/>
              </w:rPr>
              <w:t>”</w:t>
            </w:r>
            <w:r>
              <w:t>种植，然后采取</w:t>
            </w:r>
            <w:r>
              <w:rPr>
                <w:rFonts w:hint="eastAsia"/>
                <w:lang w:eastAsia="zh-CN"/>
              </w:rPr>
              <w:t>“</w:t>
            </w:r>
            <w:r>
              <w:t>封育</w:t>
            </w:r>
            <w:r>
              <w:rPr>
                <w:rFonts w:hint="eastAsia"/>
                <w:lang w:eastAsia="zh-CN"/>
              </w:rPr>
              <w:t>”</w:t>
            </w:r>
            <w:r>
              <w:t>手段，促进自然恢复。在植被恢复及绿化过程中，应选择乡土树种及适合当地环境的植物，并注意乔、灌、草搭配的原则，同时要与周围的自然景观相协调统一</w:t>
            </w:r>
            <w:r>
              <w:rPr>
                <w:rFonts w:hint="eastAsia"/>
              </w:rPr>
              <w:t>，</w:t>
            </w:r>
            <w:r>
              <w:t>可选用</w:t>
            </w:r>
            <w:r>
              <w:rPr>
                <w:rFonts w:hint="eastAsia"/>
              </w:rPr>
              <w:t>云南松、栓皮栎、清香木、坡柳、狗牙根</w:t>
            </w:r>
            <w:r>
              <w:t>等</w:t>
            </w:r>
            <w:r>
              <w:rPr>
                <w:rFonts w:hint="eastAsia"/>
              </w:rPr>
              <w:t>当地植物</w:t>
            </w:r>
            <w:r>
              <w:t>。</w:t>
            </w:r>
          </w:p>
          <w:p w14:paraId="227035A3">
            <w:pPr>
              <w:pStyle w:val="44"/>
              <w:bidi w:val="0"/>
            </w:pPr>
            <w:r>
              <w:rPr>
                <w:rFonts w:hint="eastAsia"/>
              </w:rPr>
              <w:t>（</w:t>
            </w:r>
            <w:r>
              <w:t>4</w:t>
            </w:r>
            <w:r>
              <w:rPr>
                <w:rFonts w:hint="eastAsia"/>
              </w:rPr>
              <w:t>）按照自然资源部门规定组织编制</w:t>
            </w:r>
            <w:r>
              <w:t>《矿山地质环境保护与土地复垦方案》</w:t>
            </w:r>
            <w:r>
              <w:rPr>
                <w:rFonts w:hint="eastAsia"/>
              </w:rPr>
              <w:t>，并严格落实方案提出的生态修复措施。矿山方面应坚持</w:t>
            </w:r>
            <w:r>
              <w:rPr>
                <w:rFonts w:hint="eastAsia"/>
                <w:lang w:eastAsia="zh-CN"/>
              </w:rPr>
              <w:t>“</w:t>
            </w:r>
            <w:r>
              <w:rPr>
                <w:rFonts w:hint="eastAsia"/>
              </w:rPr>
              <w:t>边开采、边生态修复</w:t>
            </w:r>
            <w:r>
              <w:rPr>
                <w:rFonts w:hint="eastAsia"/>
                <w:lang w:eastAsia="zh-CN"/>
              </w:rPr>
              <w:t>”</w:t>
            </w:r>
            <w:r>
              <w:rPr>
                <w:rFonts w:hint="eastAsia"/>
              </w:rPr>
              <w:t>的方式，对占用草地、林地区域，按照方案提出的生态修复方案恢复为林地、草地。</w:t>
            </w:r>
          </w:p>
          <w:p w14:paraId="656E0E1E">
            <w:pPr>
              <w:pStyle w:val="44"/>
              <w:bidi w:val="0"/>
            </w:pPr>
            <w:r>
              <w:rPr>
                <w:rFonts w:hint="eastAsia"/>
                <w:lang w:val="en-US" w:eastAsia="zh-CN"/>
              </w:rPr>
              <w:t>四、</w:t>
            </w:r>
            <w:r>
              <w:rPr>
                <w:rFonts w:hint="eastAsia"/>
              </w:rPr>
              <w:t>补偿措施</w:t>
            </w:r>
          </w:p>
          <w:p w14:paraId="4CBD19B8">
            <w:pPr>
              <w:pStyle w:val="44"/>
              <w:bidi w:val="0"/>
            </w:pPr>
            <w:r>
              <w:rPr>
                <w:rFonts w:hint="eastAsia"/>
              </w:rPr>
              <w:t>（1）项目实施要永久性占用一部分林地、草地等，使这些资源受到损失，因此必须按照国家相关土地补偿标准予以补偿。应根据国家关于林地、草地补偿相关规定，向地方缴纳森林植被恢复费，补偿工程占地造成的损失，专款用于林地恢复、异地造林。同时，</w:t>
            </w:r>
            <w:r>
              <w:t>应严格按照有关规定向政府和主管部门办理征占用林草审核审批手续</w:t>
            </w:r>
            <w:r>
              <w:rPr>
                <w:rFonts w:hint="eastAsia"/>
              </w:rPr>
              <w:t>。</w:t>
            </w:r>
          </w:p>
          <w:p w14:paraId="7FD46922">
            <w:pPr>
              <w:pStyle w:val="44"/>
              <w:bidi w:val="0"/>
            </w:pPr>
            <w:r>
              <w:rPr>
                <w:rFonts w:hint="eastAsia"/>
              </w:rPr>
              <w:t>（2）</w:t>
            </w:r>
            <w:r>
              <w:t>同时</w:t>
            </w:r>
            <w:r>
              <w:rPr>
                <w:rFonts w:hint="eastAsia"/>
                <w:lang w:eastAsia="zh-CN"/>
              </w:rPr>
              <w:t>须</w:t>
            </w:r>
            <w:r>
              <w:t>按照《中华人民共和国水土保持法》等相关规定缴纳水土保持补偿费。</w:t>
            </w:r>
          </w:p>
          <w:p w14:paraId="32B0D517">
            <w:pPr>
              <w:pStyle w:val="44"/>
              <w:bidi w:val="0"/>
            </w:pPr>
            <w:r>
              <w:rPr>
                <w:rFonts w:hint="eastAsia"/>
                <w:lang w:val="en-US" w:eastAsia="zh-CN"/>
              </w:rPr>
              <w:t>五、</w:t>
            </w:r>
            <w:r>
              <w:rPr>
                <w:rFonts w:hint="eastAsia"/>
              </w:rPr>
              <w:t>管理措施</w:t>
            </w:r>
          </w:p>
          <w:p w14:paraId="09D20BAC">
            <w:pPr>
              <w:pStyle w:val="44"/>
              <w:bidi w:val="0"/>
            </w:pPr>
            <w:r>
              <w:rPr>
                <w:rFonts w:hint="eastAsia"/>
              </w:rPr>
              <w:t>（1）针对项目占用林地的情况，项目须取得林草主管部门的行政许可方可实施。</w:t>
            </w:r>
          </w:p>
          <w:p w14:paraId="1413885D">
            <w:pPr>
              <w:pStyle w:val="44"/>
              <w:bidi w:val="0"/>
              <w:rPr>
                <w:rFonts w:hint="eastAsia"/>
              </w:rPr>
            </w:pPr>
            <w:r>
              <w:rPr>
                <w:rFonts w:hint="eastAsia"/>
              </w:rPr>
              <w:t>（</w:t>
            </w:r>
            <w:r>
              <w:t>2</w:t>
            </w:r>
            <w:r>
              <w:rPr>
                <w:rFonts w:hint="eastAsia"/>
              </w:rPr>
              <w:t>）应加强对工作人员进行环境教育、生物多样性保护及有关</w:t>
            </w:r>
            <w:r>
              <w:rPr>
                <w:rFonts w:hint="eastAsia"/>
                <w:lang w:eastAsia="zh-CN"/>
              </w:rPr>
              <w:t>法律法规</w:t>
            </w:r>
            <w:r>
              <w:rPr>
                <w:rFonts w:hint="eastAsia"/>
              </w:rPr>
              <w:t>的宣传教育。使其认识到生态环境保护的严肃性和重要性。并制定施工管理及奖惩制度，</w:t>
            </w:r>
            <w:r>
              <w:t>约束员工行为，明确岗位责任，</w:t>
            </w:r>
            <w:r>
              <w:rPr>
                <w:rFonts w:hint="eastAsia"/>
              </w:rPr>
              <w:t>避免施工行为扩大对周边生态环境的影响范围。</w:t>
            </w:r>
          </w:p>
          <w:p w14:paraId="11152809">
            <w:pPr>
              <w:pStyle w:val="44"/>
              <w:bidi w:val="0"/>
            </w:pPr>
            <w:r>
              <w:rPr>
                <w:rFonts w:hint="eastAsia"/>
              </w:rPr>
              <w:t>（</w:t>
            </w:r>
            <w:r>
              <w:t>3</w:t>
            </w:r>
            <w:r>
              <w:rPr>
                <w:rFonts w:hint="eastAsia"/>
              </w:rPr>
              <w:t>）项目矿山开采应加强管理</w:t>
            </w:r>
            <w:r>
              <w:t>，</w:t>
            </w:r>
            <w:r>
              <w:rPr>
                <w:rFonts w:hint="eastAsia"/>
                <w:lang w:eastAsia="zh-CN"/>
              </w:rPr>
              <w:t>增强</w:t>
            </w:r>
            <w:r>
              <w:t>管理者的消防意识，避免火灾</w:t>
            </w:r>
            <w:r>
              <w:rPr>
                <w:rFonts w:hint="eastAsia"/>
              </w:rPr>
              <w:t>等灾害</w:t>
            </w:r>
            <w:r>
              <w:t>的发生。</w:t>
            </w:r>
            <w:r>
              <w:rPr>
                <w:rFonts w:hint="eastAsia"/>
              </w:rPr>
              <w:t>植被恢复区应</w:t>
            </w:r>
            <w:r>
              <w:t>注意</w:t>
            </w:r>
            <w:r>
              <w:rPr>
                <w:rFonts w:hint="eastAsia"/>
              </w:rPr>
              <w:t>加强</w:t>
            </w:r>
            <w:r>
              <w:t>管理巡查，</w:t>
            </w:r>
            <w:r>
              <w:rPr>
                <w:rFonts w:hint="eastAsia"/>
              </w:rPr>
              <w:t>做好浇水、施肥保障、管护、补种等措施，若发现种植的植物死亡，应查明死亡原因，并进行补种和加强管理。</w:t>
            </w:r>
          </w:p>
          <w:p w14:paraId="10840938">
            <w:pPr>
              <w:pStyle w:val="44"/>
              <w:bidi w:val="0"/>
              <w:rPr>
                <w:rFonts w:hint="default"/>
                <w:lang w:val="en-US" w:eastAsia="zh-CN"/>
              </w:rPr>
            </w:pPr>
            <w:r>
              <w:rPr>
                <w:rFonts w:hint="eastAsia"/>
              </w:rPr>
              <w:t>（</w:t>
            </w:r>
            <w:r>
              <w:t>4</w:t>
            </w:r>
            <w:r>
              <w:rPr>
                <w:rFonts w:hint="eastAsia"/>
              </w:rPr>
              <w:t>）项目矿山开采须严格执行国家及地方生态环境保护法律法规。</w:t>
            </w:r>
            <w:r>
              <w:rPr>
                <w:rFonts w:hint="eastAsia"/>
                <w:lang w:val="en-US" w:eastAsia="zh-CN"/>
              </w:rPr>
              <w:t>六、</w:t>
            </w:r>
            <w:r>
              <w:rPr>
                <w:rFonts w:hint="default"/>
                <w:lang w:val="en-US" w:eastAsia="zh-CN"/>
              </w:rPr>
              <w:t>闭矿期生态恢复措施</w:t>
            </w:r>
          </w:p>
          <w:p w14:paraId="19BBD891">
            <w:pPr>
              <w:pStyle w:val="44"/>
              <w:bidi w:val="0"/>
              <w:rPr>
                <w:rFonts w:hint="default"/>
                <w:lang w:val="en-US" w:eastAsia="zh-CN"/>
              </w:rPr>
            </w:pPr>
            <w:r>
              <w:rPr>
                <w:rFonts w:hint="default"/>
                <w:lang w:val="en-US" w:eastAsia="zh-CN"/>
              </w:rPr>
              <w:t>（1）弃渣场等停止使用时，边坡修建挡墙防止其滑坡，在其上覆表土，然后按照建设单位后期组织编制的《矿山地质环境保护与土地复垦方案》进行生态修复，恢复物种选用当地乡土物种，乔灌草结合，并定期进入养护，保证其成活率。</w:t>
            </w:r>
          </w:p>
          <w:p w14:paraId="30A8BA66">
            <w:pPr>
              <w:pStyle w:val="44"/>
              <w:bidi w:val="0"/>
              <w:rPr>
                <w:rFonts w:hint="default"/>
                <w:lang w:val="en-US" w:eastAsia="zh-CN"/>
              </w:rPr>
            </w:pPr>
            <w:r>
              <w:rPr>
                <w:rFonts w:hint="default"/>
                <w:lang w:val="en-US" w:eastAsia="zh-CN"/>
              </w:rPr>
              <w:t>（2）工业场地内所有建筑物全部拆除，并对场地进行平整，然后覆土进行植被恢复。</w:t>
            </w:r>
          </w:p>
          <w:p w14:paraId="671D4BE9">
            <w:pPr>
              <w:pStyle w:val="44"/>
              <w:bidi w:val="0"/>
              <w:rPr>
                <w:rFonts w:hint="default"/>
                <w:lang w:val="en-US" w:eastAsia="zh-CN"/>
              </w:rPr>
            </w:pPr>
            <w:r>
              <w:rPr>
                <w:rFonts w:hint="default"/>
                <w:lang w:val="en-US" w:eastAsia="zh-CN"/>
              </w:rPr>
              <w:t>（3）矿山须坚持“边开采、边生态修复”的方式进行生态恢复。在矿体采空之后，对采场进行封场，在关停过程中要防止矿山地质灾害和重大安全事故的发生，应采取相应的工程治理措施，清除开采边坡上的危石，将地质灾害发生的可能性降到最低程度。对可能造成人身安全事故的采空区或</w:t>
            </w:r>
            <w:r>
              <w:rPr>
                <w:rFonts w:hint="eastAsia"/>
                <w:lang w:val="en-US" w:eastAsia="zh-CN"/>
              </w:rPr>
              <w:t>其他</w:t>
            </w:r>
            <w:r>
              <w:rPr>
                <w:rFonts w:hint="default"/>
                <w:lang w:val="en-US" w:eastAsia="zh-CN"/>
              </w:rPr>
              <w:t>危险区，其周边要设立永久性安全警示牌。同时要做好采场表土、废石的清理、复垦还绿工作。</w:t>
            </w:r>
          </w:p>
          <w:p w14:paraId="07A02F72">
            <w:pPr>
              <w:pStyle w:val="44"/>
              <w:bidi w:val="0"/>
              <w:rPr>
                <w:rFonts w:hint="default"/>
                <w:lang w:val="en-US" w:eastAsia="zh-CN"/>
              </w:rPr>
            </w:pPr>
            <w:r>
              <w:rPr>
                <w:rFonts w:hint="default"/>
                <w:lang w:val="en-US" w:eastAsia="zh-CN"/>
              </w:rPr>
              <w:t>（4）对露采坑采用生产剥离的废石进行回填，用推土机整平压实。将储存于排土场内的生产剥离表土用于土地复垦、植被恢复等环境恢复治理。</w:t>
            </w:r>
          </w:p>
          <w:p w14:paraId="28BBBDD8">
            <w:pPr>
              <w:pStyle w:val="44"/>
              <w:bidi w:val="0"/>
              <w:rPr>
                <w:rFonts w:hint="default"/>
                <w:lang w:val="en-US" w:eastAsia="zh-CN"/>
              </w:rPr>
            </w:pPr>
            <w:r>
              <w:rPr>
                <w:rFonts w:hint="default"/>
                <w:lang w:val="en-US" w:eastAsia="zh-CN"/>
              </w:rPr>
              <w:t>（5）矿山闭</w:t>
            </w:r>
            <w:r>
              <w:rPr>
                <w:rFonts w:hint="eastAsia"/>
                <w:lang w:val="en-US" w:eastAsia="zh-CN"/>
              </w:rPr>
              <w:t>矿山生态修复</w:t>
            </w:r>
            <w:r>
              <w:rPr>
                <w:rFonts w:hint="default"/>
                <w:lang w:val="en-US" w:eastAsia="zh-CN"/>
              </w:rPr>
              <w:t>宜就地采集当地植物的种子、幼苗进行种植，不能采用外来入侵物种。植被恢复力求创造多样性的生态环境条件，尽可能利用自然条件，包括土壤、种子，避免过于单一化和人工化，须注意乔、灌、草的结合，避免“园林化”恢复倾向。进行植被恢复时尽可能选用当地乡土物种，可选用云南松、栓皮栎、清香木、坡柳、狗牙根等本土物种，严禁使用外来入侵物种如桉树、银荆树、紫茎泽兰等。须同时采用多种植物进行植被恢复，避免恢复区植物单一化。</w:t>
            </w:r>
          </w:p>
          <w:p w14:paraId="7415766B">
            <w:pPr>
              <w:pStyle w:val="44"/>
              <w:bidi w:val="0"/>
              <w:rPr>
                <w:rFonts w:hint="default"/>
                <w:lang w:val="en-US" w:eastAsia="zh-CN"/>
              </w:rPr>
            </w:pPr>
            <w:r>
              <w:rPr>
                <w:rFonts w:hint="default"/>
                <w:lang w:val="en-US" w:eastAsia="zh-CN"/>
              </w:rPr>
              <w:t>（6）按照《矿山地质环境保护与土地复垦方案》实施闭</w:t>
            </w:r>
            <w:r>
              <w:rPr>
                <w:rFonts w:hint="eastAsia"/>
                <w:lang w:val="en-US" w:eastAsia="zh-CN"/>
              </w:rPr>
              <w:t>矿山生态修复</w:t>
            </w:r>
            <w:r>
              <w:rPr>
                <w:rFonts w:hint="default"/>
                <w:lang w:val="en-US" w:eastAsia="zh-CN"/>
              </w:rPr>
              <w:t>。</w:t>
            </w:r>
          </w:p>
        </w:tc>
        <w:tc>
          <w:tcPr>
            <w:tcW w:w="1782" w:type="dxa"/>
            <w:vAlign w:val="center"/>
          </w:tcPr>
          <w:p w14:paraId="6638AC06">
            <w:pPr>
              <w:pStyle w:val="43"/>
              <w:bidi w:val="0"/>
              <w:rPr>
                <w:rFonts w:hint="default"/>
                <w:lang w:val="en-US" w:eastAsia="zh-CN"/>
              </w:rPr>
            </w:pPr>
            <w:r>
              <w:rPr>
                <w:rFonts w:hint="default"/>
                <w:lang w:val="en-US" w:eastAsia="zh-CN"/>
              </w:rPr>
              <w:t>不</w:t>
            </w:r>
            <w:r>
              <w:rPr>
                <w:rFonts w:hint="default"/>
              </w:rPr>
              <w:t>造成项目区植被、动物明显减少；未加重项目区水土流失；闭矿后，项目区生态环境明显恢复，植被长势良好</w:t>
            </w:r>
            <w:r>
              <w:rPr>
                <w:rFonts w:hint="eastAsia"/>
                <w:lang w:eastAsia="zh-CN"/>
              </w:rPr>
              <w:t>，</w:t>
            </w:r>
            <w:r>
              <w:rPr>
                <w:rFonts w:hint="eastAsia"/>
                <w:lang w:val="en-US" w:eastAsia="zh-CN"/>
              </w:rPr>
              <w:t>缴纳各种补偿费用凭证等</w:t>
            </w:r>
          </w:p>
        </w:tc>
      </w:tr>
      <w:tr w14:paraId="11BA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638A1B65">
            <w:pPr>
              <w:pStyle w:val="43"/>
              <w:bidi w:val="0"/>
              <w:rPr>
                <w:rFonts w:hint="default"/>
              </w:rPr>
            </w:pPr>
            <w:r>
              <w:rPr>
                <w:rFonts w:hint="default"/>
              </w:rPr>
              <w:t>水生生态</w:t>
            </w:r>
          </w:p>
        </w:tc>
        <w:tc>
          <w:tcPr>
            <w:tcW w:w="3686" w:type="dxa"/>
            <w:vAlign w:val="center"/>
          </w:tcPr>
          <w:p w14:paraId="0CDC58BB">
            <w:pPr>
              <w:pStyle w:val="43"/>
              <w:bidi w:val="0"/>
              <w:rPr>
                <w:rFonts w:hint="default"/>
                <w:lang w:val="en-US" w:eastAsia="zh-CN"/>
              </w:rPr>
            </w:pPr>
            <w:r>
              <w:rPr>
                <w:rFonts w:hint="default"/>
                <w:lang w:val="en-US" w:eastAsia="zh-CN"/>
              </w:rPr>
              <w:t>/</w:t>
            </w:r>
          </w:p>
        </w:tc>
        <w:tc>
          <w:tcPr>
            <w:tcW w:w="1320" w:type="dxa"/>
            <w:vAlign w:val="center"/>
          </w:tcPr>
          <w:p w14:paraId="1EF38AB1">
            <w:pPr>
              <w:pStyle w:val="43"/>
              <w:bidi w:val="0"/>
              <w:rPr>
                <w:rFonts w:hint="default"/>
                <w:lang w:val="en-US" w:eastAsia="zh-CN"/>
              </w:rPr>
            </w:pPr>
            <w:r>
              <w:rPr>
                <w:rFonts w:hint="default"/>
                <w:lang w:val="en-US" w:eastAsia="zh-CN"/>
              </w:rPr>
              <w:t>/</w:t>
            </w:r>
          </w:p>
        </w:tc>
        <w:tc>
          <w:tcPr>
            <w:tcW w:w="6036" w:type="dxa"/>
            <w:vAlign w:val="center"/>
          </w:tcPr>
          <w:p w14:paraId="075EBC49">
            <w:pPr>
              <w:pStyle w:val="43"/>
              <w:bidi w:val="0"/>
              <w:rPr>
                <w:rFonts w:hint="default"/>
                <w:lang w:val="en-US" w:eastAsia="zh-CN"/>
              </w:rPr>
            </w:pPr>
            <w:r>
              <w:rPr>
                <w:rFonts w:hint="default"/>
                <w:lang w:val="en-US" w:eastAsia="zh-CN"/>
              </w:rPr>
              <w:t>/</w:t>
            </w:r>
          </w:p>
        </w:tc>
        <w:tc>
          <w:tcPr>
            <w:tcW w:w="1782" w:type="dxa"/>
            <w:vAlign w:val="center"/>
          </w:tcPr>
          <w:p w14:paraId="1EB371EA">
            <w:pPr>
              <w:pStyle w:val="43"/>
              <w:bidi w:val="0"/>
              <w:rPr>
                <w:rFonts w:hint="default"/>
                <w:lang w:val="en-US" w:eastAsia="zh-CN"/>
              </w:rPr>
            </w:pPr>
            <w:r>
              <w:rPr>
                <w:rFonts w:hint="default"/>
                <w:lang w:val="en-US" w:eastAsia="zh-CN"/>
              </w:rPr>
              <w:t>/</w:t>
            </w:r>
          </w:p>
        </w:tc>
      </w:tr>
      <w:tr w14:paraId="29BC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shd w:val="clear" w:color="auto" w:fill="auto"/>
            <w:vAlign w:val="center"/>
          </w:tcPr>
          <w:p w14:paraId="1CDD08AC">
            <w:pPr>
              <w:pStyle w:val="43"/>
              <w:bidi w:val="0"/>
              <w:rPr>
                <w:rFonts w:hint="default"/>
              </w:rPr>
            </w:pPr>
            <w:r>
              <w:rPr>
                <w:rFonts w:hint="default"/>
              </w:rPr>
              <w:t>大气环境</w:t>
            </w:r>
          </w:p>
        </w:tc>
        <w:tc>
          <w:tcPr>
            <w:tcW w:w="3686" w:type="dxa"/>
            <w:shd w:val="clear" w:color="auto" w:fill="auto"/>
            <w:vAlign w:val="center"/>
          </w:tcPr>
          <w:p w14:paraId="236BE5E6">
            <w:pPr>
              <w:pStyle w:val="44"/>
              <w:bidi w:val="0"/>
              <w:rPr>
                <w:rFonts w:hint="default"/>
              </w:rPr>
            </w:pPr>
            <w:r>
              <w:rPr>
                <w:rFonts w:hint="default"/>
              </w:rPr>
              <w:t>（1）将扬尘污染防治费用列入工程造价，在施工合同中明确施工单位的扬尘污染防治责任。施工单位应当制定具体的施工扬尘污染防治实施方案。</w:t>
            </w:r>
          </w:p>
          <w:p w14:paraId="7A5AB7F2">
            <w:pPr>
              <w:pStyle w:val="44"/>
              <w:bidi w:val="0"/>
              <w:rPr>
                <w:rFonts w:hint="default"/>
              </w:rPr>
            </w:pPr>
            <w:r>
              <w:rPr>
                <w:rFonts w:hint="default"/>
              </w:rPr>
              <w:t>（2）</w:t>
            </w:r>
            <w:r>
              <w:rPr>
                <w:rFonts w:hint="eastAsia"/>
                <w:lang w:eastAsia="zh-CN"/>
              </w:rPr>
              <w:t>加工区</w:t>
            </w:r>
            <w:r>
              <w:rPr>
                <w:rFonts w:hint="default"/>
              </w:rPr>
              <w:t>及厂房、生活区建设过程应设置铁质围挡并于晴天辅以洒水降尘措施，进场道路及运输道路施工应该分段作业，基础开挖待回填土石方应进行覆盖，不可利用建筑垃圾应及时清运。</w:t>
            </w:r>
          </w:p>
          <w:p w14:paraId="2A51905E">
            <w:pPr>
              <w:pStyle w:val="44"/>
              <w:bidi w:val="0"/>
              <w:rPr>
                <w:rFonts w:hint="default"/>
              </w:rPr>
            </w:pPr>
            <w:r>
              <w:rPr>
                <w:rFonts w:hint="default"/>
              </w:rPr>
              <w:t>（3）遇到干燥、易起尘的土方工程作业时，应辅以洒水抑尘，尽量缩短起尘操作时间。四级或四级以上大风天气，应停止土方作业。</w:t>
            </w:r>
          </w:p>
          <w:p w14:paraId="36A69954">
            <w:pPr>
              <w:pStyle w:val="44"/>
              <w:bidi w:val="0"/>
              <w:rPr>
                <w:rFonts w:hint="default"/>
              </w:rPr>
            </w:pPr>
            <w:r>
              <w:rPr>
                <w:rFonts w:hint="default"/>
              </w:rPr>
              <w:t>（4）运输车辆进入施工场地要限速行驶，谨防运输车辆装载过满，并采取遮盖、密闭措施，防止或减少其沿途抛洒，车辆及各类设备工具应定期清洁，运输道路定时洒水抑尘，减少运输过程中的扬尘。</w:t>
            </w:r>
          </w:p>
          <w:p w14:paraId="29169F05">
            <w:pPr>
              <w:pStyle w:val="44"/>
              <w:bidi w:val="0"/>
              <w:rPr>
                <w:rFonts w:hint="default"/>
              </w:rPr>
            </w:pPr>
            <w:r>
              <w:rPr>
                <w:rFonts w:hint="default"/>
              </w:rPr>
              <w:t>（5）对暂时未动工的裸露地面区域应进行绿化、铺装或者遮盖。</w:t>
            </w:r>
          </w:p>
          <w:p w14:paraId="03092A1C">
            <w:pPr>
              <w:pStyle w:val="44"/>
              <w:bidi w:val="0"/>
              <w:rPr>
                <w:rFonts w:hint="default"/>
              </w:rPr>
            </w:pPr>
            <w:r>
              <w:rPr>
                <w:rFonts w:hint="default"/>
              </w:rPr>
              <w:t>（6）对施工现场进行科学管理，易产生扬尘的物料应统一堆放，尽量减少搬运环节，搬运时轻举轻放，防止包装袋破裂。</w:t>
            </w:r>
          </w:p>
          <w:p w14:paraId="1D778D66">
            <w:pPr>
              <w:pStyle w:val="44"/>
              <w:bidi w:val="0"/>
              <w:rPr>
                <w:rFonts w:hint="default"/>
              </w:rPr>
            </w:pPr>
            <w:r>
              <w:rPr>
                <w:rFonts w:hint="default"/>
              </w:rPr>
              <w:t>（7）加强对机械、车辆的维修保养，禁止以柴油为燃料的施工机械超负荷工作，减少烟尘和颗粒物的排放。</w:t>
            </w:r>
          </w:p>
        </w:tc>
        <w:tc>
          <w:tcPr>
            <w:tcW w:w="1320" w:type="dxa"/>
            <w:shd w:val="clear" w:color="auto" w:fill="auto"/>
            <w:vAlign w:val="center"/>
          </w:tcPr>
          <w:p w14:paraId="5F581A65">
            <w:pPr>
              <w:pStyle w:val="43"/>
              <w:bidi w:val="0"/>
              <w:rPr>
                <w:rFonts w:hint="default"/>
                <w:lang w:val="en-US" w:eastAsia="zh-CN"/>
              </w:rPr>
            </w:pPr>
            <w:r>
              <w:rPr>
                <w:rFonts w:hint="eastAsia"/>
                <w:lang w:val="en-US" w:eastAsia="zh-CN"/>
              </w:rPr>
              <w:t>施工期监测</w:t>
            </w:r>
            <w:r>
              <w:rPr>
                <w:rFonts w:hint="default"/>
              </w:rPr>
              <w:t>达</w:t>
            </w:r>
            <w:r>
              <w:rPr>
                <w:rFonts w:hint="eastAsia"/>
                <w:lang w:val="en-US" w:eastAsia="zh-CN"/>
              </w:rPr>
              <w:t>《</w:t>
            </w:r>
            <w:r>
              <w:rPr>
                <w:rFonts w:hint="default"/>
                <w:lang w:val="en-US" w:eastAsia="zh-CN"/>
              </w:rPr>
              <w:t>大气污染物综合排放标准》（GB16297-1996）</w:t>
            </w:r>
            <w:r>
              <w:rPr>
                <w:rFonts w:hint="default"/>
              </w:rPr>
              <w:t>无组织排放浓度限值</w:t>
            </w:r>
            <w:r>
              <w:rPr>
                <w:rFonts w:hint="eastAsia"/>
                <w:lang w:eastAsia="zh-CN"/>
              </w:rPr>
              <w:t>；</w:t>
            </w:r>
            <w:r>
              <w:rPr>
                <w:rFonts w:hint="default"/>
              </w:rPr>
              <w:t>施工扬尘污染防治实施方案</w:t>
            </w:r>
            <w:r>
              <w:rPr>
                <w:rFonts w:hint="eastAsia"/>
                <w:lang w:val="en-US" w:eastAsia="zh-CN"/>
              </w:rPr>
              <w:t>；施工期洒水降尘等监理记录</w:t>
            </w:r>
          </w:p>
        </w:tc>
        <w:tc>
          <w:tcPr>
            <w:tcW w:w="6036" w:type="dxa"/>
            <w:shd w:val="clear" w:color="auto" w:fill="auto"/>
            <w:vAlign w:val="center"/>
          </w:tcPr>
          <w:p w14:paraId="75A5DE2C">
            <w:pPr>
              <w:pStyle w:val="44"/>
              <w:bidi w:val="0"/>
              <w:rPr>
                <w:rFonts w:hint="default"/>
                <w:lang w:val="en-US" w:eastAsia="zh-CN"/>
              </w:rPr>
            </w:pPr>
            <w:r>
              <w:rPr>
                <w:rFonts w:hint="default"/>
                <w:lang w:val="en-US" w:eastAsia="zh-CN"/>
              </w:rPr>
              <w:t>（1）</w:t>
            </w:r>
            <w:r>
              <w:rPr>
                <w:rFonts w:hint="eastAsia"/>
                <w:lang w:val="en-US" w:eastAsia="zh-CN"/>
              </w:rPr>
              <w:t>加工区</w:t>
            </w:r>
            <w:r>
              <w:rPr>
                <w:rFonts w:hint="default"/>
                <w:lang w:val="en-US" w:eastAsia="zh-CN"/>
              </w:rPr>
              <w:t>和产品堆场区域设置彩钢结构厂房，地面硬化处理，顶部建设洒水喷雾系统，内部物料传输皮带加装防尘罩；在砂石加工工序（破碎工序、筛分和打砂工序）设置集气罩收集粉尘并经布袋除尘器处理达标后经15m高DA001排气筒排放；</w:t>
            </w:r>
          </w:p>
          <w:p w14:paraId="0A50F9B8">
            <w:pPr>
              <w:pStyle w:val="44"/>
              <w:bidi w:val="0"/>
              <w:rPr>
                <w:rFonts w:hint="default"/>
                <w:lang w:val="en-US" w:eastAsia="zh-CN"/>
              </w:rPr>
            </w:pPr>
            <w:r>
              <w:rPr>
                <w:rFonts w:hint="default"/>
                <w:lang w:val="en-US" w:eastAsia="zh-CN"/>
              </w:rPr>
              <w:t>（2）配备洒水车、雾炮机，晴天对露天采场、表土堆场、堆料场、运输道路区进行洒水降尘和保洁；</w:t>
            </w:r>
          </w:p>
          <w:p w14:paraId="6A8DB8A0">
            <w:pPr>
              <w:pStyle w:val="44"/>
              <w:bidi w:val="0"/>
              <w:rPr>
                <w:rFonts w:hint="default"/>
                <w:lang w:val="en-US" w:eastAsia="zh-CN"/>
              </w:rPr>
            </w:pPr>
            <w:r>
              <w:rPr>
                <w:rFonts w:hint="default"/>
                <w:lang w:val="en-US" w:eastAsia="zh-CN"/>
              </w:rPr>
              <w:t>（3）采矿完毕后进行复垦，复垦的工程措施和生物措施同步，尽早恢复场地植被，干燥季节施工采取洒水降尘措施，减少扬尘点；</w:t>
            </w:r>
          </w:p>
          <w:p w14:paraId="4A96725A">
            <w:pPr>
              <w:pStyle w:val="44"/>
              <w:bidi w:val="0"/>
              <w:rPr>
                <w:rFonts w:hint="default"/>
                <w:lang w:val="en-US" w:eastAsia="zh-CN"/>
              </w:rPr>
            </w:pPr>
            <w:r>
              <w:rPr>
                <w:rFonts w:hint="default"/>
                <w:lang w:val="en-US" w:eastAsia="zh-CN"/>
              </w:rPr>
              <w:t>（4）降低装卸物料的高度，减少装卸扬尘，严禁从高处直接抛撒弃土、废石；</w:t>
            </w:r>
          </w:p>
          <w:p w14:paraId="49B859A3">
            <w:pPr>
              <w:pStyle w:val="44"/>
              <w:bidi w:val="0"/>
              <w:rPr>
                <w:rFonts w:hint="default"/>
                <w:lang w:val="en-US" w:eastAsia="zh-CN"/>
              </w:rPr>
            </w:pPr>
            <w:r>
              <w:rPr>
                <w:rFonts w:hint="default"/>
                <w:lang w:val="en-US" w:eastAsia="zh-CN"/>
              </w:rPr>
              <w:t>（5）运输车辆物料采取遮盖措施，控制车辆速度，减少道路扬尘产生；</w:t>
            </w:r>
          </w:p>
          <w:p w14:paraId="5F8C7BE4">
            <w:pPr>
              <w:pStyle w:val="44"/>
              <w:bidi w:val="0"/>
              <w:rPr>
                <w:rFonts w:hint="default"/>
                <w:lang w:val="en-US" w:eastAsia="zh-CN"/>
              </w:rPr>
            </w:pPr>
            <w:r>
              <w:rPr>
                <w:rFonts w:hint="default"/>
                <w:lang w:val="en-US" w:eastAsia="zh-CN"/>
              </w:rPr>
              <w:t>（6）加强作业管理，提倡文明作业，避免野蛮作业造成不必要的扬尘污染。</w:t>
            </w:r>
          </w:p>
        </w:tc>
        <w:tc>
          <w:tcPr>
            <w:tcW w:w="1782" w:type="dxa"/>
            <w:shd w:val="clear" w:color="auto" w:fill="auto"/>
            <w:vAlign w:val="center"/>
          </w:tcPr>
          <w:p w14:paraId="614CB216">
            <w:pPr>
              <w:pStyle w:val="43"/>
              <w:bidi w:val="0"/>
              <w:rPr>
                <w:rFonts w:hint="default"/>
                <w:lang w:val="en-US" w:eastAsia="zh-CN"/>
              </w:rPr>
            </w:pPr>
            <w:r>
              <w:rPr>
                <w:rFonts w:hint="eastAsia"/>
                <w:lang w:val="en-US" w:eastAsia="zh-CN"/>
              </w:rPr>
              <w:t>达到《</w:t>
            </w:r>
            <w:r>
              <w:rPr>
                <w:rFonts w:hint="default"/>
                <w:lang w:val="en-US" w:eastAsia="zh-CN"/>
              </w:rPr>
              <w:t>大气污染物综合排放标准》（GB16297-1996）二级标准</w:t>
            </w:r>
          </w:p>
        </w:tc>
      </w:tr>
      <w:tr w14:paraId="3B8D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112E17E1">
            <w:pPr>
              <w:pStyle w:val="43"/>
              <w:bidi w:val="0"/>
              <w:rPr>
                <w:rFonts w:hint="default"/>
              </w:rPr>
            </w:pPr>
            <w:r>
              <w:rPr>
                <w:rFonts w:hint="default"/>
              </w:rPr>
              <w:t>地表水环境</w:t>
            </w:r>
          </w:p>
        </w:tc>
        <w:tc>
          <w:tcPr>
            <w:tcW w:w="3686" w:type="dxa"/>
            <w:vAlign w:val="center"/>
          </w:tcPr>
          <w:p w14:paraId="6A520C20">
            <w:pPr>
              <w:pStyle w:val="44"/>
              <w:bidi w:val="0"/>
              <w:rPr>
                <w:rFonts w:hint="default"/>
                <w:lang w:val="en-US" w:eastAsia="zh-CN"/>
              </w:rPr>
            </w:pPr>
            <w:r>
              <w:rPr>
                <w:rFonts w:hint="eastAsia"/>
                <w:lang w:val="en-US" w:eastAsia="zh-CN"/>
              </w:rPr>
              <w:t>项目施工期主要为设备更换，基本无生产废水产生，生活污水进入已建的粪污收集池后周边农户清掏做农肥，不外排。</w:t>
            </w:r>
          </w:p>
        </w:tc>
        <w:tc>
          <w:tcPr>
            <w:tcW w:w="1320" w:type="dxa"/>
            <w:vAlign w:val="center"/>
          </w:tcPr>
          <w:p w14:paraId="38AD51EE">
            <w:pPr>
              <w:pStyle w:val="43"/>
              <w:bidi w:val="0"/>
              <w:rPr>
                <w:rFonts w:hint="default"/>
                <w:lang w:val="en-US" w:eastAsia="zh-CN"/>
              </w:rPr>
            </w:pPr>
            <w:r>
              <w:rPr>
                <w:rFonts w:hint="eastAsia"/>
                <w:lang w:val="en-US" w:eastAsia="zh-CN"/>
              </w:rPr>
              <w:t>废水不外排。</w:t>
            </w:r>
          </w:p>
        </w:tc>
        <w:tc>
          <w:tcPr>
            <w:tcW w:w="6036" w:type="dxa"/>
            <w:vAlign w:val="center"/>
          </w:tcPr>
          <w:p w14:paraId="7A4F50C4">
            <w:pPr>
              <w:pStyle w:val="43"/>
              <w:bidi w:val="0"/>
              <w:rPr>
                <w:rFonts w:hint="default"/>
                <w:lang w:val="en-US" w:eastAsia="zh-CN"/>
              </w:rPr>
            </w:pPr>
            <w:r>
              <w:rPr>
                <w:rFonts w:hint="eastAsia"/>
                <w:lang w:val="en-US" w:eastAsia="zh-CN"/>
              </w:rPr>
              <w:t>初期雨水经初期雨水沉淀池处理后回用于洒水降尘。生活污水进入已建的粪污收集池后周边农户清掏做农肥，不外排</w:t>
            </w:r>
            <w:r>
              <w:rPr>
                <w:rFonts w:hint="default"/>
                <w:lang w:val="en-US" w:eastAsia="zh-CN"/>
              </w:rPr>
              <w:t>。</w:t>
            </w:r>
          </w:p>
        </w:tc>
        <w:tc>
          <w:tcPr>
            <w:tcW w:w="1782" w:type="dxa"/>
            <w:vAlign w:val="center"/>
          </w:tcPr>
          <w:p w14:paraId="45D5F391">
            <w:pPr>
              <w:pStyle w:val="43"/>
              <w:bidi w:val="0"/>
              <w:rPr>
                <w:rFonts w:hint="default"/>
                <w:lang w:val="en-US" w:eastAsia="zh-CN"/>
              </w:rPr>
            </w:pPr>
            <w:r>
              <w:rPr>
                <w:rFonts w:hint="eastAsia"/>
                <w:lang w:val="en-US" w:eastAsia="zh-CN"/>
              </w:rPr>
              <w:t>各收集池容积满足要求</w:t>
            </w:r>
            <w:r>
              <w:rPr>
                <w:rFonts w:hint="default"/>
                <w:lang w:val="en-US" w:eastAsia="zh-CN"/>
              </w:rPr>
              <w:t>废水</w:t>
            </w:r>
            <w:r>
              <w:rPr>
                <w:rFonts w:hint="eastAsia"/>
                <w:lang w:val="en-US" w:eastAsia="zh-CN"/>
              </w:rPr>
              <w:t>；</w:t>
            </w:r>
            <w:r>
              <w:rPr>
                <w:rFonts w:hint="default"/>
                <w:lang w:val="en-US" w:eastAsia="zh-CN"/>
              </w:rPr>
              <w:t>全部回用不外排。</w:t>
            </w:r>
          </w:p>
        </w:tc>
      </w:tr>
      <w:tr w14:paraId="797E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3884DFF7">
            <w:pPr>
              <w:pStyle w:val="43"/>
              <w:bidi w:val="0"/>
              <w:rPr>
                <w:rFonts w:hint="default"/>
              </w:rPr>
            </w:pPr>
            <w:r>
              <w:rPr>
                <w:rFonts w:hint="default"/>
              </w:rPr>
              <w:t>地下水环境</w:t>
            </w:r>
          </w:p>
        </w:tc>
        <w:tc>
          <w:tcPr>
            <w:tcW w:w="3686" w:type="dxa"/>
            <w:vAlign w:val="center"/>
          </w:tcPr>
          <w:p w14:paraId="183465FD">
            <w:pPr>
              <w:pStyle w:val="44"/>
              <w:bidi w:val="0"/>
              <w:rPr>
                <w:rFonts w:hint="default"/>
                <w:lang w:val="en-US" w:eastAsia="zh-CN"/>
              </w:rPr>
            </w:pPr>
            <w:r>
              <w:rPr>
                <w:rFonts w:hint="default"/>
                <w:lang w:val="en-US" w:eastAsia="zh-CN"/>
              </w:rPr>
              <w:t>/</w:t>
            </w:r>
          </w:p>
        </w:tc>
        <w:tc>
          <w:tcPr>
            <w:tcW w:w="1320" w:type="dxa"/>
            <w:vAlign w:val="center"/>
          </w:tcPr>
          <w:p w14:paraId="7D885229">
            <w:pPr>
              <w:pStyle w:val="43"/>
              <w:bidi w:val="0"/>
              <w:rPr>
                <w:rFonts w:hint="default"/>
                <w:lang w:val="en-US" w:eastAsia="zh-CN"/>
              </w:rPr>
            </w:pPr>
            <w:r>
              <w:rPr>
                <w:rFonts w:hint="default"/>
                <w:lang w:val="en-US" w:eastAsia="zh-CN"/>
              </w:rPr>
              <w:t>/</w:t>
            </w:r>
          </w:p>
        </w:tc>
        <w:tc>
          <w:tcPr>
            <w:tcW w:w="6036" w:type="dxa"/>
            <w:vAlign w:val="center"/>
          </w:tcPr>
          <w:p w14:paraId="32767543">
            <w:pPr>
              <w:pStyle w:val="44"/>
              <w:bidi w:val="0"/>
              <w:rPr>
                <w:rFonts w:hint="eastAsia"/>
                <w:lang w:val="en-US" w:eastAsia="zh-CN"/>
              </w:rPr>
            </w:pPr>
            <w:r>
              <w:rPr>
                <w:rFonts w:hint="eastAsia"/>
                <w:lang w:val="en-US" w:eastAsia="zh-CN"/>
              </w:rPr>
              <w:t>（1）源头控制措施</w:t>
            </w:r>
          </w:p>
          <w:p w14:paraId="41AED59E">
            <w:pPr>
              <w:pStyle w:val="44"/>
              <w:bidi w:val="0"/>
              <w:rPr>
                <w:rFonts w:hint="eastAsia"/>
                <w:lang w:val="en-US" w:eastAsia="zh-CN"/>
              </w:rPr>
            </w:pPr>
            <w:r>
              <w:rPr>
                <w:rFonts w:hint="eastAsia"/>
                <w:lang w:val="en-US" w:eastAsia="zh-CN"/>
              </w:rPr>
              <w:t>源头控制包括两部分，一是对废水各构筑物的控制；二是对危废的控制。</w:t>
            </w:r>
          </w:p>
          <w:p w14:paraId="2EE58738">
            <w:pPr>
              <w:pStyle w:val="44"/>
              <w:bidi w:val="0"/>
              <w:rPr>
                <w:rFonts w:hint="eastAsia"/>
                <w:lang w:val="en-US" w:eastAsia="zh-CN"/>
              </w:rPr>
            </w:pPr>
            <w:r>
              <w:rPr>
                <w:rFonts w:hint="eastAsia"/>
                <w:lang w:val="en-US" w:eastAsia="zh-CN"/>
              </w:rPr>
              <w:t>①对废水各构筑物的控制</w:t>
            </w:r>
          </w:p>
          <w:p w14:paraId="44350741">
            <w:pPr>
              <w:pStyle w:val="44"/>
              <w:bidi w:val="0"/>
              <w:rPr>
                <w:rFonts w:hint="eastAsia"/>
                <w:lang w:val="en-US" w:eastAsia="zh-CN"/>
              </w:rPr>
            </w:pPr>
            <w:r>
              <w:rPr>
                <w:rFonts w:hint="eastAsia"/>
                <w:lang w:val="en-US" w:eastAsia="zh-CN"/>
              </w:rPr>
              <w:t>主要包括对项目区各类废水排水沟、管道和各沉淀池采取相应措施，将污染物的跑、冒、滴、漏，将废水泄漏的环境风险事故降低到最低程度。管道铺设尽量采用“可视化”原则，管道尽可能在地上铺设，做到污染物“早发现、早处理”，以减少由于埋地管道泄漏而可能造成的地下水污染。</w:t>
            </w:r>
          </w:p>
          <w:p w14:paraId="298B4C03">
            <w:pPr>
              <w:pStyle w:val="44"/>
              <w:bidi w:val="0"/>
              <w:rPr>
                <w:rFonts w:hint="eastAsia"/>
                <w:lang w:val="en-US" w:eastAsia="zh-CN"/>
              </w:rPr>
            </w:pPr>
            <w:r>
              <w:rPr>
                <w:rFonts w:hint="eastAsia"/>
                <w:lang w:val="en-US" w:eastAsia="zh-CN"/>
              </w:rPr>
              <w:t>在项目运行期要有专职人员每天巡视、检查可能发生泄漏的管道、水池，发现跑、冒、滴、漏情况，及时采取修复等措施阻止污染物的进一步扩散泄漏，并立即清除被污染的土壤，阻止污染物进一步下渗。</w:t>
            </w:r>
          </w:p>
          <w:p w14:paraId="4B1A3CAA">
            <w:pPr>
              <w:pStyle w:val="44"/>
              <w:bidi w:val="0"/>
              <w:rPr>
                <w:rFonts w:hint="eastAsia"/>
                <w:lang w:val="en-US" w:eastAsia="zh-CN"/>
              </w:rPr>
            </w:pPr>
            <w:r>
              <w:rPr>
                <w:rFonts w:hint="eastAsia"/>
                <w:lang w:val="en-US" w:eastAsia="zh-CN"/>
              </w:rPr>
              <w:t>②对危废的控制</w:t>
            </w:r>
          </w:p>
          <w:p w14:paraId="767C64B9">
            <w:pPr>
              <w:pStyle w:val="44"/>
              <w:bidi w:val="0"/>
              <w:rPr>
                <w:rFonts w:hint="eastAsia"/>
                <w:lang w:val="en-US" w:eastAsia="zh-CN"/>
              </w:rPr>
            </w:pPr>
            <w:r>
              <w:rPr>
                <w:rFonts w:hint="eastAsia"/>
                <w:lang w:val="en-US" w:eastAsia="zh-CN"/>
              </w:rPr>
              <w:t>加强管理，规范操作，严禁废机油乱扔乱弃，按照规范先将废机油暂存于密封废油桶后，再置于危废暂存间，定期交由有资质单位处置。</w:t>
            </w:r>
          </w:p>
          <w:p w14:paraId="02C8A415">
            <w:pPr>
              <w:pStyle w:val="44"/>
              <w:bidi w:val="0"/>
              <w:rPr>
                <w:rFonts w:hint="eastAsia"/>
                <w:lang w:val="en-US" w:eastAsia="zh-CN"/>
              </w:rPr>
            </w:pPr>
            <w:r>
              <w:rPr>
                <w:rFonts w:hint="eastAsia"/>
                <w:lang w:val="en-US" w:eastAsia="zh-CN"/>
              </w:rPr>
              <w:t>（3）分区防渗措施</w:t>
            </w:r>
          </w:p>
          <w:p w14:paraId="4EE15F92">
            <w:pPr>
              <w:pStyle w:val="44"/>
              <w:bidi w:val="0"/>
              <w:rPr>
                <w:rFonts w:hint="eastAsia"/>
                <w:lang w:val="en-US" w:eastAsia="zh-CN"/>
              </w:rPr>
            </w:pPr>
            <w:r>
              <w:rPr>
                <w:rFonts w:hint="eastAsia"/>
                <w:lang w:val="en-US" w:eastAsia="zh-CN"/>
              </w:rPr>
              <w:t>依据《环境影响评价技术导则 地下水环境》（HJ 610-2016）分区防控措施的具体要求，将危废间划为重点防渗区，粪污收集池、各类废水收集池划为一般防渗区，其他区域划为简单防渗区，各区按要求进行防渗施工。</w:t>
            </w:r>
          </w:p>
          <w:p w14:paraId="27F25314">
            <w:pPr>
              <w:pStyle w:val="44"/>
              <w:bidi w:val="0"/>
              <w:rPr>
                <w:rFonts w:hint="default"/>
              </w:rPr>
            </w:pPr>
            <w:r>
              <w:rPr>
                <w:rFonts w:hint="eastAsia"/>
                <w:lang w:val="en-US" w:eastAsia="zh-CN"/>
              </w:rPr>
              <w:t>（4）</w:t>
            </w:r>
            <w:r>
              <w:rPr>
                <w:rFonts w:hint="default"/>
              </w:rPr>
              <w:t>应急处置措施</w:t>
            </w:r>
          </w:p>
          <w:p w14:paraId="7EDBCBAB">
            <w:pPr>
              <w:pStyle w:val="44"/>
              <w:bidi w:val="0"/>
              <w:rPr>
                <w:rFonts w:hint="default"/>
                <w:lang w:eastAsia="zh-CN"/>
              </w:rPr>
            </w:pPr>
            <w:r>
              <w:rPr>
                <w:rFonts w:hint="default"/>
              </w:rPr>
              <w:t>如发现地下水</w:t>
            </w:r>
            <w:r>
              <w:rPr>
                <w:rFonts w:hint="default"/>
                <w:lang w:eastAsia="zh-CN"/>
              </w:rPr>
              <w:t>、</w:t>
            </w:r>
            <w:r>
              <w:rPr>
                <w:rFonts w:hint="default"/>
                <w:lang w:val="en-US" w:eastAsia="zh-CN"/>
              </w:rPr>
              <w:t>土壤</w:t>
            </w:r>
            <w:r>
              <w:rPr>
                <w:rFonts w:hint="default"/>
              </w:rPr>
              <w:t>污染事故，应立即向公司环保部门及行政管理部门报告，调查并确认污染源位置</w:t>
            </w:r>
            <w:r>
              <w:rPr>
                <w:rFonts w:hint="default"/>
                <w:lang w:eastAsia="zh-CN"/>
              </w:rPr>
              <w:t>；</w:t>
            </w:r>
          </w:p>
          <w:p w14:paraId="1E0EDC5E">
            <w:pPr>
              <w:pStyle w:val="44"/>
              <w:bidi w:val="0"/>
              <w:rPr>
                <w:rFonts w:hint="default"/>
                <w:lang w:eastAsia="zh-CN"/>
              </w:rPr>
            </w:pPr>
            <w:r>
              <w:rPr>
                <w:rFonts w:hint="default"/>
              </w:rPr>
              <w:t>采取有效措施及时阻断确认的污染源，防止污染物继续渗漏到地下，导致土壤和地下水污染范围扩大</w:t>
            </w:r>
            <w:r>
              <w:rPr>
                <w:rFonts w:hint="default"/>
                <w:lang w:eastAsia="zh-CN"/>
              </w:rPr>
              <w:t>；</w:t>
            </w:r>
          </w:p>
          <w:p w14:paraId="6BA8E0A1">
            <w:pPr>
              <w:pStyle w:val="44"/>
              <w:bidi w:val="0"/>
              <w:rPr>
                <w:rFonts w:hint="default"/>
                <w:lang w:eastAsia="zh-CN"/>
              </w:rPr>
            </w:pPr>
            <w:r>
              <w:rPr>
                <w:rFonts w:hint="default"/>
              </w:rPr>
              <w:t>立即对重污染区域采取有效的修复措施，包括开挖并移走重污染土壤作危险废物处置，防止污染物在地下继续扩散</w:t>
            </w:r>
            <w:r>
              <w:rPr>
                <w:rFonts w:hint="default"/>
                <w:lang w:eastAsia="zh-CN"/>
              </w:rPr>
              <w:t>；</w:t>
            </w:r>
          </w:p>
          <w:p w14:paraId="4947D786">
            <w:pPr>
              <w:pStyle w:val="44"/>
              <w:bidi w:val="0"/>
              <w:rPr>
                <w:rFonts w:hint="default"/>
                <w:lang w:val="en-US" w:eastAsia="zh-CN"/>
              </w:rPr>
            </w:pPr>
            <w:r>
              <w:rPr>
                <w:rFonts w:hint="default"/>
                <w:lang w:val="en-US" w:eastAsia="zh-CN"/>
              </w:rPr>
              <w:t>若有必要，</w:t>
            </w:r>
            <w:r>
              <w:rPr>
                <w:rFonts w:hint="default"/>
              </w:rPr>
              <w:t>对项目区地下水进行监测，确定水质是否受到影响。</w:t>
            </w:r>
          </w:p>
        </w:tc>
        <w:tc>
          <w:tcPr>
            <w:tcW w:w="1782" w:type="dxa"/>
            <w:vAlign w:val="center"/>
          </w:tcPr>
          <w:p w14:paraId="37822133">
            <w:pPr>
              <w:pStyle w:val="43"/>
              <w:bidi w:val="0"/>
              <w:rPr>
                <w:rFonts w:hint="default"/>
                <w:lang w:val="en-US" w:eastAsia="zh-CN"/>
              </w:rPr>
            </w:pPr>
            <w:r>
              <w:rPr>
                <w:rFonts w:hint="eastAsia"/>
                <w:lang w:val="en-US" w:eastAsia="zh-CN"/>
              </w:rPr>
              <w:t>提供废水各构筑物、危废间的防渗施工监理材料，明确是否达到防渗要求。</w:t>
            </w:r>
          </w:p>
        </w:tc>
      </w:tr>
      <w:tr w14:paraId="2BB9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39F02A77">
            <w:pPr>
              <w:pStyle w:val="43"/>
              <w:bidi w:val="0"/>
              <w:rPr>
                <w:rFonts w:hint="eastAsia"/>
                <w:lang w:val="en-US" w:eastAsia="zh-CN"/>
              </w:rPr>
            </w:pPr>
            <w:r>
              <w:rPr>
                <w:rFonts w:hint="default"/>
              </w:rPr>
              <w:t>土壤</w:t>
            </w:r>
            <w:r>
              <w:rPr>
                <w:rFonts w:hint="eastAsia"/>
                <w:lang w:val="en-US" w:eastAsia="zh-CN"/>
              </w:rPr>
              <w:t>环境</w:t>
            </w:r>
          </w:p>
        </w:tc>
        <w:tc>
          <w:tcPr>
            <w:tcW w:w="3686" w:type="dxa"/>
            <w:vAlign w:val="center"/>
          </w:tcPr>
          <w:p w14:paraId="19DD2A3F">
            <w:pPr>
              <w:pStyle w:val="44"/>
              <w:bidi w:val="0"/>
              <w:rPr>
                <w:rFonts w:hint="default"/>
                <w:lang w:val="en-US" w:eastAsia="zh-CN"/>
              </w:rPr>
            </w:pPr>
            <w:r>
              <w:rPr>
                <w:rFonts w:hint="eastAsia"/>
                <w:lang w:val="en-US" w:eastAsia="zh-CN"/>
              </w:rPr>
              <w:t>/</w:t>
            </w:r>
          </w:p>
        </w:tc>
        <w:tc>
          <w:tcPr>
            <w:tcW w:w="1320" w:type="dxa"/>
            <w:vAlign w:val="center"/>
          </w:tcPr>
          <w:p w14:paraId="162ABFA7">
            <w:pPr>
              <w:pStyle w:val="43"/>
              <w:bidi w:val="0"/>
              <w:rPr>
                <w:rFonts w:hint="default"/>
                <w:lang w:val="en-US" w:eastAsia="zh-CN"/>
              </w:rPr>
            </w:pPr>
            <w:r>
              <w:rPr>
                <w:rFonts w:hint="eastAsia"/>
                <w:lang w:val="en-US" w:eastAsia="zh-CN"/>
              </w:rPr>
              <w:t>/</w:t>
            </w:r>
          </w:p>
        </w:tc>
        <w:tc>
          <w:tcPr>
            <w:tcW w:w="6036" w:type="dxa"/>
            <w:vAlign w:val="center"/>
          </w:tcPr>
          <w:p w14:paraId="582AA8E3">
            <w:pPr>
              <w:pStyle w:val="44"/>
              <w:bidi w:val="0"/>
              <w:rPr>
                <w:rFonts w:hint="default"/>
                <w:lang w:val="en-US" w:eastAsia="zh-CN"/>
              </w:rPr>
            </w:pPr>
            <w:r>
              <w:rPr>
                <w:rFonts w:hint="default"/>
                <w:lang w:val="en-US" w:eastAsia="zh-CN"/>
              </w:rPr>
              <w:t>①源头控制措施：设置规范的危险废物暂存间，并进行防渗处理。生活污水处理各设备按照一般防渗渗透系数要求进行建设。</w:t>
            </w:r>
          </w:p>
          <w:p w14:paraId="5AB2C5D4">
            <w:pPr>
              <w:pStyle w:val="44"/>
              <w:bidi w:val="0"/>
              <w:rPr>
                <w:rFonts w:hint="default"/>
                <w:lang w:val="en-US" w:eastAsia="zh-CN"/>
              </w:rPr>
            </w:pPr>
            <w:r>
              <w:rPr>
                <w:rFonts w:hint="default"/>
                <w:lang w:val="en-US" w:eastAsia="zh-CN"/>
              </w:rPr>
              <w:t>②过程防控措施：各场地设置雨水排水沟、排水沟末端接入沉淀池、雨水池等，废水沉淀处理后全部回用不外排。</w:t>
            </w:r>
          </w:p>
          <w:p w14:paraId="7E6D5E71">
            <w:pPr>
              <w:pStyle w:val="44"/>
              <w:bidi w:val="0"/>
              <w:rPr>
                <w:rFonts w:hint="default"/>
                <w:lang w:val="en-US" w:eastAsia="zh-CN"/>
              </w:rPr>
            </w:pPr>
            <w:r>
              <w:rPr>
                <w:rFonts w:hint="default"/>
                <w:lang w:val="en-US" w:eastAsia="zh-CN"/>
              </w:rPr>
              <w:t>③污染监控体系：设置专门的管理人员定期对环保设施进行检查，杜绝事故的发生。发现跑冒滴漏及时发现污染、及时控制。</w:t>
            </w:r>
          </w:p>
          <w:p w14:paraId="6D4E1F8E">
            <w:pPr>
              <w:pStyle w:val="44"/>
              <w:bidi w:val="0"/>
              <w:rPr>
                <w:rFonts w:hint="default"/>
                <w:lang w:val="en-US" w:eastAsia="zh-CN"/>
              </w:rPr>
            </w:pPr>
            <w:r>
              <w:rPr>
                <w:rFonts w:hint="default"/>
                <w:lang w:val="en-US" w:eastAsia="zh-CN"/>
              </w:rPr>
              <w:t>④应急响应措施：一旦发现污染事故，立即启动应急预案、采取应急措施控制土壤，并使污染</w:t>
            </w:r>
            <w:r>
              <w:rPr>
                <w:rFonts w:hint="eastAsia"/>
                <w:lang w:val="en-US" w:eastAsia="zh-CN"/>
              </w:rPr>
              <w:t>得</w:t>
            </w:r>
            <w:r>
              <w:rPr>
                <w:rFonts w:hint="default"/>
                <w:lang w:val="en-US" w:eastAsia="zh-CN"/>
              </w:rPr>
              <w:t>到治理。</w:t>
            </w:r>
          </w:p>
        </w:tc>
        <w:tc>
          <w:tcPr>
            <w:tcW w:w="1782" w:type="dxa"/>
            <w:vAlign w:val="center"/>
          </w:tcPr>
          <w:p w14:paraId="48F88293">
            <w:pPr>
              <w:pStyle w:val="43"/>
              <w:bidi w:val="0"/>
              <w:rPr>
                <w:rFonts w:hint="default"/>
                <w:lang w:val="en-US" w:eastAsia="zh-CN"/>
              </w:rPr>
            </w:pPr>
            <w:r>
              <w:rPr>
                <w:rFonts w:hint="eastAsia"/>
                <w:lang w:val="en-US" w:eastAsia="zh-CN"/>
              </w:rPr>
              <w:t>提供废水各构筑物、危废间的防渗施工监理材料，明确是否达到防渗要求。各</w:t>
            </w:r>
            <w:r>
              <w:rPr>
                <w:rFonts w:hint="default"/>
                <w:lang w:val="en-US" w:eastAsia="zh-CN"/>
              </w:rPr>
              <w:t>场地雨水排水沟</w:t>
            </w:r>
            <w:r>
              <w:rPr>
                <w:rFonts w:hint="eastAsia"/>
                <w:lang w:val="en-US" w:eastAsia="zh-CN"/>
              </w:rPr>
              <w:t>、</w:t>
            </w:r>
            <w:r>
              <w:rPr>
                <w:rFonts w:hint="default"/>
                <w:lang w:val="en-US" w:eastAsia="zh-CN"/>
              </w:rPr>
              <w:t>沉淀池</w:t>
            </w:r>
            <w:r>
              <w:rPr>
                <w:rFonts w:hint="eastAsia"/>
                <w:lang w:val="en-US" w:eastAsia="zh-CN"/>
              </w:rPr>
              <w:t>建设满足环评提出的收集要求。</w:t>
            </w:r>
          </w:p>
        </w:tc>
      </w:tr>
      <w:tr w14:paraId="0A6F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3E415D3E">
            <w:pPr>
              <w:pStyle w:val="43"/>
              <w:bidi w:val="0"/>
              <w:rPr>
                <w:rFonts w:hint="default"/>
              </w:rPr>
            </w:pPr>
            <w:r>
              <w:rPr>
                <w:rFonts w:hint="default"/>
              </w:rPr>
              <w:t>声环境</w:t>
            </w:r>
          </w:p>
        </w:tc>
        <w:tc>
          <w:tcPr>
            <w:tcW w:w="3686" w:type="dxa"/>
            <w:vAlign w:val="center"/>
          </w:tcPr>
          <w:p w14:paraId="50A68855">
            <w:pPr>
              <w:pStyle w:val="44"/>
              <w:bidi w:val="0"/>
              <w:rPr>
                <w:rFonts w:hint="default"/>
              </w:rPr>
            </w:pPr>
            <w:r>
              <w:rPr>
                <w:rFonts w:hint="default"/>
              </w:rPr>
              <w:t>（1）优先采用低噪声机械进行作业，设置机械</w:t>
            </w:r>
            <w:r>
              <w:rPr>
                <w:rFonts w:hint="eastAsia"/>
                <w:lang w:eastAsia="zh-CN"/>
              </w:rPr>
              <w:t>减振</w:t>
            </w:r>
            <w:r>
              <w:rPr>
                <w:rFonts w:hint="default"/>
              </w:rPr>
              <w:t>，并做到定期保养和维护，维持其最低噪声水平。</w:t>
            </w:r>
          </w:p>
          <w:p w14:paraId="0600868C">
            <w:pPr>
              <w:pStyle w:val="44"/>
              <w:bidi w:val="0"/>
              <w:rPr>
                <w:rFonts w:hint="default"/>
              </w:rPr>
            </w:pPr>
            <w:r>
              <w:rPr>
                <w:rFonts w:hint="default"/>
              </w:rPr>
              <w:t>（2）合理安排施工时间，禁止夜间施工，如确需夜间施工的，报请相关管理部门和环境保护部门批准，在夜间施工前将施工时间、天数告知附近村民。</w:t>
            </w:r>
          </w:p>
          <w:p w14:paraId="6F68AB46">
            <w:pPr>
              <w:pStyle w:val="44"/>
              <w:bidi w:val="0"/>
              <w:rPr>
                <w:rFonts w:hint="default"/>
              </w:rPr>
            </w:pPr>
            <w:r>
              <w:rPr>
                <w:rFonts w:hint="default"/>
              </w:rPr>
              <w:t>（3）运输车辆禁鸣区禁止机动车鸣喇叭，严禁长时间鸣喇叭。</w:t>
            </w:r>
          </w:p>
          <w:p w14:paraId="2B67F264">
            <w:pPr>
              <w:pStyle w:val="44"/>
              <w:bidi w:val="0"/>
              <w:rPr>
                <w:rFonts w:hint="default"/>
              </w:rPr>
            </w:pPr>
            <w:r>
              <w:rPr>
                <w:rFonts w:hint="default"/>
              </w:rPr>
              <w:t>（4）加强对施工人员的环境宣传和教育，认真落实各项降噪措施，做到文明施工，减少人为噪声污染。</w:t>
            </w:r>
          </w:p>
        </w:tc>
        <w:tc>
          <w:tcPr>
            <w:tcW w:w="1320" w:type="dxa"/>
            <w:vAlign w:val="center"/>
          </w:tcPr>
          <w:p w14:paraId="4F234960">
            <w:pPr>
              <w:pStyle w:val="43"/>
              <w:bidi w:val="0"/>
              <w:rPr>
                <w:rFonts w:hint="default"/>
                <w:lang w:eastAsia="zh-CN"/>
              </w:rPr>
            </w:pPr>
            <w:r>
              <w:rPr>
                <w:rFonts w:hint="eastAsia"/>
                <w:lang w:val="en-US" w:eastAsia="zh-CN"/>
              </w:rPr>
              <w:t>施工期间噪声</w:t>
            </w:r>
            <w:r>
              <w:rPr>
                <w:rFonts w:hint="default"/>
              </w:rPr>
              <w:t>达</w:t>
            </w:r>
            <w:r>
              <w:rPr>
                <w:rFonts w:hint="eastAsia"/>
                <w:lang w:eastAsia="zh-CN"/>
              </w:rPr>
              <w:t>《</w:t>
            </w:r>
            <w:r>
              <w:rPr>
                <w:rFonts w:hint="default"/>
              </w:rPr>
              <w:t>建筑施工场界环境噪声排放标准》</w:t>
            </w:r>
            <w:r>
              <w:rPr>
                <w:rFonts w:hint="default"/>
                <w:lang w:eastAsia="zh-CN"/>
              </w:rPr>
              <w:t>（GB12523-</w:t>
            </w:r>
          </w:p>
          <w:p w14:paraId="5D447988">
            <w:pPr>
              <w:pStyle w:val="43"/>
              <w:bidi w:val="0"/>
              <w:rPr>
                <w:rFonts w:hint="default"/>
                <w:lang w:eastAsia="zh-CN"/>
              </w:rPr>
            </w:pPr>
            <w:r>
              <w:rPr>
                <w:rFonts w:hint="default"/>
                <w:lang w:eastAsia="zh-CN"/>
              </w:rPr>
              <w:t>2011</w:t>
            </w:r>
            <w:r>
              <w:rPr>
                <w:rFonts w:hint="eastAsia"/>
                <w:lang w:eastAsia="zh-CN"/>
              </w:rPr>
              <w:t>).</w:t>
            </w:r>
          </w:p>
        </w:tc>
        <w:tc>
          <w:tcPr>
            <w:tcW w:w="6036" w:type="dxa"/>
            <w:vAlign w:val="center"/>
          </w:tcPr>
          <w:p w14:paraId="0CB29C90">
            <w:pPr>
              <w:pStyle w:val="44"/>
              <w:bidi w:val="0"/>
              <w:rPr>
                <w:rFonts w:hint="default"/>
              </w:rPr>
            </w:pPr>
            <w:r>
              <w:rPr>
                <w:rFonts w:hint="default"/>
              </w:rPr>
              <w:t>（1）尽可能选用功能好、噪声低的设备；</w:t>
            </w:r>
          </w:p>
          <w:p w14:paraId="62A65CC8">
            <w:pPr>
              <w:pStyle w:val="44"/>
              <w:bidi w:val="0"/>
              <w:rPr>
                <w:rFonts w:hint="default"/>
              </w:rPr>
            </w:pPr>
            <w:r>
              <w:rPr>
                <w:rFonts w:hint="default"/>
              </w:rPr>
              <w:t>（2）加强生产设备的日常维护，并对老化和性能降低的旧设备进行及时更换，以此降低摩擦，</w:t>
            </w:r>
            <w:r>
              <w:rPr>
                <w:rFonts w:hint="eastAsia"/>
                <w:lang w:eastAsia="zh-CN"/>
              </w:rPr>
              <w:t>减小</w:t>
            </w:r>
            <w:r>
              <w:rPr>
                <w:rFonts w:hint="default"/>
              </w:rPr>
              <w:t>噪声强度；</w:t>
            </w:r>
          </w:p>
          <w:p w14:paraId="451EAE99">
            <w:pPr>
              <w:pStyle w:val="44"/>
              <w:bidi w:val="0"/>
              <w:rPr>
                <w:rFonts w:hint="default"/>
              </w:rPr>
            </w:pPr>
            <w:r>
              <w:rPr>
                <w:rFonts w:hint="default"/>
              </w:rPr>
              <w:t>（3）主要产噪设备安装减震垫降噪；</w:t>
            </w:r>
          </w:p>
          <w:p w14:paraId="5274542B">
            <w:pPr>
              <w:pStyle w:val="44"/>
              <w:bidi w:val="0"/>
              <w:rPr>
                <w:rFonts w:hint="default"/>
              </w:rPr>
            </w:pPr>
            <w:r>
              <w:rPr>
                <w:rFonts w:hint="default"/>
              </w:rPr>
              <w:t>（4）加强运输车辆管理，合理安排运输时间，进出矿区车辆应安排在白天，严禁车辆超速超载，经过村庄时禁止鸣笛；</w:t>
            </w:r>
          </w:p>
          <w:p w14:paraId="01F31643">
            <w:pPr>
              <w:pStyle w:val="44"/>
              <w:bidi w:val="0"/>
              <w:rPr>
                <w:rFonts w:hint="default"/>
              </w:rPr>
            </w:pPr>
            <w:r>
              <w:rPr>
                <w:rFonts w:hint="default"/>
              </w:rPr>
              <w:t>（5）爆破前，企业需提前通知周围村民，减少爆破声对村民的生活影响；</w:t>
            </w:r>
          </w:p>
          <w:p w14:paraId="688F1F50">
            <w:pPr>
              <w:pStyle w:val="44"/>
              <w:bidi w:val="0"/>
              <w:rPr>
                <w:rFonts w:hint="default"/>
              </w:rPr>
            </w:pPr>
            <w:r>
              <w:rPr>
                <w:rFonts w:hint="default"/>
              </w:rPr>
              <w:t>（6）合理安排各设备运行时间，合理布局，降低项目设备噪声对周围环境的影响。</w:t>
            </w:r>
          </w:p>
        </w:tc>
        <w:tc>
          <w:tcPr>
            <w:tcW w:w="1782" w:type="dxa"/>
            <w:vAlign w:val="center"/>
          </w:tcPr>
          <w:p w14:paraId="6C5AC41D">
            <w:pPr>
              <w:pStyle w:val="43"/>
              <w:bidi w:val="0"/>
              <w:rPr>
                <w:rFonts w:hint="default"/>
                <w:lang w:eastAsia="zh-CN"/>
              </w:rPr>
            </w:pPr>
            <w:r>
              <w:rPr>
                <w:rFonts w:hint="eastAsia"/>
                <w:lang w:val="en-US" w:eastAsia="zh-CN"/>
              </w:rPr>
              <w:t>达到</w:t>
            </w:r>
            <w:r>
              <w:rPr>
                <w:rFonts w:hint="eastAsia"/>
                <w:lang w:eastAsia="zh-CN"/>
              </w:rPr>
              <w:t>《</w:t>
            </w:r>
            <w:r>
              <w:rPr>
                <w:rFonts w:hint="default"/>
              </w:rPr>
              <w:t>工业企业厂界环境噪声排放标准》（GB12348-2008）2类标准</w:t>
            </w:r>
            <w:r>
              <w:rPr>
                <w:rFonts w:hint="default"/>
                <w:lang w:eastAsia="zh-CN"/>
              </w:rPr>
              <w:t>。</w:t>
            </w:r>
          </w:p>
        </w:tc>
      </w:tr>
      <w:tr w14:paraId="4864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461457EA">
            <w:pPr>
              <w:pStyle w:val="43"/>
              <w:bidi w:val="0"/>
              <w:rPr>
                <w:rFonts w:hint="default"/>
              </w:rPr>
            </w:pPr>
            <w:r>
              <w:rPr>
                <w:rFonts w:hint="default"/>
              </w:rPr>
              <w:t>振动</w:t>
            </w:r>
          </w:p>
        </w:tc>
        <w:tc>
          <w:tcPr>
            <w:tcW w:w="3686" w:type="dxa"/>
            <w:vAlign w:val="center"/>
          </w:tcPr>
          <w:p w14:paraId="0685EBFE">
            <w:pPr>
              <w:pStyle w:val="44"/>
              <w:bidi w:val="0"/>
              <w:rPr>
                <w:rFonts w:hint="default"/>
                <w:lang w:val="en-US" w:eastAsia="zh-CN"/>
              </w:rPr>
            </w:pPr>
            <w:r>
              <w:rPr>
                <w:rFonts w:hint="default"/>
                <w:lang w:val="en-US" w:eastAsia="zh-CN"/>
              </w:rPr>
              <w:t>/</w:t>
            </w:r>
          </w:p>
        </w:tc>
        <w:tc>
          <w:tcPr>
            <w:tcW w:w="1320" w:type="dxa"/>
            <w:vAlign w:val="center"/>
          </w:tcPr>
          <w:p w14:paraId="47A0C4F7">
            <w:pPr>
              <w:pStyle w:val="43"/>
              <w:bidi w:val="0"/>
              <w:rPr>
                <w:rFonts w:hint="default"/>
                <w:lang w:val="en-US" w:eastAsia="zh-CN"/>
              </w:rPr>
            </w:pPr>
            <w:r>
              <w:rPr>
                <w:rFonts w:hint="default"/>
                <w:lang w:val="en-US" w:eastAsia="zh-CN"/>
              </w:rPr>
              <w:t>/</w:t>
            </w:r>
          </w:p>
        </w:tc>
        <w:tc>
          <w:tcPr>
            <w:tcW w:w="6036" w:type="dxa"/>
            <w:vAlign w:val="center"/>
          </w:tcPr>
          <w:p w14:paraId="1321454B">
            <w:pPr>
              <w:pStyle w:val="44"/>
              <w:bidi w:val="0"/>
              <w:rPr>
                <w:rFonts w:hint="default"/>
                <w:lang w:val="en-US" w:eastAsia="zh-CN"/>
              </w:rPr>
            </w:pPr>
            <w:r>
              <w:rPr>
                <w:rFonts w:hint="default"/>
                <w:lang w:val="en-US" w:eastAsia="zh-CN"/>
              </w:rPr>
              <w:t>/</w:t>
            </w:r>
          </w:p>
        </w:tc>
        <w:tc>
          <w:tcPr>
            <w:tcW w:w="1782" w:type="dxa"/>
            <w:vAlign w:val="center"/>
          </w:tcPr>
          <w:p w14:paraId="38FAA411">
            <w:pPr>
              <w:pStyle w:val="43"/>
              <w:bidi w:val="0"/>
              <w:rPr>
                <w:rFonts w:hint="default"/>
                <w:lang w:val="en-US" w:eastAsia="zh-CN"/>
              </w:rPr>
            </w:pPr>
            <w:r>
              <w:rPr>
                <w:rFonts w:hint="default"/>
                <w:lang w:val="en-US" w:eastAsia="zh-CN"/>
              </w:rPr>
              <w:t>/</w:t>
            </w:r>
          </w:p>
        </w:tc>
      </w:tr>
      <w:tr w14:paraId="7DA8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10F9248B">
            <w:pPr>
              <w:pStyle w:val="43"/>
              <w:bidi w:val="0"/>
              <w:rPr>
                <w:rFonts w:hint="default"/>
              </w:rPr>
            </w:pPr>
            <w:r>
              <w:rPr>
                <w:rFonts w:hint="default"/>
              </w:rPr>
              <w:t>固体废物</w:t>
            </w:r>
          </w:p>
        </w:tc>
        <w:tc>
          <w:tcPr>
            <w:tcW w:w="3686" w:type="dxa"/>
            <w:vAlign w:val="center"/>
          </w:tcPr>
          <w:p w14:paraId="10C0977B">
            <w:pPr>
              <w:pStyle w:val="44"/>
              <w:bidi w:val="0"/>
              <w:rPr>
                <w:rFonts w:hint="default"/>
              </w:rPr>
            </w:pPr>
            <w:r>
              <w:rPr>
                <w:rFonts w:hint="default"/>
              </w:rPr>
              <w:t>（1）项目施工人员生活垃圾集中收集于垃圾桶内，运至附近集镇垃圾收集点由环卫部门清运处置；</w:t>
            </w:r>
          </w:p>
          <w:p w14:paraId="0AD2F154">
            <w:pPr>
              <w:pStyle w:val="44"/>
              <w:bidi w:val="0"/>
              <w:rPr>
                <w:rFonts w:hint="default"/>
              </w:rPr>
            </w:pPr>
            <w:r>
              <w:rPr>
                <w:rFonts w:hint="default"/>
              </w:rPr>
              <w:t>（2）施工期进场道路开挖、场地平整及内部运输道路开拓过程会产生土石方，剥离表土全部集中运至表土堆场区进行堆放，闭矿期用于矿区复垦，其他土石方用于场地回填，无弃渣产生。</w:t>
            </w:r>
          </w:p>
          <w:p w14:paraId="7A83DD0B">
            <w:pPr>
              <w:pStyle w:val="44"/>
              <w:bidi w:val="0"/>
              <w:rPr>
                <w:rFonts w:hint="default"/>
              </w:rPr>
            </w:pPr>
            <w:r>
              <w:rPr>
                <w:rFonts w:hint="default"/>
              </w:rPr>
              <w:t>（3）施工产生的建筑垃圾分类集中收集，可利用的回收利用，不可利用的建筑垃圾回用于场内新建内部运输道路敷设。</w:t>
            </w:r>
          </w:p>
        </w:tc>
        <w:tc>
          <w:tcPr>
            <w:tcW w:w="1320" w:type="dxa"/>
            <w:vAlign w:val="center"/>
          </w:tcPr>
          <w:p w14:paraId="281CED46">
            <w:pPr>
              <w:pStyle w:val="43"/>
              <w:bidi w:val="0"/>
              <w:rPr>
                <w:rFonts w:hint="default"/>
              </w:rPr>
            </w:pPr>
            <w:r>
              <w:rPr>
                <w:rFonts w:hint="default"/>
              </w:rPr>
              <w:t>100%处置</w:t>
            </w:r>
            <w:r>
              <w:rPr>
                <w:rFonts w:hint="default"/>
                <w:lang w:eastAsia="zh-CN"/>
              </w:rPr>
              <w:t>。</w:t>
            </w:r>
          </w:p>
        </w:tc>
        <w:tc>
          <w:tcPr>
            <w:tcW w:w="6036" w:type="dxa"/>
            <w:vAlign w:val="center"/>
          </w:tcPr>
          <w:p w14:paraId="1B0B89B1">
            <w:pPr>
              <w:pStyle w:val="44"/>
              <w:bidi w:val="0"/>
              <w:rPr>
                <w:rFonts w:hint="default"/>
              </w:rPr>
            </w:pPr>
            <w:r>
              <w:rPr>
                <w:rFonts w:hint="default"/>
                <w:lang w:eastAsia="zh-CN"/>
              </w:rPr>
              <w:t>（</w:t>
            </w:r>
            <w:r>
              <w:rPr>
                <w:rFonts w:hint="default"/>
                <w:lang w:val="en-US" w:eastAsia="zh-CN"/>
              </w:rPr>
              <w:t>1）废土石</w:t>
            </w:r>
            <w:r>
              <w:rPr>
                <w:rFonts w:hint="default"/>
              </w:rPr>
              <w:t>：</w:t>
            </w:r>
            <w:r>
              <w:rPr>
                <w:rFonts w:hint="eastAsia"/>
                <w:lang w:val="en-US" w:eastAsia="zh-CN"/>
              </w:rPr>
              <w:t>表土收存于表土堆场，闭矿复垦用作</w:t>
            </w:r>
            <w:r>
              <w:rPr>
                <w:rFonts w:hint="default"/>
                <w:lang w:val="en-US" w:eastAsia="zh-CN"/>
              </w:rPr>
              <w:t>绿化覆土</w:t>
            </w:r>
            <w:r>
              <w:rPr>
                <w:rFonts w:hint="default"/>
              </w:rPr>
              <w:t>。</w:t>
            </w:r>
          </w:p>
          <w:p w14:paraId="495005AB">
            <w:pPr>
              <w:pStyle w:val="44"/>
              <w:bidi w:val="0"/>
              <w:rPr>
                <w:rFonts w:hint="default"/>
                <w:lang w:val="en-US" w:eastAsia="zh-CN"/>
              </w:rPr>
            </w:pPr>
            <w:r>
              <w:rPr>
                <w:rFonts w:hint="eastAsia"/>
                <w:lang w:eastAsia="zh-CN"/>
              </w:rPr>
              <w:t>（</w:t>
            </w:r>
            <w:r>
              <w:rPr>
                <w:rFonts w:hint="eastAsia"/>
                <w:lang w:val="en-US" w:eastAsia="zh-CN"/>
              </w:rPr>
              <w:t>2）除尘系统收集粉尘：收集后回掺项目精品砂后外售。</w:t>
            </w:r>
          </w:p>
          <w:p w14:paraId="7667EAE2">
            <w:pPr>
              <w:pStyle w:val="44"/>
              <w:bidi w:val="0"/>
              <w:rPr>
                <w:rFonts w:hint="default"/>
              </w:rPr>
            </w:pPr>
            <w:r>
              <w:rPr>
                <w:rFonts w:hint="default"/>
                <w:lang w:eastAsia="zh-CN"/>
              </w:rPr>
              <w:t>（</w:t>
            </w:r>
            <w:r>
              <w:rPr>
                <w:rFonts w:hint="eastAsia"/>
                <w:lang w:val="en-US" w:eastAsia="zh-CN"/>
              </w:rPr>
              <w:t>3</w:t>
            </w:r>
            <w:r>
              <w:rPr>
                <w:rFonts w:hint="default"/>
                <w:lang w:val="en-US" w:eastAsia="zh-CN"/>
              </w:rPr>
              <w:t>）</w:t>
            </w:r>
            <w:r>
              <w:rPr>
                <w:rFonts w:hint="default"/>
              </w:rPr>
              <w:t>生活垃圾：项目区设若干大型生活垃圾收集桶，</w:t>
            </w:r>
            <w:r>
              <w:rPr>
                <w:rFonts w:hint="default"/>
                <w:lang w:val="en-US" w:eastAsia="zh-CN"/>
              </w:rPr>
              <w:t>经垃圾桶收集后统一</w:t>
            </w:r>
            <w:r>
              <w:rPr>
                <w:rFonts w:hint="default"/>
              </w:rPr>
              <w:t>清运至</w:t>
            </w:r>
            <w:r>
              <w:rPr>
                <w:rFonts w:hint="eastAsia"/>
                <w:lang w:eastAsia="zh-CN"/>
              </w:rPr>
              <w:t>附近村镇垃圾集中收集点统一处置</w:t>
            </w:r>
            <w:r>
              <w:rPr>
                <w:rFonts w:hint="default"/>
              </w:rPr>
              <w:t>。</w:t>
            </w:r>
          </w:p>
          <w:p w14:paraId="600D441F">
            <w:pPr>
              <w:pStyle w:val="44"/>
              <w:bidi w:val="0"/>
              <w:rPr>
                <w:rFonts w:hint="default"/>
              </w:rPr>
            </w:pPr>
            <w:r>
              <w:rPr>
                <w:rFonts w:hint="default"/>
                <w:lang w:val="en-US" w:eastAsia="zh-CN"/>
              </w:rPr>
              <w:t>（</w:t>
            </w:r>
            <w:r>
              <w:rPr>
                <w:rFonts w:hint="eastAsia"/>
                <w:lang w:val="en-US" w:eastAsia="zh-CN"/>
              </w:rPr>
              <w:t>4</w:t>
            </w:r>
            <w:r>
              <w:rPr>
                <w:rFonts w:hint="default"/>
                <w:lang w:val="en-US" w:eastAsia="zh-CN"/>
              </w:rPr>
              <w:t>）</w:t>
            </w:r>
            <w:r>
              <w:rPr>
                <w:rFonts w:hint="eastAsia"/>
                <w:lang w:val="en-US" w:eastAsia="zh-CN"/>
              </w:rPr>
              <w:t>机修废物</w:t>
            </w:r>
            <w:r>
              <w:rPr>
                <w:rFonts w:hint="default"/>
              </w:rPr>
              <w:t>：使用油桶收集后暂存于</w:t>
            </w:r>
            <w:r>
              <w:rPr>
                <w:rFonts w:hint="default"/>
                <w:lang w:eastAsia="zh-CN"/>
              </w:rPr>
              <w:t>危废间</w:t>
            </w:r>
            <w:r>
              <w:rPr>
                <w:rFonts w:hint="default"/>
              </w:rPr>
              <w:t>，定期委托有资质的单位清运处置。</w:t>
            </w:r>
          </w:p>
        </w:tc>
        <w:tc>
          <w:tcPr>
            <w:tcW w:w="1782" w:type="dxa"/>
            <w:vAlign w:val="center"/>
          </w:tcPr>
          <w:p w14:paraId="5F8208FE">
            <w:pPr>
              <w:pStyle w:val="43"/>
              <w:bidi w:val="0"/>
              <w:rPr>
                <w:rFonts w:hint="default"/>
              </w:rPr>
            </w:pPr>
            <w:r>
              <w:rPr>
                <w:rFonts w:hint="default"/>
              </w:rPr>
              <w:t>100%处置</w:t>
            </w:r>
            <w:r>
              <w:rPr>
                <w:rFonts w:hint="default"/>
                <w:lang w:eastAsia="zh-CN"/>
              </w:rPr>
              <w:t>。</w:t>
            </w:r>
          </w:p>
        </w:tc>
      </w:tr>
      <w:tr w14:paraId="043E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4A70E27B">
            <w:pPr>
              <w:pStyle w:val="43"/>
              <w:bidi w:val="0"/>
              <w:rPr>
                <w:rFonts w:hint="default"/>
              </w:rPr>
            </w:pPr>
            <w:r>
              <w:rPr>
                <w:rFonts w:hint="default"/>
              </w:rPr>
              <w:t>电磁环境</w:t>
            </w:r>
          </w:p>
        </w:tc>
        <w:tc>
          <w:tcPr>
            <w:tcW w:w="3686" w:type="dxa"/>
            <w:vAlign w:val="center"/>
          </w:tcPr>
          <w:p w14:paraId="04B90281">
            <w:pPr>
              <w:pStyle w:val="44"/>
              <w:bidi w:val="0"/>
              <w:rPr>
                <w:rFonts w:hint="default"/>
                <w:lang w:val="en-US" w:eastAsia="zh-CN"/>
              </w:rPr>
            </w:pPr>
            <w:r>
              <w:rPr>
                <w:rFonts w:hint="default"/>
                <w:lang w:val="en-US" w:eastAsia="zh-CN"/>
              </w:rPr>
              <w:t>/</w:t>
            </w:r>
          </w:p>
        </w:tc>
        <w:tc>
          <w:tcPr>
            <w:tcW w:w="1320" w:type="dxa"/>
            <w:vAlign w:val="center"/>
          </w:tcPr>
          <w:p w14:paraId="75C966DE">
            <w:pPr>
              <w:pStyle w:val="43"/>
              <w:bidi w:val="0"/>
              <w:rPr>
                <w:rFonts w:hint="default"/>
                <w:lang w:val="en-US" w:eastAsia="zh-CN"/>
              </w:rPr>
            </w:pPr>
            <w:r>
              <w:rPr>
                <w:rFonts w:hint="default"/>
                <w:lang w:val="en-US" w:eastAsia="zh-CN"/>
              </w:rPr>
              <w:t>/</w:t>
            </w:r>
          </w:p>
        </w:tc>
        <w:tc>
          <w:tcPr>
            <w:tcW w:w="6036" w:type="dxa"/>
            <w:vAlign w:val="center"/>
          </w:tcPr>
          <w:p w14:paraId="7C13B1DC">
            <w:pPr>
              <w:pStyle w:val="44"/>
              <w:bidi w:val="0"/>
              <w:rPr>
                <w:rFonts w:hint="default"/>
                <w:lang w:val="en-US" w:eastAsia="zh-CN"/>
              </w:rPr>
            </w:pPr>
            <w:r>
              <w:rPr>
                <w:rFonts w:hint="default"/>
                <w:lang w:val="en-US" w:eastAsia="zh-CN"/>
              </w:rPr>
              <w:t>/</w:t>
            </w:r>
          </w:p>
        </w:tc>
        <w:tc>
          <w:tcPr>
            <w:tcW w:w="1782" w:type="dxa"/>
            <w:vAlign w:val="center"/>
          </w:tcPr>
          <w:p w14:paraId="660952C0">
            <w:pPr>
              <w:pStyle w:val="43"/>
              <w:bidi w:val="0"/>
              <w:rPr>
                <w:rFonts w:hint="default"/>
                <w:lang w:val="en-US" w:eastAsia="zh-CN"/>
              </w:rPr>
            </w:pPr>
            <w:r>
              <w:rPr>
                <w:rFonts w:hint="default"/>
                <w:lang w:val="en-US" w:eastAsia="zh-CN"/>
              </w:rPr>
              <w:t>/</w:t>
            </w:r>
          </w:p>
        </w:tc>
      </w:tr>
      <w:tr w14:paraId="56E2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64EAF878">
            <w:pPr>
              <w:pStyle w:val="43"/>
              <w:bidi w:val="0"/>
              <w:rPr>
                <w:rFonts w:hint="default"/>
              </w:rPr>
            </w:pPr>
            <w:r>
              <w:rPr>
                <w:rFonts w:hint="default"/>
              </w:rPr>
              <w:t>环境风险</w:t>
            </w:r>
          </w:p>
        </w:tc>
        <w:tc>
          <w:tcPr>
            <w:tcW w:w="3686" w:type="dxa"/>
            <w:vAlign w:val="center"/>
          </w:tcPr>
          <w:p w14:paraId="2FACBB53">
            <w:pPr>
              <w:pStyle w:val="44"/>
              <w:bidi w:val="0"/>
              <w:rPr>
                <w:rFonts w:hint="default"/>
                <w:lang w:val="en-US" w:eastAsia="zh-CN"/>
              </w:rPr>
            </w:pPr>
            <w:r>
              <w:rPr>
                <w:rFonts w:hint="default"/>
                <w:lang w:val="en-US" w:eastAsia="zh-CN"/>
              </w:rPr>
              <w:t>/</w:t>
            </w:r>
          </w:p>
        </w:tc>
        <w:tc>
          <w:tcPr>
            <w:tcW w:w="1320" w:type="dxa"/>
            <w:vAlign w:val="center"/>
          </w:tcPr>
          <w:p w14:paraId="13A4AAE6">
            <w:pPr>
              <w:pStyle w:val="43"/>
              <w:bidi w:val="0"/>
              <w:rPr>
                <w:rFonts w:hint="default"/>
                <w:lang w:val="en-US" w:eastAsia="zh-CN"/>
              </w:rPr>
            </w:pPr>
            <w:r>
              <w:rPr>
                <w:rFonts w:hint="default"/>
                <w:lang w:val="en-US" w:eastAsia="zh-CN"/>
              </w:rPr>
              <w:t>/</w:t>
            </w:r>
          </w:p>
        </w:tc>
        <w:tc>
          <w:tcPr>
            <w:tcW w:w="6036" w:type="dxa"/>
            <w:vAlign w:val="center"/>
          </w:tcPr>
          <w:p w14:paraId="2DFA584B">
            <w:pPr>
              <w:pStyle w:val="44"/>
              <w:bidi w:val="0"/>
              <w:rPr>
                <w:rFonts w:hint="default"/>
                <w:lang w:val="en-US" w:eastAsia="zh-CN"/>
              </w:rPr>
            </w:pPr>
            <w:r>
              <w:rPr>
                <w:rFonts w:hint="default"/>
                <w:lang w:val="en-US" w:eastAsia="zh-CN"/>
              </w:rPr>
              <w:t>（1）废机油渗漏风险防范措施：</w:t>
            </w:r>
          </w:p>
          <w:p w14:paraId="4F224BB2">
            <w:pPr>
              <w:pStyle w:val="44"/>
              <w:bidi w:val="0"/>
              <w:rPr>
                <w:rFonts w:hint="default"/>
                <w:lang w:val="en-US" w:eastAsia="zh-CN"/>
              </w:rPr>
            </w:pPr>
            <w:r>
              <w:rPr>
                <w:rFonts w:hint="default"/>
                <w:lang w:val="en-US" w:eastAsia="zh-CN"/>
              </w:rPr>
              <w:t>①配备消防灭火器材等，加强明火管理，制定救援方案，组织演习，使每个职工都会使用消防器材，有效地扑救初期火灾。</w:t>
            </w:r>
          </w:p>
          <w:p w14:paraId="5350540C">
            <w:pPr>
              <w:pStyle w:val="44"/>
              <w:bidi w:val="0"/>
              <w:rPr>
                <w:rFonts w:hint="default"/>
                <w:lang w:val="en-US" w:eastAsia="zh-CN"/>
              </w:rPr>
            </w:pPr>
            <w:r>
              <w:rPr>
                <w:rFonts w:hint="default"/>
                <w:lang w:val="en-US" w:eastAsia="zh-CN"/>
              </w:rPr>
              <w:t>②危险废物暂存间地面及裙角采用土工膜+防渗混凝土进行防渗，防渗层为至少2mm厚的其他人工材料，渗透系数≤1×10</w:t>
            </w:r>
            <w:r>
              <w:rPr>
                <w:rFonts w:hint="eastAsia"/>
                <w:lang w:val="en-US" w:eastAsia="zh-CN"/>
              </w:rPr>
              <w:t>—</w:t>
            </w:r>
            <w:r>
              <w:rPr>
                <w:rFonts w:hint="default"/>
                <w:vertAlign w:val="superscript"/>
                <w:lang w:val="en-US" w:eastAsia="zh-CN"/>
              </w:rPr>
              <w:t>10</w:t>
            </w:r>
            <w:r>
              <w:rPr>
                <w:rFonts w:hint="default"/>
                <w:lang w:val="en-US" w:eastAsia="zh-CN"/>
              </w:rPr>
              <w:t>cm/s。</w:t>
            </w:r>
          </w:p>
          <w:p w14:paraId="4578A357">
            <w:pPr>
              <w:pStyle w:val="44"/>
              <w:bidi w:val="0"/>
              <w:rPr>
                <w:rFonts w:hint="default"/>
                <w:lang w:val="en-US" w:eastAsia="zh-CN"/>
              </w:rPr>
            </w:pPr>
            <w:r>
              <w:rPr>
                <w:rFonts w:hint="default"/>
                <w:lang w:val="en-US" w:eastAsia="zh-CN"/>
              </w:rPr>
              <w:t>③强化对工作人员的安全教育、操作技能培训工作，严格遵守各类安全管理规章制度和岗位操作规程。</w:t>
            </w:r>
          </w:p>
          <w:p w14:paraId="04B45A83">
            <w:pPr>
              <w:pStyle w:val="44"/>
              <w:bidi w:val="0"/>
              <w:rPr>
                <w:rFonts w:hint="default"/>
                <w:lang w:val="en-US" w:eastAsia="zh-CN"/>
              </w:rPr>
            </w:pPr>
            <w:r>
              <w:rPr>
                <w:rFonts w:hint="default"/>
                <w:lang w:val="en-US" w:eastAsia="zh-CN"/>
              </w:rPr>
              <w:t>④危废及时委托有资质的单位清运。</w:t>
            </w:r>
          </w:p>
          <w:p w14:paraId="13092B5E">
            <w:pPr>
              <w:pStyle w:val="44"/>
              <w:bidi w:val="0"/>
              <w:rPr>
                <w:rFonts w:hint="default"/>
                <w:lang w:val="en-US" w:eastAsia="zh-CN"/>
              </w:rPr>
            </w:pPr>
            <w:r>
              <w:rPr>
                <w:rFonts w:hint="default"/>
                <w:lang w:val="en-US" w:eastAsia="zh-CN"/>
              </w:rPr>
              <w:t>（</w:t>
            </w:r>
            <w:r>
              <w:rPr>
                <w:rFonts w:hint="eastAsia"/>
                <w:lang w:val="en-US" w:eastAsia="zh-CN"/>
              </w:rPr>
              <w:t>2</w:t>
            </w:r>
            <w:r>
              <w:rPr>
                <w:rFonts w:hint="default"/>
                <w:lang w:val="en-US" w:eastAsia="zh-CN"/>
              </w:rPr>
              <w:t>）</w:t>
            </w:r>
            <w:r>
              <w:rPr>
                <w:rFonts w:hint="eastAsia"/>
                <w:lang w:val="en-US" w:eastAsia="zh-CN"/>
              </w:rPr>
              <w:t>表土堆场</w:t>
            </w:r>
            <w:r>
              <w:rPr>
                <w:rFonts w:hint="default"/>
                <w:lang w:val="en-US" w:eastAsia="zh-CN"/>
              </w:rPr>
              <w:t>突发环境风险防范措施</w:t>
            </w:r>
          </w:p>
          <w:p w14:paraId="3B22953D">
            <w:pPr>
              <w:pStyle w:val="44"/>
              <w:bidi w:val="0"/>
              <w:rPr>
                <w:rFonts w:hint="default"/>
                <w:lang w:val="en-US" w:eastAsia="zh-CN"/>
              </w:rPr>
            </w:pPr>
            <w:r>
              <w:rPr>
                <w:rFonts w:hint="default"/>
                <w:lang w:val="en-US" w:eastAsia="zh-CN"/>
              </w:rPr>
              <w:t>①</w:t>
            </w:r>
            <w:r>
              <w:rPr>
                <w:rFonts w:hint="eastAsia"/>
                <w:lang w:val="en-US" w:eastAsia="zh-CN"/>
              </w:rPr>
              <w:t>表土堆场</w:t>
            </w:r>
            <w:r>
              <w:rPr>
                <w:rFonts w:hint="default"/>
                <w:lang w:val="en-US" w:eastAsia="zh-CN"/>
              </w:rPr>
              <w:t>截排水沟设计时应提高防洪标准，避免弃渣场暴雨条件下泥石流灾害发生。</w:t>
            </w:r>
          </w:p>
          <w:p w14:paraId="780A17C5">
            <w:pPr>
              <w:pStyle w:val="44"/>
              <w:bidi w:val="0"/>
              <w:rPr>
                <w:rFonts w:hint="default"/>
                <w:lang w:val="en-US" w:eastAsia="zh-CN"/>
              </w:rPr>
            </w:pPr>
            <w:r>
              <w:rPr>
                <w:rFonts w:hint="default"/>
                <w:lang w:val="en-US" w:eastAsia="zh-CN"/>
              </w:rPr>
              <w:t>②若雨季可能引发</w:t>
            </w:r>
            <w:r>
              <w:rPr>
                <w:rFonts w:hint="eastAsia"/>
                <w:lang w:val="en-US" w:eastAsia="zh-CN"/>
              </w:rPr>
              <w:t>表土堆场</w:t>
            </w:r>
            <w:r>
              <w:rPr>
                <w:rFonts w:hint="default"/>
                <w:lang w:val="en-US" w:eastAsia="zh-CN"/>
              </w:rPr>
              <w:t>滑坡、泥石流时，应立即向当地主管部门报告，及时采取有效措施防止生态破坏。</w:t>
            </w:r>
          </w:p>
          <w:p w14:paraId="59AAD112">
            <w:pPr>
              <w:pStyle w:val="44"/>
              <w:bidi w:val="0"/>
              <w:rPr>
                <w:rFonts w:hint="default"/>
                <w:lang w:val="en-US" w:eastAsia="zh-CN"/>
              </w:rPr>
            </w:pPr>
            <w:r>
              <w:rPr>
                <w:rFonts w:hint="default"/>
                <w:lang w:val="en-US" w:eastAsia="zh-CN"/>
              </w:rPr>
              <w:t>③若</w:t>
            </w:r>
            <w:r>
              <w:rPr>
                <w:rFonts w:hint="eastAsia"/>
                <w:lang w:val="en-US" w:eastAsia="zh-CN"/>
              </w:rPr>
              <w:t>表土堆场</w:t>
            </w:r>
            <w:r>
              <w:rPr>
                <w:rFonts w:hint="default"/>
                <w:lang w:val="en-US" w:eastAsia="zh-CN"/>
              </w:rPr>
              <w:t>排水系统毁坏或堵塞，应及时疏通修复。一方面应立即向当地政府报告，组织专业人员抢险。</w:t>
            </w:r>
          </w:p>
          <w:p w14:paraId="26FFF6DB">
            <w:pPr>
              <w:pStyle w:val="44"/>
              <w:bidi w:val="0"/>
              <w:rPr>
                <w:rFonts w:hint="default"/>
                <w:lang w:val="en-US" w:eastAsia="zh-CN"/>
              </w:rPr>
            </w:pPr>
            <w:r>
              <w:rPr>
                <w:rFonts w:hint="default"/>
                <w:lang w:val="en-US" w:eastAsia="zh-CN"/>
              </w:rPr>
              <w:t>④雨季定期检查截排水设施、挡土墙，发现问题及时修理</w:t>
            </w:r>
            <w:r>
              <w:rPr>
                <w:rFonts w:hint="eastAsia"/>
                <w:lang w:val="en-US" w:eastAsia="zh-CN"/>
              </w:rPr>
              <w:t>。</w:t>
            </w:r>
          </w:p>
        </w:tc>
        <w:tc>
          <w:tcPr>
            <w:tcW w:w="1782" w:type="dxa"/>
            <w:vAlign w:val="center"/>
          </w:tcPr>
          <w:p w14:paraId="15D6FB89">
            <w:pPr>
              <w:pStyle w:val="43"/>
              <w:bidi w:val="0"/>
              <w:rPr>
                <w:rFonts w:hint="default"/>
                <w:lang w:val="en-US" w:eastAsia="zh-CN"/>
              </w:rPr>
            </w:pPr>
            <w:r>
              <w:rPr>
                <w:rFonts w:hint="default"/>
                <w:lang w:val="en-US" w:eastAsia="zh-CN"/>
              </w:rPr>
              <w:t>明确</w:t>
            </w:r>
            <w:r>
              <w:rPr>
                <w:rFonts w:hint="eastAsia"/>
                <w:lang w:val="en-US" w:eastAsia="zh-CN"/>
              </w:rPr>
              <w:t>各环境风险防范措施是否满足环评要求。</w:t>
            </w:r>
          </w:p>
        </w:tc>
      </w:tr>
      <w:tr w14:paraId="0A3C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1" w:type="dxa"/>
            <w:vAlign w:val="center"/>
          </w:tcPr>
          <w:p w14:paraId="61E20F8B">
            <w:pPr>
              <w:pStyle w:val="43"/>
              <w:bidi w:val="0"/>
              <w:rPr>
                <w:rFonts w:hint="default"/>
              </w:rPr>
            </w:pPr>
            <w:r>
              <w:rPr>
                <w:rFonts w:hint="default"/>
              </w:rPr>
              <w:t>环境监测</w:t>
            </w:r>
          </w:p>
        </w:tc>
        <w:tc>
          <w:tcPr>
            <w:tcW w:w="3686" w:type="dxa"/>
            <w:vAlign w:val="center"/>
          </w:tcPr>
          <w:p w14:paraId="4952D777">
            <w:pPr>
              <w:pStyle w:val="44"/>
              <w:bidi w:val="0"/>
              <w:rPr>
                <w:rFonts w:hint="default"/>
                <w:lang w:val="en-US" w:eastAsia="zh-CN"/>
              </w:rPr>
            </w:pPr>
            <w:r>
              <w:rPr>
                <w:rFonts w:hint="default"/>
                <w:lang w:val="en-US" w:eastAsia="zh-CN"/>
              </w:rPr>
              <w:t>/</w:t>
            </w:r>
          </w:p>
        </w:tc>
        <w:tc>
          <w:tcPr>
            <w:tcW w:w="1320" w:type="dxa"/>
            <w:vAlign w:val="center"/>
          </w:tcPr>
          <w:p w14:paraId="4E422D8E">
            <w:pPr>
              <w:pStyle w:val="43"/>
              <w:bidi w:val="0"/>
              <w:rPr>
                <w:rFonts w:hint="default"/>
                <w:lang w:val="en-US" w:eastAsia="zh-CN"/>
              </w:rPr>
            </w:pPr>
            <w:r>
              <w:rPr>
                <w:rFonts w:hint="default"/>
                <w:lang w:val="en-US" w:eastAsia="zh-CN"/>
              </w:rPr>
              <w:t>/</w:t>
            </w:r>
          </w:p>
        </w:tc>
        <w:tc>
          <w:tcPr>
            <w:tcW w:w="6036" w:type="dxa"/>
            <w:vAlign w:val="center"/>
          </w:tcPr>
          <w:p w14:paraId="3432EE0B">
            <w:pPr>
              <w:pStyle w:val="44"/>
              <w:bidi w:val="0"/>
              <w:rPr>
                <w:rFonts w:hint="default"/>
                <w:lang w:val="en-US" w:eastAsia="zh-CN"/>
              </w:rPr>
            </w:pPr>
            <w:r>
              <w:rPr>
                <w:rFonts w:hint="default"/>
              </w:rPr>
              <w:t>按</w:t>
            </w:r>
            <w:r>
              <w:rPr>
                <w:rFonts w:hint="default"/>
                <w:lang w:val="en-US" w:eastAsia="zh-CN"/>
              </w:rPr>
              <w:t>上表运营</w:t>
            </w:r>
            <w:r>
              <w:rPr>
                <w:rFonts w:hint="default"/>
              </w:rPr>
              <w:t>期环境监测计划表开展</w:t>
            </w:r>
            <w:r>
              <w:rPr>
                <w:rFonts w:hint="default"/>
                <w:lang w:val="en-US" w:eastAsia="zh-CN"/>
              </w:rPr>
              <w:t>运营</w:t>
            </w:r>
            <w:r>
              <w:rPr>
                <w:rFonts w:hint="default"/>
              </w:rPr>
              <w:t>期环境监测</w:t>
            </w:r>
            <w:r>
              <w:rPr>
                <w:rFonts w:hint="default"/>
                <w:lang w:eastAsia="zh-CN"/>
              </w:rPr>
              <w:t>。</w:t>
            </w:r>
          </w:p>
        </w:tc>
        <w:tc>
          <w:tcPr>
            <w:tcW w:w="1782" w:type="dxa"/>
            <w:vAlign w:val="center"/>
          </w:tcPr>
          <w:p w14:paraId="3F162B22">
            <w:pPr>
              <w:pStyle w:val="43"/>
              <w:bidi w:val="0"/>
              <w:rPr>
                <w:rFonts w:hint="default"/>
                <w:lang w:val="en-US" w:eastAsia="zh-CN"/>
              </w:rPr>
            </w:pPr>
            <w:r>
              <w:rPr>
                <w:rFonts w:hint="default"/>
              </w:rPr>
              <w:t>开展环境监测，环境监测结果符合相关标准限值要求。</w:t>
            </w:r>
          </w:p>
        </w:tc>
      </w:tr>
    </w:tbl>
    <w:p w14:paraId="0C624455">
      <w:pPr>
        <w:bidi w:val="0"/>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p>
    <w:bookmarkEnd w:id="622"/>
    <w:p w14:paraId="68642DA8">
      <w:pPr>
        <w:bidi w:val="0"/>
        <w:rPr>
          <w:rFonts w:hint="default" w:ascii="Times New Roman" w:hAnsi="Times New Roman" w:cs="Times New Roman"/>
          <w:color w:val="000000" w:themeColor="text1"/>
          <w:highlight w:val="none"/>
          <w:lang w:eastAsia="zh-CN"/>
          <w14:textFill>
            <w14:solidFill>
              <w14:schemeClr w14:val="tx1"/>
            </w14:solidFill>
          </w14:textFill>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25" w:name="_Toc33415773"/>
      <w:bookmarkStart w:id="626" w:name="_Toc51158292"/>
      <w:bookmarkStart w:id="627" w:name="_Toc225500662"/>
      <w:bookmarkStart w:id="628" w:name="_Toc452561805"/>
      <w:bookmarkStart w:id="629" w:name="_Toc176272514"/>
      <w:bookmarkStart w:id="630" w:name="_Toc227301263"/>
      <w:bookmarkStart w:id="631" w:name="_Toc219017977"/>
      <w:bookmarkStart w:id="632" w:name="_Toc306116114"/>
    </w:p>
    <w:p w14:paraId="145FDE75">
      <w:pPr>
        <w:pStyle w:val="3"/>
        <w:bidi w:val="0"/>
        <w:rPr>
          <w:rFonts w:hint="default" w:ascii="Times New Roman" w:hAnsi="Times New Roman" w:cs="Times New Roman"/>
          <w:color w:val="000000" w:themeColor="text1"/>
          <w:highlight w:val="none"/>
          <w14:textFill>
            <w14:solidFill>
              <w14:schemeClr w14:val="tx1"/>
            </w14:solidFill>
          </w14:textFill>
        </w:rPr>
      </w:pPr>
      <w:bookmarkStart w:id="633" w:name="_Toc3245"/>
      <w:r>
        <w:rPr>
          <w:rFonts w:hint="default" w:ascii="Times New Roman" w:hAnsi="Times New Roman" w:cs="Times New Roman"/>
          <w:color w:val="000000" w:themeColor="text1"/>
          <w:highlight w:val="none"/>
          <w14:textFill>
            <w14:solidFill>
              <w14:schemeClr w14:val="tx1"/>
            </w14:solidFill>
          </w14:textFill>
        </w:rPr>
        <w:t>环境监测机构</w:t>
      </w:r>
      <w:bookmarkEnd w:id="625"/>
      <w:bookmarkEnd w:id="626"/>
      <w:bookmarkEnd w:id="627"/>
      <w:bookmarkEnd w:id="628"/>
      <w:bookmarkEnd w:id="629"/>
      <w:bookmarkEnd w:id="630"/>
      <w:bookmarkEnd w:id="631"/>
      <w:bookmarkEnd w:id="632"/>
      <w:bookmarkEnd w:id="633"/>
    </w:p>
    <w:p w14:paraId="5F32DB18">
      <w:pPr>
        <w:pStyle w:val="41"/>
        <w:bidi w:val="0"/>
        <w:rPr>
          <w:rFonts w:hint="default"/>
        </w:rPr>
      </w:pPr>
      <w:r>
        <w:rPr>
          <w:rFonts w:hint="default"/>
        </w:rPr>
        <w:t>项目监测由建设单位委托有关资质</w:t>
      </w:r>
      <w:r>
        <w:rPr>
          <w:rFonts w:hint="eastAsia"/>
          <w:lang w:eastAsia="zh-CN"/>
        </w:rPr>
        <w:t>单位</w:t>
      </w:r>
      <w:r>
        <w:rPr>
          <w:rFonts w:hint="default"/>
        </w:rPr>
        <w:t>进行环境监测工作。</w:t>
      </w:r>
    </w:p>
    <w:p w14:paraId="0C6C5183">
      <w:pPr>
        <w:pStyle w:val="3"/>
        <w:bidi w:val="0"/>
        <w:rPr>
          <w:rFonts w:hint="default" w:ascii="Times New Roman" w:hAnsi="Times New Roman" w:cs="Times New Roman"/>
          <w:color w:val="000000" w:themeColor="text1"/>
          <w:highlight w:val="none"/>
          <w14:textFill>
            <w14:solidFill>
              <w14:schemeClr w14:val="tx1"/>
            </w14:solidFill>
          </w14:textFill>
        </w:rPr>
      </w:pPr>
      <w:bookmarkStart w:id="634" w:name="_Toc51158293"/>
      <w:bookmarkStart w:id="635" w:name="_Toc25124"/>
      <w:bookmarkStart w:id="636" w:name="_Toc10781"/>
      <w:bookmarkStart w:id="637" w:name="_Toc6758"/>
      <w:bookmarkStart w:id="638" w:name="_Toc17268"/>
      <w:bookmarkStart w:id="639" w:name="_Toc10635"/>
      <w:r>
        <w:rPr>
          <w:rFonts w:hint="default" w:ascii="Times New Roman" w:hAnsi="Times New Roman" w:cs="Times New Roman"/>
          <w:color w:val="000000" w:themeColor="text1"/>
          <w:highlight w:val="none"/>
          <w14:textFill>
            <w14:solidFill>
              <w14:schemeClr w14:val="tx1"/>
            </w14:solidFill>
          </w14:textFill>
        </w:rPr>
        <w:t>信息公开</w:t>
      </w:r>
      <w:bookmarkEnd w:id="634"/>
      <w:bookmarkEnd w:id="635"/>
    </w:p>
    <w:bookmarkEnd w:id="636"/>
    <w:bookmarkEnd w:id="637"/>
    <w:bookmarkEnd w:id="638"/>
    <w:bookmarkEnd w:id="639"/>
    <w:p w14:paraId="4266014F">
      <w:pPr>
        <w:pStyle w:val="41"/>
        <w:bidi w:val="0"/>
        <w:rPr>
          <w:rFonts w:hint="default"/>
        </w:rPr>
      </w:pPr>
      <w:r>
        <w:rPr>
          <w:rFonts w:hint="default"/>
        </w:rPr>
        <w:t>根据</w:t>
      </w:r>
      <w:r>
        <w:rPr>
          <w:rFonts w:hint="eastAsia"/>
          <w:lang w:eastAsia="zh-CN"/>
        </w:rPr>
        <w:t>《</w:t>
      </w:r>
      <w:r>
        <w:rPr>
          <w:rFonts w:hint="default"/>
        </w:rPr>
        <w:t>建设项目环境影响评价信息公开机制方案</w:t>
      </w:r>
      <w:r>
        <w:rPr>
          <w:rFonts w:hint="eastAsia"/>
          <w:lang w:eastAsia="zh-CN"/>
        </w:rPr>
        <w:t>》《</w:t>
      </w:r>
      <w:r>
        <w:rPr>
          <w:rFonts w:hint="default"/>
        </w:rPr>
        <w:t>企业事业单位环境信息公开办法》中的相关规定，本项目建设单位应当向社会公开以下信息：</w:t>
      </w:r>
    </w:p>
    <w:p w14:paraId="590776ED">
      <w:pPr>
        <w:pStyle w:val="41"/>
        <w:bidi w:val="0"/>
        <w:rPr>
          <w:rFonts w:hint="default"/>
        </w:rPr>
      </w:pPr>
      <w:r>
        <w:rPr>
          <w:rFonts w:hint="default"/>
        </w:rPr>
        <w:t>（1）基础信息，包括单位名称、组织机构代码、法定代表人、项目地址、联系方式，以及管理服务的主要内容、规模；</w:t>
      </w:r>
    </w:p>
    <w:p w14:paraId="415D292C">
      <w:pPr>
        <w:pStyle w:val="41"/>
        <w:bidi w:val="0"/>
        <w:rPr>
          <w:rFonts w:hint="default"/>
        </w:rPr>
      </w:pPr>
      <w:r>
        <w:rPr>
          <w:rFonts w:hint="default"/>
        </w:rPr>
        <w:t>（2）排污信息，包括主要污染物及特征污染物的名称、排放方式、排放口数量和分布情况、排放浓度和总量、超标情况，以及执行的污染物排放标准、核定的排放总量；</w:t>
      </w:r>
    </w:p>
    <w:p w14:paraId="53862143">
      <w:pPr>
        <w:pStyle w:val="41"/>
        <w:bidi w:val="0"/>
        <w:rPr>
          <w:rFonts w:hint="default"/>
        </w:rPr>
      </w:pPr>
      <w:r>
        <w:rPr>
          <w:rFonts w:hint="default"/>
        </w:rPr>
        <w:t>（3）污染防治设施的建设和运行情况；</w:t>
      </w:r>
    </w:p>
    <w:p w14:paraId="453D2F4D">
      <w:pPr>
        <w:pStyle w:val="41"/>
        <w:bidi w:val="0"/>
        <w:rPr>
          <w:rFonts w:hint="default"/>
        </w:rPr>
      </w:pPr>
      <w:r>
        <w:rPr>
          <w:rFonts w:hint="default"/>
        </w:rPr>
        <w:t>（4）建设项目环境影响评价及其他环境保护行政许可情况；</w:t>
      </w:r>
    </w:p>
    <w:p w14:paraId="085F5499">
      <w:pPr>
        <w:pStyle w:val="41"/>
        <w:bidi w:val="0"/>
        <w:rPr>
          <w:rFonts w:hint="default"/>
          <w:lang w:eastAsia="zh-CN"/>
        </w:rPr>
      </w:pPr>
      <w:r>
        <w:rPr>
          <w:rFonts w:hint="default"/>
        </w:rPr>
        <w:t>（5）突发环境事件应急预案</w:t>
      </w:r>
      <w:r>
        <w:rPr>
          <w:rFonts w:hint="default"/>
          <w:lang w:eastAsia="zh-CN"/>
        </w:rPr>
        <w:t>；</w:t>
      </w:r>
    </w:p>
    <w:p w14:paraId="1EDFF91A">
      <w:pPr>
        <w:pStyle w:val="41"/>
        <w:bidi w:val="0"/>
        <w:rPr>
          <w:rFonts w:hint="default"/>
        </w:rPr>
      </w:pPr>
      <w:r>
        <w:rPr>
          <w:rFonts w:hint="default"/>
        </w:rPr>
        <w:t>（6）污染防治设施运行、维护，无组织排放控制等环境保护措施要求；自行监测方案、台账记录、执行报告等要求；排污单位自行监测、执行报告；</w:t>
      </w:r>
    </w:p>
    <w:p w14:paraId="6437E2AC">
      <w:pPr>
        <w:pStyle w:val="41"/>
        <w:bidi w:val="0"/>
        <w:rPr>
          <w:rFonts w:hint="default"/>
        </w:rPr>
      </w:pPr>
      <w:r>
        <w:rPr>
          <w:rFonts w:hint="default"/>
        </w:rPr>
        <w:t>（7）法律法规规定的其他事项。</w:t>
      </w:r>
    </w:p>
    <w:p w14:paraId="59E1B335">
      <w:pPr>
        <w:pStyle w:val="2"/>
        <w:bidi w:val="0"/>
        <w:rPr>
          <w:rFonts w:hint="default"/>
        </w:rPr>
      </w:pPr>
      <w:bookmarkStart w:id="640" w:name="_Toc9341"/>
      <w:r>
        <w:rPr>
          <w:rFonts w:hint="default"/>
        </w:rPr>
        <w:t>环保投资及环境经济损益分析</w:t>
      </w:r>
      <w:bookmarkEnd w:id="640"/>
    </w:p>
    <w:p w14:paraId="3B798EBC">
      <w:pPr>
        <w:pStyle w:val="3"/>
        <w:bidi w:val="0"/>
        <w:rPr>
          <w:rFonts w:hint="default" w:ascii="Times New Roman" w:hAnsi="Times New Roman" w:cs="Times New Roman"/>
          <w:color w:val="000000" w:themeColor="text1"/>
          <w:highlight w:val="none"/>
          <w14:textFill>
            <w14:solidFill>
              <w14:schemeClr w14:val="tx1"/>
            </w14:solidFill>
          </w14:textFill>
        </w:rPr>
      </w:pPr>
      <w:bookmarkStart w:id="641" w:name="_Toc28133"/>
      <w:bookmarkStart w:id="642" w:name="_Toc51158281"/>
      <w:bookmarkStart w:id="643" w:name="_Toc219017981"/>
      <w:bookmarkStart w:id="644" w:name="_Toc306116093"/>
      <w:bookmarkStart w:id="645" w:name="_Toc224549275"/>
      <w:bookmarkStart w:id="646" w:name="_Toc33415748"/>
      <w:bookmarkStart w:id="647" w:name="_Toc176272518"/>
      <w:r>
        <w:rPr>
          <w:rFonts w:hint="default" w:ascii="Times New Roman" w:hAnsi="Times New Roman" w:cs="Times New Roman"/>
          <w:color w:val="000000" w:themeColor="text1"/>
          <w:highlight w:val="none"/>
          <w14:textFill>
            <w14:solidFill>
              <w14:schemeClr w14:val="tx1"/>
            </w14:solidFill>
          </w14:textFill>
        </w:rPr>
        <w:t>环境保护工程投资分析</w:t>
      </w:r>
      <w:bookmarkEnd w:id="641"/>
      <w:bookmarkEnd w:id="642"/>
    </w:p>
    <w:p w14:paraId="0BBD312E">
      <w:pPr>
        <w:pStyle w:val="41"/>
        <w:bidi w:val="0"/>
        <w:rPr>
          <w:rFonts w:hint="default"/>
          <w:lang w:val="en-US" w:eastAsia="zh-CN"/>
        </w:rPr>
      </w:pPr>
      <w:r>
        <w:rPr>
          <w:rFonts w:hint="default"/>
        </w:rPr>
        <w:t>本项目建设的环境保护工程包括环境空气污染防治、废水处理、固体废物处置、噪声防治、植被恢复与绿化、场地环境整治等。</w:t>
      </w:r>
      <w:r>
        <w:rPr>
          <w:rFonts w:hint="default"/>
          <w:lang w:val="en-US" w:eastAsia="zh-CN"/>
        </w:rPr>
        <w:t>本项目总投资</w:t>
      </w:r>
      <w:r>
        <w:rPr>
          <w:rFonts w:hint="eastAsia"/>
          <w:lang w:val="en-US" w:eastAsia="zh-CN"/>
        </w:rPr>
        <w:t>1000</w:t>
      </w:r>
      <w:r>
        <w:rPr>
          <w:rFonts w:hint="default"/>
          <w:lang w:val="en-US" w:eastAsia="zh-CN"/>
        </w:rPr>
        <w:t>万元，其中环保总投资</w:t>
      </w:r>
      <w:r>
        <w:rPr>
          <w:rFonts w:hint="eastAsia"/>
          <w:lang w:val="en-US" w:eastAsia="zh-CN"/>
        </w:rPr>
        <w:t>181万</w:t>
      </w:r>
      <w:r>
        <w:rPr>
          <w:rFonts w:hint="default"/>
          <w:lang w:val="en-US" w:eastAsia="zh-CN"/>
        </w:rPr>
        <w:t>元，占总投资的</w:t>
      </w:r>
      <w:r>
        <w:rPr>
          <w:rFonts w:hint="eastAsia"/>
          <w:lang w:val="en-US" w:eastAsia="zh-CN"/>
        </w:rPr>
        <w:t>18.1%</w:t>
      </w:r>
      <w:r>
        <w:rPr>
          <w:rFonts w:hint="default"/>
          <w:lang w:val="en-US" w:eastAsia="zh-CN"/>
        </w:rPr>
        <w:t>，各环保设施组成及投资估算详见表</w:t>
      </w:r>
      <w:r>
        <w:rPr>
          <w:rFonts w:hint="eastAsia"/>
          <w:lang w:val="en-US" w:eastAsia="zh-CN"/>
        </w:rPr>
        <w:t>11.1-1</w:t>
      </w:r>
      <w:r>
        <w:rPr>
          <w:rFonts w:hint="default"/>
          <w:lang w:val="en-US" w:eastAsia="zh-CN"/>
        </w:rPr>
        <w:t>。</w:t>
      </w:r>
    </w:p>
    <w:p w14:paraId="48A7604A">
      <w:pPr>
        <w:pStyle w:val="45"/>
        <w:bidi w:val="0"/>
        <w:rPr>
          <w:rFonts w:hint="default"/>
          <w:lang w:val="en-US" w:eastAsia="zh-CN"/>
        </w:rPr>
      </w:pPr>
      <w:r>
        <w:rPr>
          <w:rFonts w:hint="default"/>
          <w:lang w:val="en-US" w:eastAsia="zh-CN"/>
        </w:rPr>
        <w:t>表1</w:t>
      </w:r>
      <w:r>
        <w:rPr>
          <w:rFonts w:hint="eastAsia"/>
          <w:lang w:val="en-US" w:eastAsia="zh-CN"/>
        </w:rPr>
        <w:t>1</w:t>
      </w:r>
      <w:r>
        <w:rPr>
          <w:rFonts w:hint="default"/>
          <w:lang w:val="en-US" w:eastAsia="zh-CN"/>
        </w:rPr>
        <w:t>.1-1  项目环保投资估算表</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12"/>
        <w:gridCol w:w="712"/>
        <w:gridCol w:w="4644"/>
        <w:gridCol w:w="989"/>
        <w:gridCol w:w="1465"/>
      </w:tblGrid>
      <w:tr w14:paraId="2688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5000" w:type="pct"/>
            <w:gridSpan w:val="5"/>
            <w:shd w:val="clear" w:color="auto" w:fill="auto"/>
            <w:vAlign w:val="center"/>
          </w:tcPr>
          <w:p w14:paraId="55AFB949">
            <w:pPr>
              <w:pStyle w:val="43"/>
              <w:bidi w:val="0"/>
              <w:rPr>
                <w:rFonts w:hint="eastAsia"/>
              </w:rPr>
            </w:pPr>
            <w:bookmarkStart w:id="648" w:name="_Toc51158282"/>
            <w:bookmarkStart w:id="649" w:name="_Toc5696"/>
            <w:r>
              <w:rPr>
                <w:rFonts w:hint="eastAsia"/>
                <w:lang w:val="en-US" w:eastAsia="zh-CN"/>
              </w:rPr>
              <w:t>第一部分 污染防治</w:t>
            </w:r>
          </w:p>
        </w:tc>
      </w:tr>
      <w:tr w14:paraId="24E3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shd w:val="clear" w:color="auto" w:fill="auto"/>
            <w:vAlign w:val="center"/>
          </w:tcPr>
          <w:p w14:paraId="711278EB">
            <w:pPr>
              <w:pStyle w:val="43"/>
              <w:bidi w:val="0"/>
              <w:rPr>
                <w:rFonts w:hint="eastAsia"/>
              </w:rPr>
            </w:pPr>
            <w:r>
              <w:rPr>
                <w:rFonts w:hint="eastAsia"/>
                <w:lang w:val="en-US" w:eastAsia="zh-CN"/>
              </w:rPr>
              <w:t>施工期</w:t>
            </w:r>
          </w:p>
        </w:tc>
      </w:tr>
      <w:tr w14:paraId="7B92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18" w:type="pct"/>
            <w:shd w:val="clear" w:color="auto" w:fill="auto"/>
            <w:vAlign w:val="center"/>
          </w:tcPr>
          <w:p w14:paraId="1225DAFD">
            <w:pPr>
              <w:pStyle w:val="43"/>
              <w:bidi w:val="0"/>
              <w:rPr>
                <w:rFonts w:hint="default"/>
              </w:rPr>
            </w:pPr>
            <w:r>
              <w:rPr>
                <w:rFonts w:hint="default"/>
                <w:lang w:val="en-US" w:eastAsia="zh-CN"/>
              </w:rPr>
              <w:t>1</w:t>
            </w:r>
          </w:p>
        </w:tc>
        <w:tc>
          <w:tcPr>
            <w:tcW w:w="418" w:type="pct"/>
            <w:shd w:val="clear" w:color="auto" w:fill="auto"/>
            <w:vAlign w:val="center"/>
          </w:tcPr>
          <w:p w14:paraId="72EA7881">
            <w:pPr>
              <w:pStyle w:val="43"/>
              <w:bidi w:val="0"/>
              <w:rPr>
                <w:rFonts w:hint="eastAsia"/>
              </w:rPr>
            </w:pPr>
            <w:r>
              <w:rPr>
                <w:rFonts w:hint="eastAsia"/>
                <w:lang w:val="en-US" w:eastAsia="zh-CN"/>
              </w:rPr>
              <w:t>废气</w:t>
            </w:r>
          </w:p>
        </w:tc>
        <w:tc>
          <w:tcPr>
            <w:tcW w:w="2724" w:type="pct"/>
            <w:shd w:val="clear" w:color="auto" w:fill="auto"/>
            <w:vAlign w:val="center"/>
          </w:tcPr>
          <w:p w14:paraId="07463B5C">
            <w:pPr>
              <w:pStyle w:val="43"/>
              <w:bidi w:val="0"/>
              <w:rPr>
                <w:rFonts w:hint="eastAsia"/>
              </w:rPr>
            </w:pPr>
            <w:r>
              <w:rPr>
                <w:rFonts w:hint="eastAsia"/>
                <w:lang w:val="en-US" w:eastAsia="zh-CN"/>
              </w:rPr>
              <w:t>洒水降尘</w:t>
            </w:r>
          </w:p>
        </w:tc>
        <w:tc>
          <w:tcPr>
            <w:tcW w:w="580" w:type="pct"/>
            <w:shd w:val="clear" w:color="auto" w:fill="auto"/>
            <w:vAlign w:val="center"/>
          </w:tcPr>
          <w:p w14:paraId="0F403ACE">
            <w:pPr>
              <w:pStyle w:val="43"/>
              <w:bidi w:val="0"/>
              <w:rPr>
                <w:rFonts w:hint="default"/>
              </w:rPr>
            </w:pPr>
            <w:r>
              <w:rPr>
                <w:rFonts w:hint="default"/>
                <w:lang w:val="en-US" w:eastAsia="zh-CN"/>
              </w:rPr>
              <w:t>2</w:t>
            </w:r>
          </w:p>
        </w:tc>
        <w:tc>
          <w:tcPr>
            <w:tcW w:w="858" w:type="pct"/>
            <w:shd w:val="clear" w:color="auto" w:fill="auto"/>
            <w:vAlign w:val="center"/>
          </w:tcPr>
          <w:p w14:paraId="76F59072">
            <w:pPr>
              <w:pStyle w:val="43"/>
              <w:bidi w:val="0"/>
              <w:rPr>
                <w:rFonts w:hint="default"/>
              </w:rPr>
            </w:pPr>
            <w:r>
              <w:rPr>
                <w:rFonts w:hint="default"/>
                <w:lang w:val="en-US" w:eastAsia="zh-CN"/>
              </w:rPr>
              <w:t>/</w:t>
            </w:r>
          </w:p>
        </w:tc>
      </w:tr>
      <w:tr w14:paraId="4434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shd w:val="clear" w:color="auto" w:fill="auto"/>
            <w:vAlign w:val="center"/>
          </w:tcPr>
          <w:p w14:paraId="27FBE59B">
            <w:pPr>
              <w:pStyle w:val="43"/>
              <w:bidi w:val="0"/>
              <w:rPr>
                <w:rFonts w:hint="default"/>
              </w:rPr>
            </w:pPr>
            <w:r>
              <w:rPr>
                <w:rFonts w:hint="default"/>
                <w:lang w:val="en-US" w:eastAsia="zh-CN"/>
              </w:rPr>
              <w:t>3</w:t>
            </w:r>
          </w:p>
        </w:tc>
        <w:tc>
          <w:tcPr>
            <w:tcW w:w="418" w:type="pct"/>
            <w:shd w:val="clear" w:color="auto" w:fill="auto"/>
            <w:vAlign w:val="center"/>
          </w:tcPr>
          <w:p w14:paraId="16AB989C">
            <w:pPr>
              <w:pStyle w:val="43"/>
              <w:bidi w:val="0"/>
              <w:rPr>
                <w:rFonts w:hint="eastAsia"/>
              </w:rPr>
            </w:pPr>
            <w:r>
              <w:rPr>
                <w:rFonts w:hint="eastAsia"/>
                <w:lang w:val="en-US" w:eastAsia="zh-CN"/>
              </w:rPr>
              <w:t>固废</w:t>
            </w:r>
          </w:p>
        </w:tc>
        <w:tc>
          <w:tcPr>
            <w:tcW w:w="2724" w:type="pct"/>
            <w:shd w:val="clear" w:color="auto" w:fill="auto"/>
            <w:vAlign w:val="center"/>
          </w:tcPr>
          <w:p w14:paraId="5D1CE44C">
            <w:pPr>
              <w:pStyle w:val="43"/>
              <w:bidi w:val="0"/>
              <w:rPr>
                <w:rFonts w:hint="eastAsia"/>
              </w:rPr>
            </w:pPr>
            <w:r>
              <w:rPr>
                <w:rFonts w:hint="eastAsia"/>
                <w:lang w:val="en-US" w:eastAsia="zh-CN"/>
              </w:rPr>
              <w:t>固废收集及清运</w:t>
            </w:r>
          </w:p>
        </w:tc>
        <w:tc>
          <w:tcPr>
            <w:tcW w:w="580" w:type="pct"/>
            <w:shd w:val="clear" w:color="auto" w:fill="auto"/>
            <w:vAlign w:val="center"/>
          </w:tcPr>
          <w:p w14:paraId="64F971A6">
            <w:pPr>
              <w:pStyle w:val="43"/>
              <w:bidi w:val="0"/>
              <w:rPr>
                <w:rFonts w:hint="default"/>
              </w:rPr>
            </w:pPr>
            <w:r>
              <w:rPr>
                <w:rFonts w:hint="default"/>
                <w:lang w:val="en-US" w:eastAsia="zh-CN"/>
              </w:rPr>
              <w:t>2</w:t>
            </w:r>
          </w:p>
        </w:tc>
        <w:tc>
          <w:tcPr>
            <w:tcW w:w="858" w:type="pct"/>
            <w:shd w:val="clear" w:color="auto" w:fill="auto"/>
            <w:vAlign w:val="center"/>
          </w:tcPr>
          <w:p w14:paraId="79AA3F27">
            <w:pPr>
              <w:pStyle w:val="43"/>
              <w:bidi w:val="0"/>
              <w:rPr>
                <w:rFonts w:hint="default"/>
              </w:rPr>
            </w:pPr>
            <w:r>
              <w:rPr>
                <w:rFonts w:hint="default"/>
                <w:lang w:val="en-US" w:eastAsia="zh-CN"/>
              </w:rPr>
              <w:t>/</w:t>
            </w:r>
          </w:p>
        </w:tc>
      </w:tr>
      <w:tr w14:paraId="0203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61" w:type="pct"/>
            <w:gridSpan w:val="3"/>
            <w:shd w:val="clear" w:color="auto" w:fill="auto"/>
            <w:vAlign w:val="center"/>
          </w:tcPr>
          <w:p w14:paraId="4A460B13">
            <w:pPr>
              <w:pStyle w:val="43"/>
              <w:bidi w:val="0"/>
              <w:rPr>
                <w:rFonts w:hint="eastAsia"/>
              </w:rPr>
            </w:pPr>
            <w:r>
              <w:rPr>
                <w:rFonts w:hint="eastAsia"/>
                <w:lang w:val="en-US" w:eastAsia="zh-CN"/>
              </w:rPr>
              <w:t>小计</w:t>
            </w:r>
          </w:p>
        </w:tc>
        <w:tc>
          <w:tcPr>
            <w:tcW w:w="580" w:type="pct"/>
            <w:shd w:val="clear" w:color="auto" w:fill="auto"/>
            <w:vAlign w:val="center"/>
          </w:tcPr>
          <w:p w14:paraId="5D1D13B4">
            <w:pPr>
              <w:pStyle w:val="43"/>
              <w:bidi w:val="0"/>
              <w:rPr>
                <w:rFonts w:hint="default"/>
              </w:rPr>
            </w:pPr>
            <w:r>
              <w:rPr>
                <w:rFonts w:hint="default"/>
                <w:lang w:val="en-US" w:eastAsia="zh-CN"/>
              </w:rPr>
              <w:t>4</w:t>
            </w:r>
          </w:p>
        </w:tc>
        <w:tc>
          <w:tcPr>
            <w:tcW w:w="858" w:type="pct"/>
            <w:shd w:val="clear" w:color="auto" w:fill="auto"/>
            <w:vAlign w:val="center"/>
          </w:tcPr>
          <w:p w14:paraId="70C380C1">
            <w:pPr>
              <w:pStyle w:val="43"/>
              <w:bidi w:val="0"/>
              <w:rPr>
                <w:rFonts w:hint="default"/>
              </w:rPr>
            </w:pPr>
            <w:r>
              <w:rPr>
                <w:rFonts w:hint="default"/>
                <w:lang w:val="en-US" w:eastAsia="zh-CN"/>
              </w:rPr>
              <w:t>/</w:t>
            </w:r>
          </w:p>
        </w:tc>
      </w:tr>
      <w:tr w14:paraId="5552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shd w:val="clear" w:color="auto" w:fill="auto"/>
            <w:vAlign w:val="center"/>
          </w:tcPr>
          <w:p w14:paraId="5AEB0FAA">
            <w:pPr>
              <w:pStyle w:val="43"/>
              <w:bidi w:val="0"/>
              <w:rPr>
                <w:rFonts w:hint="eastAsia"/>
              </w:rPr>
            </w:pPr>
            <w:r>
              <w:rPr>
                <w:rFonts w:hint="eastAsia"/>
                <w:lang w:val="en-US" w:eastAsia="zh-CN"/>
              </w:rPr>
              <w:t>运营期</w:t>
            </w:r>
          </w:p>
        </w:tc>
      </w:tr>
      <w:tr w14:paraId="3F36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vMerge w:val="restart"/>
            <w:shd w:val="clear" w:color="auto" w:fill="auto"/>
            <w:vAlign w:val="center"/>
          </w:tcPr>
          <w:p w14:paraId="15177955">
            <w:pPr>
              <w:pStyle w:val="43"/>
              <w:bidi w:val="0"/>
              <w:rPr>
                <w:rFonts w:hint="default"/>
              </w:rPr>
            </w:pPr>
            <w:r>
              <w:rPr>
                <w:rFonts w:hint="default"/>
                <w:lang w:val="en-US" w:eastAsia="zh-CN"/>
              </w:rPr>
              <w:t>1</w:t>
            </w:r>
          </w:p>
        </w:tc>
        <w:tc>
          <w:tcPr>
            <w:tcW w:w="418" w:type="pct"/>
            <w:vMerge w:val="restart"/>
            <w:shd w:val="clear" w:color="auto" w:fill="auto"/>
            <w:vAlign w:val="center"/>
          </w:tcPr>
          <w:p w14:paraId="5B7F55D3">
            <w:pPr>
              <w:pStyle w:val="43"/>
              <w:bidi w:val="0"/>
              <w:rPr>
                <w:rFonts w:hint="eastAsia"/>
              </w:rPr>
            </w:pPr>
            <w:r>
              <w:rPr>
                <w:rFonts w:hint="eastAsia"/>
                <w:lang w:val="en-US" w:eastAsia="zh-CN"/>
              </w:rPr>
              <w:t>废气</w:t>
            </w:r>
          </w:p>
        </w:tc>
        <w:tc>
          <w:tcPr>
            <w:tcW w:w="2724" w:type="pct"/>
            <w:shd w:val="clear" w:color="auto" w:fill="auto"/>
            <w:vAlign w:val="center"/>
          </w:tcPr>
          <w:p w14:paraId="1EFA2415">
            <w:pPr>
              <w:pStyle w:val="43"/>
              <w:bidi w:val="0"/>
              <w:rPr>
                <w:rFonts w:hint="eastAsia"/>
              </w:rPr>
            </w:pPr>
            <w:r>
              <w:rPr>
                <w:rFonts w:hint="eastAsia"/>
                <w:lang w:val="en-US" w:eastAsia="zh-CN"/>
              </w:rPr>
              <w:t>完善顶部建设洒水喷雾系统，内部物料传输皮带加装防尘罩；在砂石加工工序（破碎工序、筛分和制砂工序）设置集气罩收集粉尘并经</w:t>
            </w:r>
            <w:r>
              <w:rPr>
                <w:rFonts w:hint="default"/>
                <w:lang w:val="en-US" w:eastAsia="zh-CN"/>
              </w:rPr>
              <w:t>1</w:t>
            </w:r>
            <w:r>
              <w:rPr>
                <w:rFonts w:hint="eastAsia"/>
                <w:lang w:val="en-US" w:eastAsia="zh-CN"/>
              </w:rPr>
              <w:t>套布袋除尘系统处理达标后经</w:t>
            </w:r>
            <w:r>
              <w:rPr>
                <w:rFonts w:hint="default"/>
                <w:lang w:val="en-US" w:eastAsia="zh-CN"/>
              </w:rPr>
              <w:t>15m</w:t>
            </w:r>
            <w:r>
              <w:rPr>
                <w:rFonts w:hint="eastAsia"/>
                <w:lang w:val="en-US" w:eastAsia="zh-CN"/>
              </w:rPr>
              <w:t>高</w:t>
            </w:r>
            <w:r>
              <w:rPr>
                <w:rFonts w:hint="default"/>
                <w:lang w:val="en-US" w:eastAsia="zh-CN"/>
              </w:rPr>
              <w:t>DA001</w:t>
            </w:r>
            <w:r>
              <w:rPr>
                <w:rFonts w:hint="eastAsia"/>
                <w:lang w:val="en-US" w:eastAsia="zh-CN"/>
              </w:rPr>
              <w:t>排气筒排放</w:t>
            </w:r>
          </w:p>
        </w:tc>
        <w:tc>
          <w:tcPr>
            <w:tcW w:w="580" w:type="pct"/>
            <w:shd w:val="clear" w:color="auto" w:fill="auto"/>
            <w:vAlign w:val="center"/>
          </w:tcPr>
          <w:p w14:paraId="78D246FD">
            <w:pPr>
              <w:pStyle w:val="43"/>
              <w:bidi w:val="0"/>
              <w:rPr>
                <w:rFonts w:hint="default"/>
              </w:rPr>
            </w:pPr>
            <w:r>
              <w:rPr>
                <w:rFonts w:hint="default"/>
                <w:lang w:val="en-US" w:eastAsia="zh-CN"/>
              </w:rPr>
              <w:t>40</w:t>
            </w:r>
          </w:p>
        </w:tc>
        <w:tc>
          <w:tcPr>
            <w:tcW w:w="858" w:type="pct"/>
            <w:shd w:val="clear" w:color="auto" w:fill="auto"/>
            <w:vAlign w:val="center"/>
          </w:tcPr>
          <w:p w14:paraId="31F18E2F">
            <w:pPr>
              <w:pStyle w:val="43"/>
              <w:bidi w:val="0"/>
              <w:rPr>
                <w:rFonts w:hint="eastAsia"/>
              </w:rPr>
            </w:pPr>
            <w:r>
              <w:rPr>
                <w:rFonts w:hint="eastAsia"/>
                <w:lang w:val="en-US" w:eastAsia="zh-CN"/>
              </w:rPr>
              <w:t>主体设计提出，环评补充</w:t>
            </w:r>
          </w:p>
        </w:tc>
      </w:tr>
      <w:tr w14:paraId="5477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vMerge w:val="continue"/>
            <w:shd w:val="clear" w:color="auto" w:fill="auto"/>
            <w:vAlign w:val="center"/>
          </w:tcPr>
          <w:p w14:paraId="0C7FA90D">
            <w:pPr>
              <w:pStyle w:val="43"/>
              <w:bidi w:val="0"/>
              <w:rPr>
                <w:rFonts w:hint="default"/>
              </w:rPr>
            </w:pPr>
          </w:p>
        </w:tc>
        <w:tc>
          <w:tcPr>
            <w:tcW w:w="418" w:type="pct"/>
            <w:vMerge w:val="continue"/>
            <w:shd w:val="clear" w:color="auto" w:fill="auto"/>
            <w:vAlign w:val="center"/>
          </w:tcPr>
          <w:p w14:paraId="20CE63C8">
            <w:pPr>
              <w:pStyle w:val="43"/>
              <w:bidi w:val="0"/>
              <w:rPr>
                <w:rFonts w:hint="eastAsia"/>
              </w:rPr>
            </w:pPr>
          </w:p>
        </w:tc>
        <w:tc>
          <w:tcPr>
            <w:tcW w:w="2724" w:type="pct"/>
            <w:shd w:val="clear" w:color="auto" w:fill="auto"/>
            <w:vAlign w:val="center"/>
          </w:tcPr>
          <w:p w14:paraId="48228309">
            <w:pPr>
              <w:pStyle w:val="43"/>
              <w:bidi w:val="0"/>
              <w:rPr>
                <w:rFonts w:hint="eastAsia"/>
              </w:rPr>
            </w:pPr>
            <w:r>
              <w:rPr>
                <w:rFonts w:hint="eastAsia"/>
                <w:lang w:val="en-US" w:eastAsia="zh-CN"/>
              </w:rPr>
              <w:t>配备</w:t>
            </w:r>
            <w:r>
              <w:rPr>
                <w:rFonts w:hint="default"/>
                <w:lang w:val="en-US" w:eastAsia="zh-CN"/>
              </w:rPr>
              <w:t>1</w:t>
            </w:r>
            <w:r>
              <w:rPr>
                <w:rFonts w:hint="eastAsia"/>
                <w:lang w:val="en-US" w:eastAsia="zh-CN"/>
              </w:rPr>
              <w:t>辆洒水车、</w:t>
            </w:r>
            <w:r>
              <w:rPr>
                <w:rFonts w:hint="default"/>
                <w:lang w:val="en-US" w:eastAsia="zh-CN"/>
              </w:rPr>
              <w:t>4</w:t>
            </w:r>
            <w:r>
              <w:rPr>
                <w:rFonts w:hint="eastAsia"/>
                <w:lang w:val="en-US" w:eastAsia="zh-CN"/>
              </w:rPr>
              <w:t>台雾炮机，定期对露天采场、原料堆场、弃渣场、表土堆场、运输道路等区进行洒水降尘</w:t>
            </w:r>
          </w:p>
        </w:tc>
        <w:tc>
          <w:tcPr>
            <w:tcW w:w="580" w:type="pct"/>
            <w:shd w:val="clear" w:color="auto" w:fill="auto"/>
            <w:vAlign w:val="center"/>
          </w:tcPr>
          <w:p w14:paraId="295ADAF5">
            <w:pPr>
              <w:pStyle w:val="43"/>
              <w:bidi w:val="0"/>
              <w:rPr>
                <w:rFonts w:hint="default"/>
              </w:rPr>
            </w:pPr>
            <w:r>
              <w:rPr>
                <w:rFonts w:hint="default"/>
                <w:lang w:val="en-US" w:eastAsia="zh-CN"/>
              </w:rPr>
              <w:t>20</w:t>
            </w:r>
          </w:p>
        </w:tc>
        <w:tc>
          <w:tcPr>
            <w:tcW w:w="858" w:type="pct"/>
            <w:shd w:val="clear" w:color="auto" w:fill="auto"/>
            <w:vAlign w:val="center"/>
          </w:tcPr>
          <w:p w14:paraId="5C037930">
            <w:pPr>
              <w:pStyle w:val="43"/>
              <w:bidi w:val="0"/>
              <w:rPr>
                <w:rFonts w:hint="eastAsia"/>
              </w:rPr>
            </w:pPr>
            <w:r>
              <w:rPr>
                <w:rFonts w:hint="eastAsia"/>
                <w:lang w:val="en-US" w:eastAsia="zh-CN"/>
              </w:rPr>
              <w:t>主体设计提出</w:t>
            </w:r>
          </w:p>
        </w:tc>
      </w:tr>
      <w:tr w14:paraId="2683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shd w:val="clear" w:color="auto" w:fill="auto"/>
            <w:vAlign w:val="center"/>
          </w:tcPr>
          <w:p w14:paraId="15CB133C">
            <w:pPr>
              <w:pStyle w:val="43"/>
              <w:bidi w:val="0"/>
              <w:rPr>
                <w:rFonts w:hint="default"/>
              </w:rPr>
            </w:pPr>
            <w:r>
              <w:rPr>
                <w:rFonts w:hint="default"/>
                <w:lang w:val="en-US" w:eastAsia="zh-CN"/>
              </w:rPr>
              <w:t>2</w:t>
            </w:r>
          </w:p>
        </w:tc>
        <w:tc>
          <w:tcPr>
            <w:tcW w:w="418" w:type="pct"/>
            <w:shd w:val="clear" w:color="auto" w:fill="auto"/>
            <w:vAlign w:val="center"/>
          </w:tcPr>
          <w:p w14:paraId="260C6C95">
            <w:pPr>
              <w:pStyle w:val="43"/>
              <w:bidi w:val="0"/>
              <w:rPr>
                <w:rFonts w:hint="eastAsia"/>
              </w:rPr>
            </w:pPr>
            <w:r>
              <w:rPr>
                <w:rFonts w:hint="eastAsia"/>
                <w:lang w:val="en-US" w:eastAsia="zh-CN"/>
              </w:rPr>
              <w:t>废水</w:t>
            </w:r>
          </w:p>
        </w:tc>
        <w:tc>
          <w:tcPr>
            <w:tcW w:w="2724" w:type="pct"/>
            <w:shd w:val="clear" w:color="auto" w:fill="auto"/>
            <w:vAlign w:val="center"/>
          </w:tcPr>
          <w:p w14:paraId="1ED8844D">
            <w:pPr>
              <w:pStyle w:val="43"/>
              <w:bidi w:val="0"/>
              <w:rPr>
                <w:rFonts w:hint="eastAsia"/>
              </w:rPr>
            </w:pPr>
            <w:r>
              <w:rPr>
                <w:rFonts w:hint="eastAsia"/>
                <w:lang w:val="en-US" w:eastAsia="zh-CN"/>
              </w:rPr>
              <w:t>完善项目雨污收集系统，扩建初期雨水收集池</w:t>
            </w:r>
          </w:p>
        </w:tc>
        <w:tc>
          <w:tcPr>
            <w:tcW w:w="580" w:type="pct"/>
            <w:shd w:val="clear" w:color="auto" w:fill="auto"/>
            <w:vAlign w:val="center"/>
          </w:tcPr>
          <w:p w14:paraId="55D214E6">
            <w:pPr>
              <w:pStyle w:val="43"/>
              <w:bidi w:val="0"/>
              <w:rPr>
                <w:rFonts w:hint="default"/>
              </w:rPr>
            </w:pPr>
            <w:r>
              <w:rPr>
                <w:rFonts w:hint="default"/>
                <w:lang w:val="en-US" w:eastAsia="zh-CN"/>
              </w:rPr>
              <w:t>10</w:t>
            </w:r>
          </w:p>
        </w:tc>
        <w:tc>
          <w:tcPr>
            <w:tcW w:w="858" w:type="pct"/>
            <w:shd w:val="clear" w:color="auto" w:fill="auto"/>
            <w:vAlign w:val="center"/>
          </w:tcPr>
          <w:p w14:paraId="65201FAF">
            <w:pPr>
              <w:pStyle w:val="43"/>
              <w:bidi w:val="0"/>
              <w:rPr>
                <w:rFonts w:hint="eastAsia"/>
              </w:rPr>
            </w:pPr>
            <w:r>
              <w:rPr>
                <w:rFonts w:hint="eastAsia"/>
                <w:lang w:val="en-US" w:eastAsia="zh-CN"/>
              </w:rPr>
              <w:t>环评提出</w:t>
            </w:r>
          </w:p>
        </w:tc>
      </w:tr>
      <w:tr w14:paraId="538E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shd w:val="clear" w:color="auto" w:fill="auto"/>
            <w:vAlign w:val="center"/>
          </w:tcPr>
          <w:p w14:paraId="33A1AE15">
            <w:pPr>
              <w:pStyle w:val="43"/>
              <w:bidi w:val="0"/>
              <w:rPr>
                <w:rFonts w:hint="default"/>
              </w:rPr>
            </w:pPr>
            <w:r>
              <w:rPr>
                <w:rFonts w:hint="default"/>
                <w:lang w:val="en-US" w:eastAsia="zh-CN"/>
              </w:rPr>
              <w:t>3</w:t>
            </w:r>
          </w:p>
        </w:tc>
        <w:tc>
          <w:tcPr>
            <w:tcW w:w="418" w:type="pct"/>
            <w:shd w:val="clear" w:color="auto" w:fill="auto"/>
            <w:vAlign w:val="center"/>
          </w:tcPr>
          <w:p w14:paraId="00F0682D">
            <w:pPr>
              <w:pStyle w:val="43"/>
              <w:bidi w:val="0"/>
              <w:rPr>
                <w:rFonts w:hint="eastAsia"/>
              </w:rPr>
            </w:pPr>
            <w:r>
              <w:rPr>
                <w:rFonts w:hint="eastAsia"/>
                <w:lang w:val="en-US" w:eastAsia="zh-CN"/>
              </w:rPr>
              <w:t>噪声</w:t>
            </w:r>
          </w:p>
        </w:tc>
        <w:tc>
          <w:tcPr>
            <w:tcW w:w="2724" w:type="pct"/>
            <w:shd w:val="clear" w:color="auto" w:fill="auto"/>
            <w:vAlign w:val="center"/>
          </w:tcPr>
          <w:p w14:paraId="768F5C18">
            <w:pPr>
              <w:pStyle w:val="43"/>
              <w:bidi w:val="0"/>
              <w:rPr>
                <w:rFonts w:hint="eastAsia"/>
              </w:rPr>
            </w:pPr>
            <w:r>
              <w:rPr>
                <w:rFonts w:hint="eastAsia"/>
                <w:lang w:val="en-US" w:eastAsia="zh-CN"/>
              </w:rPr>
              <w:t>加工区建设封闭厂房、砂石加工各设备安装基础减震等</w:t>
            </w:r>
          </w:p>
        </w:tc>
        <w:tc>
          <w:tcPr>
            <w:tcW w:w="580" w:type="pct"/>
            <w:shd w:val="clear" w:color="auto" w:fill="auto"/>
            <w:vAlign w:val="center"/>
          </w:tcPr>
          <w:p w14:paraId="5B816574">
            <w:pPr>
              <w:pStyle w:val="43"/>
              <w:bidi w:val="0"/>
              <w:rPr>
                <w:rFonts w:hint="default"/>
              </w:rPr>
            </w:pPr>
            <w:r>
              <w:rPr>
                <w:rFonts w:hint="default"/>
                <w:lang w:val="en-US" w:eastAsia="zh-CN"/>
              </w:rPr>
              <w:t>5</w:t>
            </w:r>
          </w:p>
        </w:tc>
        <w:tc>
          <w:tcPr>
            <w:tcW w:w="858" w:type="pct"/>
            <w:shd w:val="clear" w:color="auto" w:fill="auto"/>
            <w:vAlign w:val="center"/>
          </w:tcPr>
          <w:p w14:paraId="509726C2">
            <w:pPr>
              <w:pStyle w:val="43"/>
              <w:bidi w:val="0"/>
              <w:rPr>
                <w:rFonts w:hint="eastAsia"/>
              </w:rPr>
            </w:pPr>
            <w:r>
              <w:rPr>
                <w:rFonts w:hint="eastAsia"/>
                <w:lang w:val="en-US" w:eastAsia="zh-CN"/>
              </w:rPr>
              <w:t>环评提出</w:t>
            </w:r>
          </w:p>
        </w:tc>
      </w:tr>
      <w:tr w14:paraId="49C8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18" w:type="pct"/>
            <w:vMerge w:val="restart"/>
            <w:shd w:val="clear" w:color="auto" w:fill="auto"/>
            <w:vAlign w:val="center"/>
          </w:tcPr>
          <w:p w14:paraId="6D2CCFFB">
            <w:pPr>
              <w:pStyle w:val="43"/>
              <w:bidi w:val="0"/>
              <w:rPr>
                <w:rFonts w:hint="default"/>
              </w:rPr>
            </w:pPr>
            <w:r>
              <w:rPr>
                <w:rFonts w:hint="default"/>
                <w:lang w:val="en-US" w:eastAsia="zh-CN"/>
              </w:rPr>
              <w:t>4</w:t>
            </w:r>
          </w:p>
        </w:tc>
        <w:tc>
          <w:tcPr>
            <w:tcW w:w="418" w:type="pct"/>
            <w:vMerge w:val="restart"/>
            <w:shd w:val="clear" w:color="auto" w:fill="auto"/>
            <w:vAlign w:val="center"/>
          </w:tcPr>
          <w:p w14:paraId="7836F843">
            <w:pPr>
              <w:pStyle w:val="43"/>
              <w:bidi w:val="0"/>
              <w:rPr>
                <w:rFonts w:hint="eastAsia"/>
              </w:rPr>
            </w:pPr>
            <w:r>
              <w:rPr>
                <w:rFonts w:hint="eastAsia"/>
                <w:lang w:val="en-US" w:eastAsia="zh-CN"/>
              </w:rPr>
              <w:t>固废处置</w:t>
            </w:r>
          </w:p>
        </w:tc>
        <w:tc>
          <w:tcPr>
            <w:tcW w:w="2724" w:type="pct"/>
            <w:shd w:val="clear" w:color="auto" w:fill="auto"/>
            <w:vAlign w:val="center"/>
          </w:tcPr>
          <w:p w14:paraId="46110B65">
            <w:pPr>
              <w:pStyle w:val="43"/>
              <w:bidi w:val="0"/>
              <w:rPr>
                <w:rFonts w:hint="eastAsia"/>
              </w:rPr>
            </w:pPr>
            <w:r>
              <w:rPr>
                <w:rFonts w:hint="eastAsia"/>
                <w:lang w:val="en-US" w:eastAsia="zh-CN"/>
              </w:rPr>
              <w:t>利用原生活垃圾分类收集桶</w:t>
            </w:r>
          </w:p>
        </w:tc>
        <w:tc>
          <w:tcPr>
            <w:tcW w:w="580" w:type="pct"/>
            <w:shd w:val="clear" w:color="auto" w:fill="auto"/>
            <w:vAlign w:val="center"/>
          </w:tcPr>
          <w:p w14:paraId="4D1AC60D">
            <w:pPr>
              <w:pStyle w:val="43"/>
              <w:bidi w:val="0"/>
              <w:rPr>
                <w:rFonts w:hint="default"/>
              </w:rPr>
            </w:pPr>
            <w:r>
              <w:rPr>
                <w:rFonts w:hint="default"/>
                <w:lang w:val="en-US" w:eastAsia="zh-CN"/>
              </w:rPr>
              <w:t>0</w:t>
            </w:r>
          </w:p>
        </w:tc>
        <w:tc>
          <w:tcPr>
            <w:tcW w:w="858" w:type="pct"/>
            <w:shd w:val="clear" w:color="auto" w:fill="auto"/>
            <w:vAlign w:val="center"/>
          </w:tcPr>
          <w:p w14:paraId="43EBA749">
            <w:pPr>
              <w:pStyle w:val="43"/>
              <w:bidi w:val="0"/>
              <w:rPr>
                <w:rFonts w:hint="eastAsia"/>
              </w:rPr>
            </w:pPr>
            <w:r>
              <w:rPr>
                <w:rFonts w:hint="eastAsia"/>
                <w:lang w:val="en-US" w:eastAsia="zh-CN"/>
              </w:rPr>
              <w:t>环评提出</w:t>
            </w:r>
          </w:p>
        </w:tc>
      </w:tr>
      <w:tr w14:paraId="124D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vMerge w:val="continue"/>
            <w:shd w:val="clear" w:color="auto" w:fill="auto"/>
            <w:vAlign w:val="center"/>
          </w:tcPr>
          <w:p w14:paraId="3A19B8C1">
            <w:pPr>
              <w:pStyle w:val="43"/>
              <w:bidi w:val="0"/>
              <w:rPr>
                <w:rFonts w:hint="default"/>
              </w:rPr>
            </w:pPr>
          </w:p>
        </w:tc>
        <w:tc>
          <w:tcPr>
            <w:tcW w:w="418" w:type="pct"/>
            <w:vMerge w:val="continue"/>
            <w:shd w:val="clear" w:color="auto" w:fill="auto"/>
            <w:vAlign w:val="center"/>
          </w:tcPr>
          <w:p w14:paraId="1E1266D3">
            <w:pPr>
              <w:pStyle w:val="43"/>
              <w:bidi w:val="0"/>
              <w:rPr>
                <w:rFonts w:hint="eastAsia"/>
              </w:rPr>
            </w:pPr>
          </w:p>
        </w:tc>
        <w:tc>
          <w:tcPr>
            <w:tcW w:w="2724" w:type="pct"/>
            <w:shd w:val="clear" w:color="auto" w:fill="auto"/>
            <w:vAlign w:val="center"/>
          </w:tcPr>
          <w:p w14:paraId="5BC9EADB">
            <w:pPr>
              <w:pStyle w:val="43"/>
              <w:bidi w:val="0"/>
              <w:rPr>
                <w:rFonts w:hint="eastAsia"/>
              </w:rPr>
            </w:pPr>
            <w:r>
              <w:rPr>
                <w:rFonts w:hint="eastAsia"/>
                <w:lang w:val="en-US" w:eastAsia="zh-CN"/>
              </w:rPr>
              <w:t>危废处置费用。</w:t>
            </w:r>
          </w:p>
        </w:tc>
        <w:tc>
          <w:tcPr>
            <w:tcW w:w="580" w:type="pct"/>
            <w:shd w:val="clear" w:color="auto" w:fill="auto"/>
            <w:vAlign w:val="center"/>
          </w:tcPr>
          <w:p w14:paraId="72813C32">
            <w:pPr>
              <w:pStyle w:val="43"/>
              <w:bidi w:val="0"/>
              <w:rPr>
                <w:rFonts w:hint="default"/>
              </w:rPr>
            </w:pPr>
            <w:r>
              <w:rPr>
                <w:rFonts w:hint="default"/>
                <w:lang w:val="en-US" w:eastAsia="zh-CN"/>
              </w:rPr>
              <w:t>2</w:t>
            </w:r>
          </w:p>
        </w:tc>
        <w:tc>
          <w:tcPr>
            <w:tcW w:w="858" w:type="pct"/>
            <w:shd w:val="clear" w:color="auto" w:fill="auto"/>
            <w:vAlign w:val="center"/>
          </w:tcPr>
          <w:p w14:paraId="131931D1">
            <w:pPr>
              <w:pStyle w:val="43"/>
              <w:bidi w:val="0"/>
              <w:rPr>
                <w:rFonts w:hint="eastAsia"/>
              </w:rPr>
            </w:pPr>
            <w:r>
              <w:rPr>
                <w:rFonts w:hint="eastAsia"/>
                <w:lang w:val="en-US" w:eastAsia="zh-CN"/>
              </w:rPr>
              <w:t>环评提出</w:t>
            </w:r>
          </w:p>
        </w:tc>
      </w:tr>
      <w:tr w14:paraId="33F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61" w:type="pct"/>
            <w:gridSpan w:val="3"/>
            <w:shd w:val="clear" w:color="auto" w:fill="auto"/>
            <w:vAlign w:val="center"/>
          </w:tcPr>
          <w:p w14:paraId="4796CEB6">
            <w:pPr>
              <w:pStyle w:val="43"/>
              <w:bidi w:val="0"/>
              <w:rPr>
                <w:rFonts w:hint="eastAsia"/>
              </w:rPr>
            </w:pPr>
            <w:r>
              <w:rPr>
                <w:rFonts w:hint="eastAsia"/>
                <w:lang w:val="en-US" w:eastAsia="zh-CN"/>
              </w:rPr>
              <w:t>小计</w:t>
            </w:r>
          </w:p>
        </w:tc>
        <w:tc>
          <w:tcPr>
            <w:tcW w:w="580" w:type="pct"/>
            <w:shd w:val="clear" w:color="auto" w:fill="auto"/>
            <w:vAlign w:val="center"/>
          </w:tcPr>
          <w:p w14:paraId="24E1C073">
            <w:pPr>
              <w:pStyle w:val="43"/>
              <w:bidi w:val="0"/>
              <w:rPr>
                <w:rFonts w:hint="default"/>
              </w:rPr>
            </w:pPr>
            <w:r>
              <w:rPr>
                <w:rFonts w:hint="default"/>
                <w:lang w:val="en-US" w:eastAsia="zh-CN"/>
              </w:rPr>
              <w:t>77</w:t>
            </w:r>
          </w:p>
        </w:tc>
        <w:tc>
          <w:tcPr>
            <w:tcW w:w="858" w:type="pct"/>
            <w:shd w:val="clear" w:color="auto" w:fill="auto"/>
            <w:vAlign w:val="center"/>
          </w:tcPr>
          <w:p w14:paraId="09183F9C">
            <w:pPr>
              <w:pStyle w:val="43"/>
              <w:bidi w:val="0"/>
              <w:rPr>
                <w:rFonts w:hint="default"/>
              </w:rPr>
            </w:pPr>
            <w:r>
              <w:rPr>
                <w:rFonts w:hint="default"/>
                <w:lang w:val="en-US" w:eastAsia="zh-CN"/>
              </w:rPr>
              <w:t>/</w:t>
            </w:r>
          </w:p>
        </w:tc>
      </w:tr>
      <w:tr w14:paraId="04B4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shd w:val="clear" w:color="auto" w:fill="auto"/>
            <w:vAlign w:val="center"/>
          </w:tcPr>
          <w:p w14:paraId="0F991677">
            <w:pPr>
              <w:pStyle w:val="43"/>
              <w:bidi w:val="0"/>
              <w:rPr>
                <w:rFonts w:hint="eastAsia"/>
              </w:rPr>
            </w:pPr>
            <w:r>
              <w:rPr>
                <w:rFonts w:hint="eastAsia"/>
                <w:lang w:val="en-US" w:eastAsia="zh-CN"/>
              </w:rPr>
              <w:t>第二部分 生态保护措施</w:t>
            </w:r>
          </w:p>
        </w:tc>
      </w:tr>
      <w:tr w14:paraId="4F5B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shd w:val="clear" w:color="auto" w:fill="auto"/>
            <w:vAlign w:val="center"/>
          </w:tcPr>
          <w:p w14:paraId="5AD5541D">
            <w:pPr>
              <w:pStyle w:val="43"/>
              <w:bidi w:val="0"/>
              <w:rPr>
                <w:rFonts w:hint="default"/>
              </w:rPr>
            </w:pPr>
            <w:r>
              <w:rPr>
                <w:rFonts w:hint="default"/>
                <w:lang w:val="en-US" w:eastAsia="zh-CN"/>
              </w:rPr>
              <w:t>1</w:t>
            </w:r>
          </w:p>
        </w:tc>
        <w:tc>
          <w:tcPr>
            <w:tcW w:w="418" w:type="pct"/>
            <w:shd w:val="clear" w:color="auto" w:fill="auto"/>
            <w:vAlign w:val="center"/>
          </w:tcPr>
          <w:p w14:paraId="55CC3A41">
            <w:pPr>
              <w:pStyle w:val="43"/>
              <w:bidi w:val="0"/>
              <w:rPr>
                <w:rFonts w:hint="eastAsia"/>
              </w:rPr>
            </w:pPr>
            <w:r>
              <w:rPr>
                <w:rFonts w:hint="eastAsia"/>
                <w:lang w:val="en-US" w:eastAsia="zh-CN"/>
              </w:rPr>
              <w:t>生态</w:t>
            </w:r>
          </w:p>
        </w:tc>
        <w:tc>
          <w:tcPr>
            <w:tcW w:w="2724" w:type="pct"/>
            <w:shd w:val="clear" w:color="auto" w:fill="auto"/>
            <w:vAlign w:val="center"/>
          </w:tcPr>
          <w:p w14:paraId="1F54047E">
            <w:pPr>
              <w:pStyle w:val="43"/>
              <w:bidi w:val="0"/>
              <w:rPr>
                <w:rFonts w:hint="eastAsia"/>
              </w:rPr>
            </w:pPr>
            <w:r>
              <w:rPr>
                <w:rFonts w:hint="eastAsia"/>
                <w:lang w:val="en-US" w:eastAsia="zh-CN"/>
              </w:rPr>
              <w:t>按《矿山地质环境保护与土地复垦方案》进行生态修复。</w:t>
            </w:r>
          </w:p>
        </w:tc>
        <w:tc>
          <w:tcPr>
            <w:tcW w:w="580" w:type="pct"/>
            <w:shd w:val="clear" w:color="auto" w:fill="auto"/>
            <w:vAlign w:val="center"/>
          </w:tcPr>
          <w:p w14:paraId="10B6678E">
            <w:pPr>
              <w:pStyle w:val="43"/>
              <w:bidi w:val="0"/>
              <w:rPr>
                <w:rFonts w:hint="default"/>
              </w:rPr>
            </w:pPr>
            <w:r>
              <w:rPr>
                <w:rFonts w:hint="default"/>
                <w:lang w:val="en-US" w:eastAsia="zh-CN"/>
              </w:rPr>
              <w:t>100</w:t>
            </w:r>
          </w:p>
        </w:tc>
        <w:tc>
          <w:tcPr>
            <w:tcW w:w="858" w:type="pct"/>
            <w:shd w:val="clear" w:color="auto" w:fill="auto"/>
            <w:vAlign w:val="center"/>
          </w:tcPr>
          <w:p w14:paraId="1395573C">
            <w:pPr>
              <w:pStyle w:val="43"/>
              <w:bidi w:val="0"/>
              <w:rPr>
                <w:rFonts w:hint="eastAsia"/>
              </w:rPr>
            </w:pPr>
            <w:r>
              <w:rPr>
                <w:rFonts w:hint="eastAsia"/>
                <w:lang w:val="en-US" w:eastAsia="zh-CN"/>
              </w:rPr>
              <w:t>主体设计提出，环评补充</w:t>
            </w:r>
          </w:p>
        </w:tc>
      </w:tr>
      <w:tr w14:paraId="42DB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8" w:type="pct"/>
            <w:shd w:val="clear" w:color="auto" w:fill="auto"/>
            <w:vAlign w:val="center"/>
          </w:tcPr>
          <w:p w14:paraId="414262CF">
            <w:pPr>
              <w:pStyle w:val="43"/>
              <w:bidi w:val="0"/>
              <w:rPr>
                <w:rFonts w:hint="default"/>
              </w:rPr>
            </w:pPr>
            <w:r>
              <w:rPr>
                <w:rFonts w:hint="default"/>
                <w:lang w:val="en-US" w:eastAsia="zh-CN"/>
              </w:rPr>
              <w:t>2</w:t>
            </w:r>
          </w:p>
        </w:tc>
        <w:tc>
          <w:tcPr>
            <w:tcW w:w="418" w:type="pct"/>
            <w:shd w:val="clear" w:color="auto" w:fill="auto"/>
            <w:vAlign w:val="center"/>
          </w:tcPr>
          <w:p w14:paraId="0837B88D">
            <w:pPr>
              <w:pStyle w:val="43"/>
              <w:bidi w:val="0"/>
              <w:rPr>
                <w:rFonts w:hint="eastAsia"/>
              </w:rPr>
            </w:pPr>
            <w:r>
              <w:rPr>
                <w:rFonts w:hint="eastAsia"/>
                <w:lang w:val="en-US" w:eastAsia="zh-CN"/>
              </w:rPr>
              <w:t>水土流失</w:t>
            </w:r>
          </w:p>
        </w:tc>
        <w:tc>
          <w:tcPr>
            <w:tcW w:w="2724" w:type="pct"/>
            <w:shd w:val="clear" w:color="auto" w:fill="auto"/>
            <w:vAlign w:val="center"/>
          </w:tcPr>
          <w:p w14:paraId="6015B9EB">
            <w:pPr>
              <w:pStyle w:val="43"/>
              <w:bidi w:val="0"/>
              <w:rPr>
                <w:rFonts w:hint="eastAsia"/>
              </w:rPr>
            </w:pPr>
            <w:r>
              <w:rPr>
                <w:rFonts w:hint="eastAsia"/>
                <w:lang w:val="en-US" w:eastAsia="zh-CN"/>
              </w:rPr>
              <w:t>水土流失防治措施</w:t>
            </w:r>
          </w:p>
        </w:tc>
        <w:tc>
          <w:tcPr>
            <w:tcW w:w="580" w:type="pct"/>
            <w:shd w:val="clear" w:color="auto" w:fill="auto"/>
            <w:vAlign w:val="center"/>
          </w:tcPr>
          <w:p w14:paraId="5452A3C1">
            <w:pPr>
              <w:pStyle w:val="43"/>
              <w:bidi w:val="0"/>
              <w:rPr>
                <w:rFonts w:hint="default"/>
              </w:rPr>
            </w:pPr>
            <w:r>
              <w:rPr>
                <w:rFonts w:hint="default"/>
                <w:lang w:val="en-US" w:eastAsia="zh-CN"/>
              </w:rPr>
              <w:t>/</w:t>
            </w:r>
          </w:p>
        </w:tc>
        <w:tc>
          <w:tcPr>
            <w:tcW w:w="858" w:type="pct"/>
            <w:shd w:val="clear" w:color="auto" w:fill="auto"/>
            <w:vAlign w:val="center"/>
          </w:tcPr>
          <w:p w14:paraId="57D53429">
            <w:pPr>
              <w:pStyle w:val="43"/>
              <w:bidi w:val="0"/>
              <w:rPr>
                <w:rFonts w:hint="eastAsia"/>
              </w:rPr>
            </w:pPr>
            <w:r>
              <w:rPr>
                <w:rFonts w:hint="eastAsia"/>
                <w:lang w:val="en-US" w:eastAsia="zh-CN"/>
              </w:rPr>
              <w:t>已纳入水土保持方案投资核算</w:t>
            </w:r>
          </w:p>
        </w:tc>
      </w:tr>
      <w:tr w14:paraId="2C30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61" w:type="pct"/>
            <w:gridSpan w:val="3"/>
            <w:shd w:val="clear" w:color="auto" w:fill="auto"/>
            <w:vAlign w:val="center"/>
          </w:tcPr>
          <w:p w14:paraId="5D28F675">
            <w:pPr>
              <w:pStyle w:val="43"/>
              <w:bidi w:val="0"/>
              <w:rPr>
                <w:rFonts w:hint="eastAsia"/>
                <w:b/>
                <w:bCs/>
              </w:rPr>
            </w:pPr>
            <w:r>
              <w:rPr>
                <w:rFonts w:hint="eastAsia"/>
                <w:b/>
                <w:bCs/>
                <w:lang w:val="en-US" w:eastAsia="zh-CN"/>
              </w:rPr>
              <w:t>小计</w:t>
            </w:r>
          </w:p>
        </w:tc>
        <w:tc>
          <w:tcPr>
            <w:tcW w:w="580" w:type="pct"/>
            <w:shd w:val="clear" w:color="auto" w:fill="auto"/>
            <w:vAlign w:val="center"/>
          </w:tcPr>
          <w:p w14:paraId="5E1B2CCB">
            <w:pPr>
              <w:pStyle w:val="43"/>
              <w:bidi w:val="0"/>
              <w:rPr>
                <w:rFonts w:hint="default"/>
                <w:b/>
                <w:bCs/>
              </w:rPr>
            </w:pPr>
            <w:r>
              <w:rPr>
                <w:rFonts w:hint="default"/>
                <w:b/>
                <w:bCs/>
                <w:lang w:val="en-US" w:eastAsia="zh-CN"/>
              </w:rPr>
              <w:t>100</w:t>
            </w:r>
          </w:p>
        </w:tc>
        <w:tc>
          <w:tcPr>
            <w:tcW w:w="858" w:type="pct"/>
            <w:shd w:val="clear" w:color="auto" w:fill="auto"/>
            <w:vAlign w:val="center"/>
          </w:tcPr>
          <w:p w14:paraId="4F48F22A">
            <w:pPr>
              <w:pStyle w:val="43"/>
              <w:bidi w:val="0"/>
              <w:rPr>
                <w:rFonts w:hint="default"/>
              </w:rPr>
            </w:pPr>
            <w:r>
              <w:rPr>
                <w:rFonts w:hint="default"/>
                <w:lang w:val="en-US" w:eastAsia="zh-CN"/>
              </w:rPr>
              <w:t>/</w:t>
            </w:r>
          </w:p>
        </w:tc>
      </w:tr>
      <w:tr w14:paraId="5EA5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61" w:type="pct"/>
            <w:gridSpan w:val="3"/>
            <w:shd w:val="clear" w:color="auto" w:fill="auto"/>
            <w:vAlign w:val="center"/>
          </w:tcPr>
          <w:p w14:paraId="19CF4389">
            <w:pPr>
              <w:pStyle w:val="43"/>
              <w:bidi w:val="0"/>
              <w:rPr>
                <w:rFonts w:hint="eastAsia"/>
                <w:b/>
                <w:bCs/>
              </w:rPr>
            </w:pPr>
            <w:r>
              <w:rPr>
                <w:rFonts w:hint="eastAsia"/>
                <w:b/>
                <w:bCs/>
                <w:lang w:val="en-US" w:eastAsia="zh-CN"/>
              </w:rPr>
              <w:t>合计</w:t>
            </w:r>
          </w:p>
        </w:tc>
        <w:tc>
          <w:tcPr>
            <w:tcW w:w="580" w:type="pct"/>
            <w:shd w:val="clear" w:color="auto" w:fill="auto"/>
            <w:vAlign w:val="center"/>
          </w:tcPr>
          <w:p w14:paraId="741102E5">
            <w:pPr>
              <w:pStyle w:val="43"/>
              <w:bidi w:val="0"/>
              <w:rPr>
                <w:rFonts w:hint="default"/>
                <w:b/>
                <w:bCs/>
              </w:rPr>
            </w:pPr>
            <w:r>
              <w:rPr>
                <w:rFonts w:hint="default"/>
                <w:b/>
                <w:bCs/>
                <w:lang w:val="en-US" w:eastAsia="zh-CN"/>
              </w:rPr>
              <w:t>181</w:t>
            </w:r>
          </w:p>
        </w:tc>
        <w:tc>
          <w:tcPr>
            <w:tcW w:w="858" w:type="pct"/>
            <w:shd w:val="clear" w:color="auto" w:fill="auto"/>
            <w:vAlign w:val="center"/>
          </w:tcPr>
          <w:p w14:paraId="38B56F4B">
            <w:pPr>
              <w:pStyle w:val="43"/>
              <w:bidi w:val="0"/>
              <w:rPr>
                <w:rFonts w:hint="default"/>
              </w:rPr>
            </w:pPr>
            <w:r>
              <w:rPr>
                <w:rFonts w:hint="default"/>
                <w:lang w:val="en-US" w:eastAsia="zh-CN"/>
              </w:rPr>
              <w:t>/</w:t>
            </w:r>
          </w:p>
        </w:tc>
      </w:tr>
    </w:tbl>
    <w:p w14:paraId="6446E039">
      <w:pPr>
        <w:pStyle w:val="3"/>
        <w:bidi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环境经济损益分析</w:t>
      </w:r>
      <w:bookmarkEnd w:id="648"/>
      <w:bookmarkEnd w:id="649"/>
    </w:p>
    <w:p w14:paraId="43091E59">
      <w:pPr>
        <w:pStyle w:val="41"/>
        <w:bidi w:val="0"/>
        <w:rPr>
          <w:rFonts w:hint="default"/>
          <w:b/>
          <w:bCs/>
        </w:rPr>
      </w:pPr>
      <w:r>
        <w:rPr>
          <w:rFonts w:hint="default"/>
          <w:b/>
          <w:bCs/>
        </w:rPr>
        <w:t>（1）经济效益</w:t>
      </w:r>
    </w:p>
    <w:p w14:paraId="0F9D49AB">
      <w:pPr>
        <w:pStyle w:val="41"/>
        <w:bidi w:val="0"/>
        <w:rPr>
          <w:rFonts w:hint="default"/>
        </w:rPr>
      </w:pPr>
      <w:r>
        <w:rPr>
          <w:rFonts w:hint="default"/>
        </w:rPr>
        <w:t>随着社会经济的迅速发展及人民生活水平的不断提高，各种工程</w:t>
      </w:r>
      <w:r>
        <w:rPr>
          <w:rFonts w:hint="eastAsia"/>
          <w:lang w:val="en-US" w:eastAsia="zh-CN"/>
        </w:rPr>
        <w:t>建筑</w:t>
      </w:r>
      <w:r>
        <w:rPr>
          <w:rFonts w:hint="default"/>
        </w:rPr>
        <w:t>项目日益增多，投资加大，</w:t>
      </w:r>
      <w:r>
        <w:rPr>
          <w:rFonts w:hint="eastAsia"/>
          <w:lang w:val="en-US" w:eastAsia="zh-CN"/>
        </w:rPr>
        <w:t>灰岩矿</w:t>
      </w:r>
      <w:r>
        <w:rPr>
          <w:rFonts w:hint="default"/>
        </w:rPr>
        <w:t>的市场需求量快速上升，使</w:t>
      </w:r>
      <w:r>
        <w:rPr>
          <w:rFonts w:hint="eastAsia"/>
          <w:lang w:val="en-US" w:eastAsia="zh-CN"/>
        </w:rPr>
        <w:t>灰岩矿砂石</w:t>
      </w:r>
      <w:r>
        <w:rPr>
          <w:rFonts w:hint="default"/>
        </w:rPr>
        <w:t>得到广泛开发利用。</w:t>
      </w:r>
      <w:r>
        <w:rPr>
          <w:rFonts w:hint="eastAsia"/>
          <w:lang w:val="en-US" w:eastAsia="zh-CN"/>
        </w:rPr>
        <w:t>项目矿层</w:t>
      </w:r>
      <w:r>
        <w:rPr>
          <w:rFonts w:hint="default"/>
        </w:rPr>
        <w:t>层位较稳定、连续，矿石</w:t>
      </w:r>
      <w:r>
        <w:rPr>
          <w:rFonts w:hint="eastAsia"/>
          <w:lang w:eastAsia="zh-CN"/>
        </w:rPr>
        <w:t>成分</w:t>
      </w:r>
      <w:r>
        <w:rPr>
          <w:rFonts w:hint="default"/>
        </w:rPr>
        <w:t>及质量均达到规定指标</w:t>
      </w:r>
      <w:r>
        <w:rPr>
          <w:rFonts w:hint="eastAsia"/>
          <w:lang w:eastAsia="zh-CN"/>
        </w:rPr>
        <w:t>，</w:t>
      </w:r>
      <w:r>
        <w:rPr>
          <w:rFonts w:hint="default"/>
        </w:rPr>
        <w:t>可开采、加工生产，属其他未列明非金属矿矿产，资源储量可保证矿山持续开采多年，资源开发及市场前景较好。矿山交通方便，因此，本矿床开发的外部条件较好。矿山除可以获得较好的经济效益外，在采矿过程中，还可以解决本地部分剩余劳动力的就业问题，对该</w:t>
      </w:r>
      <w:r>
        <w:rPr>
          <w:rFonts w:hint="eastAsia"/>
          <w:lang w:val="en-US" w:eastAsia="zh-CN"/>
        </w:rPr>
        <w:t>灰岩矿</w:t>
      </w:r>
      <w:r>
        <w:rPr>
          <w:rFonts w:hint="default"/>
        </w:rPr>
        <w:t>的开发利用，不仅具有一定的经济效益和社会效益，而且还能带动其它经济的发展。</w:t>
      </w:r>
    </w:p>
    <w:p w14:paraId="7FB85478">
      <w:pPr>
        <w:pStyle w:val="41"/>
        <w:bidi w:val="0"/>
        <w:rPr>
          <w:rFonts w:hint="default"/>
          <w:b/>
          <w:bCs/>
        </w:rPr>
      </w:pPr>
      <w:r>
        <w:rPr>
          <w:rFonts w:hint="default"/>
          <w:b/>
          <w:bCs/>
        </w:rPr>
        <w:t>（2）社会效益</w:t>
      </w:r>
    </w:p>
    <w:p w14:paraId="6347A446">
      <w:pPr>
        <w:pStyle w:val="41"/>
        <w:bidi w:val="0"/>
        <w:rPr>
          <w:rFonts w:hint="default"/>
        </w:rPr>
      </w:pPr>
      <w:r>
        <w:rPr>
          <w:rFonts w:hint="eastAsia"/>
          <w:lang w:val="en-US" w:eastAsia="zh-CN"/>
        </w:rPr>
        <w:t>项目扩建后</w:t>
      </w:r>
      <w:r>
        <w:rPr>
          <w:rFonts w:hint="default"/>
        </w:rPr>
        <w:t>有利于将</w:t>
      </w:r>
      <w:r>
        <w:rPr>
          <w:rFonts w:hint="eastAsia"/>
          <w:lang w:eastAsia="zh-CN"/>
        </w:rPr>
        <w:t>砚山县</w:t>
      </w:r>
      <w:r>
        <w:rPr>
          <w:rFonts w:hint="default"/>
        </w:rPr>
        <w:t>的资源优势转化为经济优势，随着矿山的投产，为</w:t>
      </w:r>
      <w:r>
        <w:rPr>
          <w:rFonts w:hint="eastAsia"/>
          <w:lang w:val="en-US" w:eastAsia="zh-CN"/>
        </w:rPr>
        <w:t>灰岩矿</w:t>
      </w:r>
      <w:r>
        <w:rPr>
          <w:rFonts w:hint="default"/>
        </w:rPr>
        <w:t>矿产行业生产服务的辅助及附属企业也会随之发展起来</w:t>
      </w:r>
      <w:r>
        <w:rPr>
          <w:rFonts w:hint="eastAsia"/>
          <w:lang w:eastAsia="zh-CN"/>
        </w:rPr>
        <w:t>，有</w:t>
      </w:r>
      <w:r>
        <w:rPr>
          <w:rFonts w:hint="default"/>
        </w:rPr>
        <w:t>利于安置社会富余</w:t>
      </w:r>
      <w:r>
        <w:rPr>
          <w:rFonts w:hint="eastAsia"/>
          <w:lang w:eastAsia="zh-CN"/>
        </w:rPr>
        <w:t>劳动</w:t>
      </w:r>
      <w:r>
        <w:rPr>
          <w:rFonts w:hint="default"/>
        </w:rPr>
        <w:t>力，对增加当地群众的收入，提高生活水平有着积极的促进作用，社会效益明显。</w:t>
      </w:r>
      <w:bookmarkEnd w:id="643"/>
      <w:bookmarkEnd w:id="644"/>
      <w:bookmarkEnd w:id="645"/>
      <w:bookmarkEnd w:id="646"/>
      <w:bookmarkEnd w:id="647"/>
    </w:p>
    <w:p w14:paraId="702C3831">
      <w:pPr>
        <w:pStyle w:val="3"/>
        <w:bidi w:val="0"/>
        <w:rPr>
          <w:rFonts w:hint="default" w:ascii="Times New Roman" w:hAnsi="Times New Roman" w:cs="Times New Roman"/>
          <w:color w:val="000000" w:themeColor="text1"/>
          <w:highlight w:val="none"/>
          <w14:textFill>
            <w14:solidFill>
              <w14:schemeClr w14:val="tx1"/>
            </w14:solidFill>
          </w14:textFill>
        </w:rPr>
      </w:pPr>
      <w:bookmarkStart w:id="650" w:name="_Toc9929"/>
      <w:bookmarkStart w:id="651" w:name="_Toc11689"/>
      <w:bookmarkStart w:id="652" w:name="_Toc51158283"/>
      <w:bookmarkStart w:id="653" w:name="_Toc11123"/>
      <w:r>
        <w:rPr>
          <w:rFonts w:hint="default" w:ascii="Times New Roman" w:hAnsi="Times New Roman" w:cs="Times New Roman"/>
          <w:color w:val="000000" w:themeColor="text1"/>
          <w:highlight w:val="none"/>
          <w14:textFill>
            <w14:solidFill>
              <w14:schemeClr w14:val="tx1"/>
            </w14:solidFill>
          </w14:textFill>
        </w:rPr>
        <w:t>经济损益小结</w:t>
      </w:r>
      <w:bookmarkEnd w:id="650"/>
      <w:bookmarkEnd w:id="651"/>
      <w:bookmarkEnd w:id="652"/>
      <w:bookmarkEnd w:id="653"/>
    </w:p>
    <w:p w14:paraId="2322EB73">
      <w:pPr>
        <w:pStyle w:val="41"/>
        <w:bidi w:val="0"/>
        <w:rPr>
          <w:rFonts w:hint="default"/>
        </w:rPr>
      </w:pPr>
      <w:r>
        <w:rPr>
          <w:rFonts w:hint="default"/>
        </w:rPr>
        <w:t>根据分析，</w:t>
      </w:r>
      <w:r>
        <w:rPr>
          <w:rFonts w:hint="eastAsia"/>
          <w:lang w:val="en-US" w:eastAsia="zh-CN"/>
        </w:rPr>
        <w:t>本项目</w:t>
      </w:r>
      <w:r>
        <w:rPr>
          <w:rFonts w:hint="default"/>
        </w:rPr>
        <w:t>采取了相应的环保措施，项目的环保投资</w:t>
      </w:r>
      <w:r>
        <w:rPr>
          <w:rFonts w:hint="eastAsia"/>
          <w:lang w:val="en-US" w:eastAsia="zh-CN"/>
        </w:rPr>
        <w:t>181万</w:t>
      </w:r>
      <w:r>
        <w:rPr>
          <w:rFonts w:hint="default"/>
        </w:rPr>
        <w:t>元。通过采取各种污染治理措施后，项目各项污染物的排放均可达到相应排放标准。由于区域污染治理基础设施完善、项目运营期污染物产生量较少，区域环境质量能够达标，不会导致当地的环境状况发生明显改变。</w:t>
      </w:r>
    </w:p>
    <w:p w14:paraId="1F1EB8AD">
      <w:pPr>
        <w:pStyle w:val="41"/>
        <w:bidi w:val="0"/>
        <w:rPr>
          <w:rFonts w:hint="default"/>
        </w:rPr>
      </w:pPr>
      <w:r>
        <w:rPr>
          <w:rFonts w:hint="default"/>
        </w:rPr>
        <w:t>总体来说，通过采取相应的环境保护措施以后，减轻环境污染影响，从而带来一定的环境效益，而环保投资本身也能产生一定的经济效益，符合经济与环境协调发展的原则。</w:t>
      </w:r>
    </w:p>
    <w:p w14:paraId="5046AF99">
      <w:pPr>
        <w:pStyle w:val="2"/>
        <w:bidi w:val="0"/>
        <w:rPr>
          <w:rFonts w:hint="default" w:ascii="Times New Roman" w:hAnsi="Times New Roman" w:cs="Times New Roman"/>
          <w:color w:val="000000" w:themeColor="text1"/>
          <w:highlight w:val="none"/>
          <w14:textFill>
            <w14:solidFill>
              <w14:schemeClr w14:val="tx1"/>
            </w14:solidFill>
          </w14:textFill>
        </w:rPr>
      </w:pPr>
      <w:bookmarkStart w:id="654" w:name="_Toc7023"/>
      <w:r>
        <w:rPr>
          <w:rFonts w:hint="default" w:ascii="Times New Roman" w:hAnsi="Times New Roman" w:cs="Times New Roman"/>
          <w:color w:val="000000" w:themeColor="text1"/>
          <w:highlight w:val="none"/>
          <w14:textFill>
            <w14:solidFill>
              <w14:schemeClr w14:val="tx1"/>
            </w14:solidFill>
          </w14:textFill>
        </w:rPr>
        <w:t>评价结论</w:t>
      </w:r>
      <w:bookmarkEnd w:id="654"/>
    </w:p>
    <w:p w14:paraId="0F77DC16">
      <w:pPr>
        <w:pStyle w:val="3"/>
        <w:bidi w:val="0"/>
        <w:rPr>
          <w:rFonts w:hint="default" w:ascii="Times New Roman" w:hAnsi="Times New Roman" w:cs="Times New Roman"/>
          <w:color w:val="000000" w:themeColor="text1"/>
          <w:highlight w:val="none"/>
          <w14:textFill>
            <w14:solidFill>
              <w14:schemeClr w14:val="tx1"/>
            </w14:solidFill>
          </w14:textFill>
        </w:rPr>
      </w:pPr>
      <w:bookmarkStart w:id="655" w:name="_Toc17869"/>
      <w:r>
        <w:rPr>
          <w:rFonts w:hint="default" w:ascii="Times New Roman" w:hAnsi="Times New Roman" w:cs="Times New Roman"/>
          <w:color w:val="000000" w:themeColor="text1"/>
          <w:highlight w:val="none"/>
          <w14:textFill>
            <w14:solidFill>
              <w14:schemeClr w14:val="tx1"/>
            </w14:solidFill>
          </w14:textFill>
        </w:rPr>
        <w:t>工程概况</w:t>
      </w:r>
      <w:bookmarkEnd w:id="655"/>
    </w:p>
    <w:p w14:paraId="71CC7FC7">
      <w:pPr>
        <w:pStyle w:val="41"/>
        <w:bidi w:val="0"/>
        <w:rPr>
          <w:rFonts w:hint="default"/>
          <w:lang w:val="en-US" w:eastAsia="zh-CN"/>
        </w:rPr>
      </w:pPr>
      <w:r>
        <w:rPr>
          <w:rFonts w:hint="eastAsia"/>
          <w:lang w:val="en-US" w:eastAsia="zh-CN"/>
        </w:rPr>
        <w:t>砚山县红舍克东山石灰岩矿</w:t>
      </w:r>
      <w:r>
        <w:rPr>
          <w:rFonts w:hint="default"/>
          <w:lang w:val="en-US" w:eastAsia="zh-CN"/>
        </w:rPr>
        <w:t>建设项目位于</w:t>
      </w:r>
      <w:r>
        <w:rPr>
          <w:rFonts w:hint="eastAsia"/>
          <w:lang w:val="en-US" w:eastAsia="zh-CN"/>
        </w:rPr>
        <w:t>云南省文山州砚山县江那镇铳卡石门坎</w:t>
      </w:r>
      <w:r>
        <w:rPr>
          <w:rFonts w:hint="default"/>
          <w:lang w:val="en-US" w:eastAsia="zh-CN"/>
        </w:rPr>
        <w:t>，项目矿山开采矿种为</w:t>
      </w:r>
      <w:r>
        <w:rPr>
          <w:rFonts w:hint="eastAsia"/>
          <w:lang w:val="en-US" w:eastAsia="zh-CN"/>
        </w:rPr>
        <w:t>石</w:t>
      </w:r>
      <w:r>
        <w:rPr>
          <w:rFonts w:hint="default"/>
          <w:lang w:val="en-US" w:eastAsia="zh-CN"/>
        </w:rPr>
        <w:t>灰岩矿</w:t>
      </w:r>
      <w:r>
        <w:rPr>
          <w:rFonts w:hint="default"/>
        </w:rPr>
        <w:t>，</w:t>
      </w:r>
      <w:r>
        <w:rPr>
          <w:rFonts w:hint="default"/>
          <w:lang w:val="en-US" w:eastAsia="zh-CN"/>
        </w:rPr>
        <w:t>开采规模</w:t>
      </w:r>
      <w:r>
        <w:rPr>
          <w:rFonts w:hint="eastAsia"/>
          <w:lang w:val="en-US" w:eastAsia="zh-CN"/>
        </w:rPr>
        <w:t>50</w:t>
      </w:r>
      <w:r>
        <w:rPr>
          <w:rFonts w:hint="default"/>
          <w:lang w:val="en-US" w:eastAsia="zh-CN"/>
        </w:rPr>
        <w:t>万吨/a，开采方式为露天开采，矿山服务年限为</w:t>
      </w:r>
      <w:r>
        <w:rPr>
          <w:rFonts w:hint="eastAsia"/>
          <w:lang w:val="en-US" w:eastAsia="zh-CN"/>
        </w:rPr>
        <w:t>35.1</w:t>
      </w:r>
      <w:r>
        <w:rPr>
          <w:rFonts w:hint="default"/>
          <w:lang w:val="en-US" w:eastAsia="zh-CN"/>
        </w:rPr>
        <w:t>年，</w:t>
      </w:r>
      <w:r>
        <w:t>矿区范围由</w:t>
      </w:r>
      <w:r>
        <w:rPr>
          <w:rFonts w:hint="eastAsia"/>
          <w:lang w:val="en-US" w:eastAsia="zh-CN"/>
        </w:rPr>
        <w:t>13</w:t>
      </w:r>
      <w:r>
        <w:t>个拐点圈定，矿区面积为0.2895km2，开采标高为19</w:t>
      </w:r>
      <w:r>
        <w:rPr>
          <w:rFonts w:hint="eastAsia"/>
          <w:lang w:val="en-US" w:eastAsia="zh-CN"/>
        </w:rPr>
        <w:t>6</w:t>
      </w:r>
      <w:r>
        <w:t>0m</w:t>
      </w:r>
      <w:r>
        <w:rPr>
          <w:rFonts w:hint="eastAsia"/>
          <w:lang w:eastAsia="zh-CN"/>
        </w:rPr>
        <w:t>～</w:t>
      </w:r>
      <w:r>
        <w:t>1</w:t>
      </w:r>
      <w:r>
        <w:rPr>
          <w:rFonts w:hint="eastAsia"/>
          <w:lang w:val="en-US" w:eastAsia="zh-CN"/>
        </w:rPr>
        <w:t>565</w:t>
      </w:r>
      <w:r>
        <w:t>m</w:t>
      </w:r>
      <w:r>
        <w:rPr>
          <w:rFonts w:hint="eastAsia"/>
          <w:lang w:eastAsia="zh-CN"/>
        </w:rPr>
        <w:t>。</w:t>
      </w:r>
      <w:r>
        <w:rPr>
          <w:rFonts w:hint="eastAsia"/>
          <w:lang w:val="en-US" w:eastAsia="zh-CN"/>
        </w:rPr>
        <w:t>加工区主要进行石子、碎石、砂子生产，其中石子用于建设单位电石厂生产，碎石和砂子外售</w:t>
      </w:r>
      <w:r>
        <w:rPr>
          <w:rFonts w:hint="default"/>
          <w:lang w:val="en-US" w:eastAsia="zh-CN"/>
        </w:rPr>
        <w:t>。设计年生产能力</w:t>
      </w:r>
      <w:r>
        <w:rPr>
          <w:rFonts w:hint="eastAsia"/>
          <w:lang w:val="en-US" w:eastAsia="zh-CN"/>
        </w:rPr>
        <w:t>50</w:t>
      </w:r>
      <w:r>
        <w:rPr>
          <w:rFonts w:hint="default"/>
          <w:lang w:val="en-US" w:eastAsia="zh-CN"/>
        </w:rPr>
        <w:t>万吨，以矿山开采的灰岩矿作为生产原料。</w:t>
      </w:r>
      <w:r>
        <w:rPr>
          <w:rFonts w:hint="eastAsia"/>
          <w:lang w:val="en-US" w:eastAsia="zh-CN"/>
        </w:rPr>
        <w:t>项目</w:t>
      </w:r>
      <w:r>
        <w:rPr>
          <w:rFonts w:hint="default"/>
          <w:lang w:val="en-US" w:eastAsia="zh-CN"/>
        </w:rPr>
        <w:t>总投资</w:t>
      </w:r>
      <w:r>
        <w:rPr>
          <w:rFonts w:hint="eastAsia"/>
          <w:lang w:val="en-US" w:eastAsia="zh-CN"/>
        </w:rPr>
        <w:t>1000</w:t>
      </w:r>
      <w:r>
        <w:rPr>
          <w:rFonts w:hint="default"/>
          <w:lang w:val="en-US" w:eastAsia="zh-CN"/>
        </w:rPr>
        <w:t>万元</w:t>
      </w:r>
      <w:r>
        <w:rPr>
          <w:rFonts w:hint="eastAsia"/>
          <w:lang w:val="en-US" w:eastAsia="zh-CN"/>
        </w:rPr>
        <w:t>，其中本次评价估算的环保投资为181万元，占总投资的18.1%</w:t>
      </w:r>
      <w:r>
        <w:rPr>
          <w:rFonts w:hint="default"/>
          <w:lang w:val="en-US" w:eastAsia="zh-CN"/>
        </w:rPr>
        <w:t>。</w:t>
      </w:r>
    </w:p>
    <w:p w14:paraId="04A6009A">
      <w:pPr>
        <w:pStyle w:val="3"/>
        <w:bidi w:val="0"/>
        <w:rPr>
          <w:rFonts w:hint="default" w:ascii="Times New Roman" w:hAnsi="Times New Roman" w:cs="Times New Roman"/>
          <w:color w:val="000000" w:themeColor="text1"/>
          <w:highlight w:val="none"/>
          <w14:textFill>
            <w14:solidFill>
              <w14:schemeClr w14:val="tx1"/>
            </w14:solidFill>
          </w14:textFill>
        </w:rPr>
      </w:pPr>
      <w:bookmarkStart w:id="656" w:name="_Toc31892"/>
      <w:r>
        <w:rPr>
          <w:rFonts w:hint="default" w:ascii="Times New Roman" w:hAnsi="Times New Roman" w:cs="Times New Roman"/>
          <w:color w:val="000000" w:themeColor="text1"/>
          <w:highlight w:val="none"/>
          <w14:textFill>
            <w14:solidFill>
              <w14:schemeClr w14:val="tx1"/>
            </w14:solidFill>
          </w14:textFill>
        </w:rPr>
        <w:t>相关政策、规划符合性</w:t>
      </w:r>
      <w:bookmarkEnd w:id="656"/>
    </w:p>
    <w:p w14:paraId="3D1D9F96">
      <w:pPr>
        <w:pStyle w:val="41"/>
        <w:bidi w:val="0"/>
        <w:rPr>
          <w:rFonts w:hint="default"/>
          <w:lang w:val="en-US" w:eastAsia="zh-CN"/>
        </w:rPr>
      </w:pPr>
      <w:r>
        <w:rPr>
          <w:rFonts w:hint="default"/>
          <w:lang w:val="en-US" w:eastAsia="zh-CN"/>
        </w:rPr>
        <w:t>本项目属于</w:t>
      </w:r>
      <w:r>
        <w:rPr>
          <w:rFonts w:hint="eastAsia"/>
          <w:lang w:val="en-US" w:eastAsia="zh-CN"/>
        </w:rPr>
        <w:t>《</w:t>
      </w:r>
      <w:r>
        <w:rPr>
          <w:rFonts w:hint="default"/>
          <w:lang w:val="en-US" w:eastAsia="zh-CN"/>
        </w:rPr>
        <w:t>国民经济行业与代码》中建筑装饰用石开采（B1012）。项目未在</w:t>
      </w:r>
      <w:r>
        <w:rPr>
          <w:rFonts w:hint="eastAsia"/>
          <w:lang w:val="en-US" w:eastAsia="zh-CN"/>
        </w:rPr>
        <w:t>《</w:t>
      </w:r>
      <w:r>
        <w:rPr>
          <w:rFonts w:hint="default"/>
          <w:lang w:val="en-US" w:eastAsia="zh-CN"/>
        </w:rPr>
        <w:t>产业结构调整指导目录（2024年本）》鼓励类、限制类和淘汰类所列具体类别中，根据国务院</w:t>
      </w:r>
      <w:r>
        <w:rPr>
          <w:rFonts w:hint="eastAsia"/>
          <w:lang w:val="en-US" w:eastAsia="zh-CN"/>
        </w:rPr>
        <w:t>《</w:t>
      </w:r>
      <w:r>
        <w:rPr>
          <w:rFonts w:hint="default"/>
          <w:lang w:val="en-US" w:eastAsia="zh-CN"/>
        </w:rPr>
        <w:t>促进产业结构调整暂行规定》（国发〔2005〕40号）第十三条</w:t>
      </w:r>
      <w:r>
        <w:rPr>
          <w:rFonts w:hint="eastAsia"/>
          <w:lang w:val="en-US" w:eastAsia="zh-CN"/>
        </w:rPr>
        <w:t>“</w:t>
      </w:r>
      <w:r>
        <w:rPr>
          <w:rFonts w:hint="default"/>
          <w:lang w:val="en-US" w:eastAsia="zh-CN"/>
        </w:rPr>
        <w:t>不属于鼓励类、限制类及淘汰类，且符合国家有关</w:t>
      </w:r>
      <w:r>
        <w:rPr>
          <w:rFonts w:hint="eastAsia"/>
          <w:lang w:val="en-US" w:eastAsia="zh-CN"/>
        </w:rPr>
        <w:t>法律法规</w:t>
      </w:r>
      <w:r>
        <w:rPr>
          <w:rFonts w:hint="default"/>
          <w:lang w:val="en-US" w:eastAsia="zh-CN"/>
        </w:rPr>
        <w:t>和政策规定的，可视为允许类</w:t>
      </w:r>
      <w:r>
        <w:rPr>
          <w:rFonts w:hint="eastAsia"/>
          <w:lang w:val="en-US" w:eastAsia="zh-CN"/>
        </w:rPr>
        <w:t>”</w:t>
      </w:r>
      <w:r>
        <w:rPr>
          <w:rFonts w:hint="default"/>
          <w:lang w:val="en-US" w:eastAsia="zh-CN"/>
        </w:rPr>
        <w:t>。目于2025年9月4日取得云南省固定资产投资项目备案证（项目代码：2509-532928-04-01-969112）。综上所述，项目符合国家及地方产业政策。</w:t>
      </w:r>
    </w:p>
    <w:p w14:paraId="65DEEB32">
      <w:pPr>
        <w:pStyle w:val="41"/>
        <w:bidi w:val="0"/>
        <w:rPr>
          <w:rFonts w:hint="default"/>
          <w:lang w:val="en-US" w:eastAsia="zh-CN"/>
        </w:rPr>
      </w:pPr>
      <w:r>
        <w:rPr>
          <w:rFonts w:hint="default"/>
          <w:lang w:val="en-US" w:eastAsia="zh-CN"/>
        </w:rPr>
        <w:t>根据分析，项目符合国家地方法律法规、区域</w:t>
      </w:r>
      <w:r>
        <w:rPr>
          <w:rFonts w:hint="eastAsia"/>
          <w:lang w:val="en-US" w:eastAsia="zh-CN"/>
        </w:rPr>
        <w:t>生态环境分区管控，符合</w:t>
      </w:r>
      <w:r>
        <w:rPr>
          <w:rFonts w:hint="eastAsia"/>
        </w:rPr>
        <w:t>区域</w:t>
      </w:r>
      <w:r>
        <w:rPr>
          <w:rFonts w:hint="eastAsia"/>
          <w:lang w:val="en-US" w:eastAsia="zh-CN"/>
        </w:rPr>
        <w:t>主体功能、生态功能规划及生物多样性保护政策，符合</w:t>
      </w:r>
      <w:r>
        <w:rPr>
          <w:rFonts w:hint="default"/>
          <w:lang w:val="en-US" w:eastAsia="zh-CN"/>
        </w:rPr>
        <w:t>区域</w:t>
      </w:r>
      <w:r>
        <w:rPr>
          <w:rFonts w:hint="eastAsia"/>
          <w:lang w:val="en-US" w:eastAsia="zh-CN"/>
        </w:rPr>
        <w:t>“</w:t>
      </w:r>
      <w:r>
        <w:rPr>
          <w:rFonts w:hint="default"/>
          <w:lang w:val="en-US" w:eastAsia="zh-CN"/>
        </w:rPr>
        <w:t>非煤矿山</w:t>
      </w:r>
      <w:r>
        <w:rPr>
          <w:rFonts w:hint="eastAsia"/>
          <w:lang w:val="en-US" w:eastAsia="zh-CN"/>
        </w:rPr>
        <w:t>”</w:t>
      </w:r>
      <w:r>
        <w:rPr>
          <w:rFonts w:hint="default"/>
          <w:lang w:val="en-US" w:eastAsia="zh-CN"/>
        </w:rPr>
        <w:t>转型升级以及土砂石开采相关政策符合性</w:t>
      </w:r>
      <w:r>
        <w:rPr>
          <w:rFonts w:hint="eastAsia"/>
          <w:lang w:val="en-US" w:eastAsia="zh-CN"/>
        </w:rPr>
        <w:t>，符合《</w:t>
      </w:r>
      <w:r>
        <w:rPr>
          <w:rFonts w:hint="default"/>
          <w:lang w:val="en-US" w:eastAsia="zh-CN"/>
        </w:rPr>
        <w:t>云南省矿产资源总体规划（2021-2025年）</w:t>
      </w:r>
      <w:r>
        <w:rPr>
          <w:rFonts w:hint="eastAsia"/>
          <w:lang w:val="en-US" w:eastAsia="zh-CN"/>
        </w:rPr>
        <w:t>》《砚山县</w:t>
      </w:r>
      <w:r>
        <w:rPr>
          <w:rFonts w:hint="default"/>
          <w:lang w:val="en-US" w:eastAsia="zh-CN"/>
        </w:rPr>
        <w:t>矿产资源总体规划（2021-2025年）》等区域</w:t>
      </w:r>
      <w:r>
        <w:rPr>
          <w:rFonts w:hint="eastAsia"/>
          <w:lang w:val="en-US" w:eastAsia="zh-CN"/>
        </w:rPr>
        <w:t>矿产资源</w:t>
      </w:r>
      <w:r>
        <w:rPr>
          <w:rFonts w:hint="default"/>
          <w:lang w:val="en-US" w:eastAsia="zh-CN"/>
        </w:rPr>
        <w:t>规划</w:t>
      </w:r>
      <w:r>
        <w:rPr>
          <w:rFonts w:hint="eastAsia"/>
          <w:lang w:val="en-US" w:eastAsia="zh-CN"/>
        </w:rPr>
        <w:t>，符合各项矿山生态环境保护政策、规范，符合长江经济带保护政策、</w:t>
      </w:r>
      <w:r>
        <w:rPr>
          <w:rFonts w:hint="default"/>
          <w:lang w:val="en-US" w:eastAsia="zh-CN"/>
        </w:rPr>
        <w:t>各类</w:t>
      </w:r>
      <w:r>
        <w:rPr>
          <w:rFonts w:hint="eastAsia"/>
          <w:lang w:val="en-US" w:eastAsia="zh-CN"/>
        </w:rPr>
        <w:t>“</w:t>
      </w:r>
      <w:r>
        <w:rPr>
          <w:rFonts w:hint="default"/>
          <w:lang w:val="en-US" w:eastAsia="zh-CN"/>
        </w:rPr>
        <w:t>十四五</w:t>
      </w:r>
      <w:r>
        <w:rPr>
          <w:rFonts w:hint="eastAsia"/>
          <w:lang w:val="en-US" w:eastAsia="zh-CN"/>
        </w:rPr>
        <w:t>”</w:t>
      </w:r>
      <w:r>
        <w:rPr>
          <w:rFonts w:hint="default"/>
          <w:lang w:val="en-US" w:eastAsia="zh-CN"/>
        </w:rPr>
        <w:t>规划。</w:t>
      </w:r>
    </w:p>
    <w:p w14:paraId="56901F97">
      <w:pPr>
        <w:pStyle w:val="3"/>
        <w:bidi w:val="0"/>
        <w:rPr>
          <w:rFonts w:hint="default" w:ascii="Times New Roman" w:hAnsi="Times New Roman" w:cs="Times New Roman"/>
          <w:color w:val="000000" w:themeColor="text1"/>
          <w:highlight w:val="none"/>
          <w14:textFill>
            <w14:solidFill>
              <w14:schemeClr w14:val="tx1"/>
            </w14:solidFill>
          </w14:textFill>
        </w:rPr>
      </w:pPr>
      <w:bookmarkStart w:id="657" w:name="_Toc17354"/>
      <w:r>
        <w:rPr>
          <w:rFonts w:hint="default" w:ascii="Times New Roman" w:hAnsi="Times New Roman" w:cs="Times New Roman"/>
          <w:color w:val="000000" w:themeColor="text1"/>
          <w:highlight w:val="none"/>
          <w14:textFill>
            <w14:solidFill>
              <w14:schemeClr w14:val="tx1"/>
            </w14:solidFill>
          </w14:textFill>
        </w:rPr>
        <w:t>选址合理性</w:t>
      </w:r>
      <w:bookmarkEnd w:id="657"/>
    </w:p>
    <w:p w14:paraId="235A2A0E">
      <w:pPr>
        <w:pStyle w:val="41"/>
        <w:bidi w:val="0"/>
        <w:rPr>
          <w:rFonts w:hint="default"/>
          <w:lang w:val="en-US" w:eastAsia="zh-CN"/>
        </w:rPr>
      </w:pPr>
      <w:r>
        <w:rPr>
          <w:rFonts w:hint="default"/>
          <w:lang w:val="en-US" w:eastAsia="zh-CN"/>
        </w:rPr>
        <w:t>根据</w:t>
      </w:r>
      <w:r>
        <w:rPr>
          <w:rFonts w:hint="eastAsia"/>
          <w:lang w:val="en-US" w:eastAsia="zh-CN"/>
        </w:rPr>
        <w:t>砚山县自然资源局提供的项目“三区三线”占用查询回函，项目</w:t>
      </w:r>
      <w:r>
        <w:rPr>
          <w:rFonts w:hint="default"/>
          <w:lang w:val="en-US" w:eastAsia="zh-CN"/>
        </w:rPr>
        <w:t>矿区范围不</w:t>
      </w:r>
      <w:r>
        <w:rPr>
          <w:rFonts w:hint="eastAsia"/>
          <w:lang w:val="en-US" w:eastAsia="zh-CN"/>
        </w:rPr>
        <w:t>涉及</w:t>
      </w:r>
      <w:r>
        <w:rPr>
          <w:rFonts w:hint="default"/>
          <w:lang w:val="en-US" w:eastAsia="zh-CN"/>
        </w:rPr>
        <w:t>自然保护区、国家公园、风景名胜区、森林公园、水资源保护区、地质公园、地质遗迹、不占生态红线、</w:t>
      </w:r>
      <w:r>
        <w:rPr>
          <w:rFonts w:hint="eastAsia"/>
          <w:lang w:val="en-US" w:eastAsia="zh-CN"/>
        </w:rPr>
        <w:t>耕地及永久基本农田，项目不</w:t>
      </w:r>
      <w:r>
        <w:rPr>
          <w:rFonts w:hint="default"/>
          <w:lang w:val="zh-CN" w:eastAsia="zh-CN"/>
        </w:rPr>
        <w:t>在重要道路、航道两侧及重要生态环境敏感目标可视范围内</w:t>
      </w:r>
      <w:r>
        <w:rPr>
          <w:rFonts w:hint="default"/>
          <w:lang w:val="en-US" w:eastAsia="zh-CN"/>
        </w:rPr>
        <w:t>。项目区未在城市规划区、风景名胜区、重要水源区、重要地质遗迹区范围内</w:t>
      </w:r>
      <w:r>
        <w:rPr>
          <w:rFonts w:hint="eastAsia"/>
          <w:lang w:val="en-US" w:eastAsia="zh-CN"/>
        </w:rPr>
        <w:t>，</w:t>
      </w:r>
      <w:r>
        <w:rPr>
          <w:rFonts w:hint="default"/>
          <w:lang w:val="en-US" w:eastAsia="zh-CN"/>
        </w:rPr>
        <w:t>项目的建设</w:t>
      </w:r>
      <w:r>
        <w:rPr>
          <w:rFonts w:hint="eastAsia"/>
          <w:lang w:val="en-US" w:eastAsia="zh-CN"/>
        </w:rPr>
        <w:t>符合环境分区管理要求、符合相关法律法规、当地矿产资源规划等</w:t>
      </w:r>
      <w:r>
        <w:rPr>
          <w:rFonts w:hint="default"/>
          <w:lang w:val="en-US" w:eastAsia="zh-CN"/>
        </w:rPr>
        <w:t>。</w:t>
      </w:r>
    </w:p>
    <w:p w14:paraId="77574604">
      <w:pPr>
        <w:pStyle w:val="41"/>
        <w:bidi w:val="0"/>
        <w:rPr>
          <w:rFonts w:hint="default"/>
          <w:lang w:val="en-US" w:eastAsia="zh-CN"/>
        </w:rPr>
      </w:pPr>
      <w:r>
        <w:rPr>
          <w:rFonts w:hint="eastAsia"/>
          <w:lang w:val="en-US" w:eastAsia="zh-CN"/>
        </w:rPr>
        <w:t>项目为建筑用灰岩矿开采加工，开采方式采用露天开采。运营期项目采取环评提出的各项污染防治措施后，废气、废水、噪声均能达标排放，固体废物均能得到妥善处置，环境风险可接受，项目建设对周边环境影响较小</w:t>
      </w:r>
      <w:r>
        <w:rPr>
          <w:rFonts w:hint="default"/>
          <w:lang w:val="en-US" w:eastAsia="zh-CN"/>
        </w:rPr>
        <w:t>。</w:t>
      </w:r>
      <w:r>
        <w:rPr>
          <w:rFonts w:hint="eastAsia"/>
          <w:lang w:val="en-US" w:eastAsia="zh-CN"/>
        </w:rPr>
        <w:t>其次，建设单位已委托有资质单位进行《矿山地质环境保护与土地复垦方案》编制及《水土保持方案》，后续将按照相关要求，进行水土保持和土地复垦，闭矿后将对整个矿区进行生态修复，可降低对生态环境的影响</w:t>
      </w:r>
      <w:r>
        <w:rPr>
          <w:rFonts w:hint="default"/>
          <w:lang w:val="en-US" w:eastAsia="zh-CN"/>
        </w:rPr>
        <w:t>。</w:t>
      </w:r>
    </w:p>
    <w:p w14:paraId="24FC60EE">
      <w:pPr>
        <w:pStyle w:val="41"/>
        <w:bidi w:val="0"/>
        <w:rPr>
          <w:rFonts w:hint="default"/>
        </w:rPr>
      </w:pPr>
      <w:r>
        <w:rPr>
          <w:rFonts w:hint="default"/>
          <w:lang w:val="en-US" w:eastAsia="zh-CN"/>
        </w:rPr>
        <w:t>综上分析</w:t>
      </w:r>
      <w:r>
        <w:rPr>
          <w:rFonts w:hint="eastAsia"/>
          <w:lang w:val="en-US" w:eastAsia="zh-CN"/>
        </w:rPr>
        <w:t>，</w:t>
      </w:r>
      <w:r>
        <w:rPr>
          <w:rFonts w:hint="default"/>
          <w:lang w:val="en-US" w:eastAsia="zh-CN"/>
        </w:rPr>
        <w:t>项目与周边环境相符</w:t>
      </w:r>
      <w:r>
        <w:rPr>
          <w:rFonts w:hint="eastAsia"/>
          <w:lang w:val="en-US" w:eastAsia="zh-CN"/>
        </w:rPr>
        <w:t>，</w:t>
      </w:r>
      <w:r>
        <w:rPr>
          <w:rFonts w:hint="default"/>
          <w:lang w:val="en-US" w:eastAsia="zh-CN"/>
        </w:rPr>
        <w:t>不存在环境制约因素</w:t>
      </w:r>
      <w:r>
        <w:rPr>
          <w:rFonts w:hint="eastAsia"/>
          <w:lang w:val="en-US" w:eastAsia="zh-CN"/>
        </w:rPr>
        <w:t>，</w:t>
      </w:r>
      <w:r>
        <w:rPr>
          <w:rFonts w:hint="default"/>
          <w:lang w:val="en-US" w:eastAsia="zh-CN"/>
        </w:rPr>
        <w:t>选址是合理可行的。</w:t>
      </w:r>
    </w:p>
    <w:p w14:paraId="4230C8A7">
      <w:pPr>
        <w:pStyle w:val="3"/>
        <w:bidi w:val="0"/>
        <w:rPr>
          <w:rFonts w:hint="default" w:ascii="Times New Roman" w:hAnsi="Times New Roman" w:cs="Times New Roman"/>
          <w:color w:val="000000" w:themeColor="text1"/>
          <w:highlight w:val="none"/>
          <w14:textFill>
            <w14:solidFill>
              <w14:schemeClr w14:val="tx1"/>
            </w14:solidFill>
          </w14:textFill>
        </w:rPr>
      </w:pPr>
      <w:bookmarkStart w:id="658" w:name="_Toc17399"/>
      <w:r>
        <w:rPr>
          <w:rFonts w:hint="default" w:ascii="Times New Roman" w:hAnsi="Times New Roman" w:cs="Times New Roman"/>
          <w:color w:val="000000" w:themeColor="text1"/>
          <w:highlight w:val="none"/>
          <w14:textFill>
            <w14:solidFill>
              <w14:schemeClr w14:val="tx1"/>
            </w14:solidFill>
          </w14:textFill>
        </w:rPr>
        <w:t>环境质量现状评价结论</w:t>
      </w:r>
      <w:bookmarkEnd w:id="658"/>
    </w:p>
    <w:p w14:paraId="03288467">
      <w:pPr>
        <w:pStyle w:val="4"/>
        <w:bidi w:val="0"/>
        <w:rPr>
          <w:rFonts w:hint="default"/>
        </w:rPr>
      </w:pPr>
      <w:bookmarkStart w:id="659" w:name="_Toc14516"/>
      <w:r>
        <w:rPr>
          <w:rFonts w:hint="default"/>
        </w:rPr>
        <w:t>生态环境</w:t>
      </w:r>
      <w:bookmarkEnd w:id="659"/>
    </w:p>
    <w:p w14:paraId="61B01EA9">
      <w:pPr>
        <w:spacing w:line="360" w:lineRule="auto"/>
        <w:ind w:firstLine="482" w:firstLineChars="200"/>
        <w:rPr>
          <w:rFonts w:hint="default" w:eastAsia="宋体"/>
          <w:b/>
          <w:bCs/>
          <w:color w:val="000000" w:themeColor="text1"/>
          <w:sz w:val="24"/>
          <w:highlight w:val="none"/>
          <w:lang w:val="en-US" w:eastAsia="zh-CN"/>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1）植物</w:t>
      </w:r>
    </w:p>
    <w:p w14:paraId="20E09C05">
      <w:pPr>
        <w:pStyle w:val="41"/>
        <w:bidi w:val="0"/>
      </w:pPr>
      <w:r>
        <w:rPr>
          <w:rFonts w:hint="eastAsia"/>
        </w:rPr>
        <w:t>评价区域位于</w:t>
      </w:r>
      <w:r>
        <w:rPr>
          <w:rFonts w:hint="eastAsia"/>
          <w:lang w:val="en-US" w:eastAsia="zh-CN"/>
        </w:rPr>
        <w:t>云南省文山壮族苗族自治州砚山县，</w:t>
      </w:r>
      <w:r>
        <w:rPr>
          <w:rFonts w:hint="eastAsia"/>
        </w:rPr>
        <w:t>区域内植被以</w:t>
      </w:r>
      <w:r>
        <w:rPr>
          <w:rFonts w:hint="eastAsia"/>
          <w:lang w:val="en-US" w:eastAsia="zh-CN"/>
        </w:rPr>
        <w:t>农田作物</w:t>
      </w:r>
      <w:r>
        <w:rPr>
          <w:rFonts w:hint="eastAsia"/>
        </w:rPr>
        <w:t>为主，</w:t>
      </w:r>
      <w:r>
        <w:rPr>
          <w:rFonts w:hint="eastAsia"/>
          <w:lang w:val="en-US" w:eastAsia="zh-CN"/>
        </w:rPr>
        <w:t>主要由玉米、红薯等组成</w:t>
      </w:r>
      <w:r>
        <w:rPr>
          <w:rFonts w:hint="eastAsia"/>
          <w:lang w:eastAsia="zh-CN"/>
        </w:rPr>
        <w:t>；</w:t>
      </w:r>
      <w:r>
        <w:rPr>
          <w:rFonts w:hint="eastAsia"/>
          <w:lang w:val="en-US" w:eastAsia="zh-CN"/>
        </w:rPr>
        <w:t>其次为灌木植被</w:t>
      </w:r>
      <w:r>
        <w:rPr>
          <w:rFonts w:hint="eastAsia"/>
          <w:lang w:eastAsia="zh-CN"/>
        </w:rPr>
        <w:t>，</w:t>
      </w:r>
      <w:r>
        <w:rPr>
          <w:rFonts w:hint="eastAsia"/>
        </w:rPr>
        <w:t>优势植被群落为</w:t>
      </w:r>
      <w:r>
        <w:rPr>
          <w:rFonts w:hint="eastAsia"/>
          <w:lang w:val="en-US" w:eastAsia="zh-CN"/>
        </w:rPr>
        <w:t>椎连栎</w:t>
      </w:r>
      <w:r>
        <w:rPr>
          <w:rFonts w:hint="eastAsia"/>
        </w:rPr>
        <w:t>（</w:t>
      </w:r>
      <w:r>
        <w:rPr>
          <w:rFonts w:hint="eastAsia"/>
          <w:i/>
          <w:iCs/>
        </w:rPr>
        <w:t>Quercus franchetii Skan</w:t>
      </w:r>
      <w:r>
        <w:rPr>
          <w:rFonts w:hint="eastAsia"/>
        </w:rPr>
        <w:t>）</w:t>
      </w:r>
      <w:r>
        <w:rPr>
          <w:rFonts w:hint="eastAsia"/>
          <w:lang w:eastAsia="zh-CN"/>
        </w:rPr>
        <w:t>；</w:t>
      </w:r>
      <w:r>
        <w:rPr>
          <w:rFonts w:hint="eastAsia"/>
          <w:lang w:val="en-US" w:eastAsia="zh-CN"/>
        </w:rPr>
        <w:t>乔木植被和草本植被较少，其中乔木植被主要由云南松（</w:t>
      </w:r>
      <w:r>
        <w:rPr>
          <w:rFonts w:hint="eastAsia"/>
          <w:i/>
          <w:iCs/>
        </w:rPr>
        <w:t>Pinus yunnanensis</w:t>
      </w:r>
      <w:r>
        <w:rPr>
          <w:rFonts w:hint="eastAsia"/>
          <w:lang w:val="en-US" w:eastAsia="zh-CN"/>
        </w:rPr>
        <w:t>）和桉（</w:t>
      </w:r>
      <w:r>
        <w:rPr>
          <w:rFonts w:hint="eastAsia"/>
          <w:i/>
          <w:iCs/>
        </w:rPr>
        <w:t>Eucalyptus robusta</w:t>
      </w:r>
      <w:r>
        <w:rPr>
          <w:rFonts w:hint="eastAsia"/>
          <w:lang w:val="en-US" w:eastAsia="zh-CN"/>
        </w:rPr>
        <w:t>）组成，草本植被主要由拂子茅（</w:t>
      </w:r>
      <w:r>
        <w:rPr>
          <w:rFonts w:hint="eastAsia"/>
          <w:i/>
          <w:iCs/>
        </w:rPr>
        <w:t>Calamagrostis epigeios</w:t>
      </w:r>
      <w:r>
        <w:rPr>
          <w:rFonts w:hint="eastAsia"/>
          <w:lang w:val="en-US" w:eastAsia="zh-CN"/>
        </w:rPr>
        <w:t>）和艾（</w:t>
      </w:r>
      <w:r>
        <w:rPr>
          <w:rFonts w:hint="eastAsia"/>
          <w:i/>
          <w:iCs/>
        </w:rPr>
        <w:t>Artemisia argyi</w:t>
      </w:r>
      <w:r>
        <w:rPr>
          <w:rFonts w:hint="eastAsia"/>
          <w:lang w:val="en-US" w:eastAsia="zh-CN"/>
        </w:rPr>
        <w:t>）组成</w:t>
      </w:r>
      <w:r>
        <w:rPr>
          <w:rFonts w:hint="eastAsia"/>
          <w:lang w:eastAsia="zh-CN"/>
        </w:rPr>
        <w:t>。</w:t>
      </w:r>
      <w:r>
        <w:rPr>
          <w:rFonts w:hint="eastAsia"/>
          <w:lang w:val="en-US" w:eastAsia="zh-CN"/>
        </w:rPr>
        <w:t>评价区</w:t>
      </w:r>
      <w:r>
        <w:rPr>
          <w:rFonts w:hint="eastAsia"/>
        </w:rPr>
        <w:t>植被覆盖度</w:t>
      </w:r>
      <w:r>
        <w:rPr>
          <w:rFonts w:hint="eastAsia"/>
          <w:lang w:val="en-US" w:eastAsia="zh-CN"/>
        </w:rPr>
        <w:t>一般</w:t>
      </w:r>
      <w:r>
        <w:rPr>
          <w:rFonts w:hint="eastAsia"/>
        </w:rPr>
        <w:t>，群落结构</w:t>
      </w:r>
      <w:r>
        <w:rPr>
          <w:rFonts w:hint="eastAsia"/>
          <w:lang w:val="en-US" w:eastAsia="zh-CN"/>
        </w:rPr>
        <w:t>较</w:t>
      </w:r>
      <w:r>
        <w:rPr>
          <w:rFonts w:hint="eastAsia"/>
        </w:rPr>
        <w:t>稳定。</w:t>
      </w:r>
      <w:r>
        <w:t>根据《国家重点保护野生植物名录》（2021年</w:t>
      </w:r>
      <w:r>
        <w:rPr>
          <w:rFonts w:hint="eastAsia"/>
          <w:lang w:val="en-US" w:eastAsia="zh-CN"/>
        </w:rPr>
        <w:t>第5号</w:t>
      </w:r>
      <w:r>
        <w:t>）、</w:t>
      </w:r>
      <w:r>
        <w:rPr>
          <w:rFonts w:hint="eastAsia"/>
          <w:lang w:val="en-US" w:eastAsia="zh-CN"/>
        </w:rPr>
        <w:t>《云南省重点保护野生植物名录》（2023年第11号）</w:t>
      </w:r>
      <w:r>
        <w:t>及区域古树名木资料，评价范围</w:t>
      </w:r>
      <w:r>
        <w:rPr>
          <w:rFonts w:hint="eastAsia"/>
        </w:rPr>
        <w:t>内无</w:t>
      </w:r>
      <w:r>
        <w:t>重点保护野生植物和古树名木分布。</w:t>
      </w:r>
    </w:p>
    <w:p w14:paraId="52288E93">
      <w:pPr>
        <w:pStyle w:val="41"/>
        <w:bidi w:val="0"/>
        <w:rPr>
          <w:rFonts w:hint="default"/>
          <w:b/>
          <w:bCs/>
          <w:lang w:val="en-US" w:eastAsia="zh-CN"/>
        </w:rPr>
      </w:pPr>
      <w:r>
        <w:rPr>
          <w:rFonts w:hint="eastAsia"/>
          <w:b/>
          <w:bCs/>
          <w:lang w:eastAsia="zh-CN"/>
        </w:rPr>
        <w:t>（</w:t>
      </w:r>
      <w:r>
        <w:rPr>
          <w:rFonts w:hint="eastAsia"/>
          <w:b/>
          <w:bCs/>
          <w:lang w:val="en-US" w:eastAsia="zh-CN"/>
        </w:rPr>
        <w:t>2）动物</w:t>
      </w:r>
    </w:p>
    <w:p w14:paraId="44D9C9FD">
      <w:pPr>
        <w:pStyle w:val="41"/>
        <w:bidi w:val="0"/>
      </w:pPr>
      <w:r>
        <w:t>根据《国家重点保护野生植物名录》（2021年</w:t>
      </w:r>
      <w:r>
        <w:rPr>
          <w:rFonts w:hint="eastAsia"/>
          <w:lang w:val="en-US" w:eastAsia="zh-CN"/>
        </w:rPr>
        <w:t>第5号</w:t>
      </w:r>
      <w:r>
        <w:t>）、</w:t>
      </w:r>
      <w:r>
        <w:rPr>
          <w:rFonts w:hint="eastAsia"/>
          <w:lang w:val="en-US" w:eastAsia="zh-CN"/>
        </w:rPr>
        <w:t>《云南省重点保护野生植物名录》（2023年第11号）</w:t>
      </w:r>
      <w:r>
        <w:t>及区域古树名木资料，评价范围</w:t>
      </w:r>
      <w:r>
        <w:rPr>
          <w:rFonts w:hint="eastAsia"/>
        </w:rPr>
        <w:t>内无</w:t>
      </w:r>
      <w:r>
        <w:t>重点保护野生植物和古树名木分布。</w:t>
      </w:r>
    </w:p>
    <w:p w14:paraId="4B7AD575">
      <w:pPr>
        <w:pStyle w:val="41"/>
        <w:bidi w:val="0"/>
        <w:rPr>
          <w:rFonts w:hint="default"/>
          <w:b/>
          <w:bCs/>
          <w:lang w:val="en-US" w:eastAsia="zh-CN"/>
        </w:rPr>
      </w:pPr>
      <w:r>
        <w:rPr>
          <w:rFonts w:hint="eastAsia"/>
          <w:b/>
          <w:bCs/>
          <w:lang w:eastAsia="zh-CN"/>
        </w:rPr>
        <w:t>（</w:t>
      </w:r>
      <w:r>
        <w:rPr>
          <w:rFonts w:hint="eastAsia"/>
          <w:b/>
          <w:bCs/>
          <w:lang w:val="en-US" w:eastAsia="zh-CN"/>
        </w:rPr>
        <w:t>3）生态系统</w:t>
      </w:r>
    </w:p>
    <w:p w14:paraId="7533DEF8">
      <w:pPr>
        <w:pStyle w:val="41"/>
        <w:bidi w:val="0"/>
      </w:pPr>
      <w:r>
        <w:t>评价范围内</w:t>
      </w:r>
      <w:r>
        <w:rPr>
          <w:rFonts w:hint="eastAsia"/>
        </w:rPr>
        <w:t>农</w:t>
      </w:r>
      <w:r>
        <w:rPr>
          <w:rFonts w:hint="eastAsia"/>
          <w:lang w:eastAsia="zh-CN"/>
        </w:rPr>
        <w:t>田生</w:t>
      </w:r>
      <w:r>
        <w:t>态系统面积最大，面积占比为</w:t>
      </w:r>
      <w:r>
        <w:rPr>
          <w:rFonts w:hint="eastAsia"/>
          <w:lang w:val="en-US" w:eastAsia="zh-CN"/>
        </w:rPr>
        <w:t>42.22</w:t>
      </w:r>
      <w:r>
        <w:t>%；</w:t>
      </w:r>
      <w:r>
        <w:rPr>
          <w:rFonts w:hint="eastAsia"/>
          <w:lang w:val="en-US" w:eastAsia="zh-CN"/>
        </w:rPr>
        <w:t>灌丛</w:t>
      </w:r>
      <w:r>
        <w:t>生态系统</w:t>
      </w:r>
      <w:r>
        <w:rPr>
          <w:rFonts w:hint="eastAsia"/>
          <w:lang w:val="en-US" w:eastAsia="zh-CN"/>
        </w:rPr>
        <w:t>和城镇生态系统</w:t>
      </w:r>
      <w:r>
        <w:t>次之，面积占比</w:t>
      </w:r>
      <w:r>
        <w:rPr>
          <w:rFonts w:hint="eastAsia"/>
          <w:lang w:val="en-US" w:eastAsia="zh-CN"/>
        </w:rPr>
        <w:t>分别</w:t>
      </w:r>
      <w:r>
        <w:t>为</w:t>
      </w:r>
      <w:r>
        <w:rPr>
          <w:rFonts w:hint="eastAsia"/>
          <w:lang w:val="en-US" w:eastAsia="zh-CN"/>
        </w:rPr>
        <w:t>26.02</w:t>
      </w:r>
      <w:r>
        <w:t>%</w:t>
      </w:r>
      <w:r>
        <w:rPr>
          <w:rFonts w:hint="eastAsia"/>
          <w:lang w:eastAsia="zh-CN"/>
        </w:rPr>
        <w:t>、</w:t>
      </w:r>
      <w:r>
        <w:rPr>
          <w:rFonts w:hint="eastAsia"/>
          <w:lang w:val="en-US" w:eastAsia="zh-CN"/>
        </w:rPr>
        <w:t>25.58%</w:t>
      </w:r>
      <w:r>
        <w:t>；</w:t>
      </w:r>
      <w:r>
        <w:rPr>
          <w:rFonts w:hint="eastAsia"/>
          <w:lang w:val="en-US" w:eastAsia="zh-CN"/>
        </w:rPr>
        <w:t>森林、</w:t>
      </w:r>
      <w:r>
        <w:rPr>
          <w:rFonts w:hint="eastAsia"/>
        </w:rPr>
        <w:t>草地、湿地生态系统</w:t>
      </w:r>
      <w:r>
        <w:t>类型面积</w:t>
      </w:r>
      <w:r>
        <w:rPr>
          <w:rFonts w:hint="eastAsia"/>
        </w:rPr>
        <w:t>均较小，面积占比依次为</w:t>
      </w:r>
      <w:r>
        <w:rPr>
          <w:rFonts w:hint="eastAsia"/>
          <w:lang w:val="en-US" w:eastAsia="zh-CN"/>
        </w:rPr>
        <w:t>4.28%、0.55%、0.88%</w:t>
      </w:r>
      <w:r>
        <w:t>。</w:t>
      </w:r>
    </w:p>
    <w:p w14:paraId="69B428B0">
      <w:pPr>
        <w:pStyle w:val="41"/>
        <w:bidi w:val="0"/>
        <w:rPr>
          <w:rFonts w:hint="default"/>
          <w:b/>
          <w:bCs/>
          <w:lang w:val="en-US" w:eastAsia="zh-CN"/>
        </w:rPr>
      </w:pPr>
      <w:r>
        <w:rPr>
          <w:rFonts w:hint="eastAsia"/>
          <w:b/>
          <w:bCs/>
          <w:lang w:eastAsia="zh-CN"/>
        </w:rPr>
        <w:t>（</w:t>
      </w:r>
      <w:r>
        <w:rPr>
          <w:rFonts w:hint="eastAsia"/>
          <w:b/>
          <w:bCs/>
          <w:lang w:val="en-US" w:eastAsia="zh-CN"/>
        </w:rPr>
        <w:t>4）生态敏感区</w:t>
      </w:r>
    </w:p>
    <w:p w14:paraId="0DD75C74">
      <w:pPr>
        <w:pStyle w:val="41"/>
        <w:bidi w:val="0"/>
        <w:rPr>
          <w:rFonts w:hint="eastAsia"/>
          <w:lang w:eastAsia="zh-CN"/>
        </w:rPr>
      </w:pPr>
      <w:r>
        <w:rPr>
          <w:rFonts w:hint="eastAsia"/>
        </w:rPr>
        <w:t>根据调查及查询相关支撑性文件，本项目不涉及自然保护区、自然公园、世界自然遗产、重要生境等</w:t>
      </w:r>
      <w:r>
        <w:rPr>
          <w:rFonts w:hint="eastAsia"/>
          <w:lang w:eastAsia="zh-CN"/>
        </w:rPr>
        <w:t>《</w:t>
      </w:r>
      <w:r>
        <w:rPr>
          <w:rFonts w:hint="eastAsia"/>
        </w:rPr>
        <w:t>环境影响评价技术导则 生态影响》（H</w:t>
      </w:r>
      <w:r>
        <w:t>J19-2022</w:t>
      </w:r>
      <w:r>
        <w:rPr>
          <w:rFonts w:hint="eastAsia"/>
        </w:rPr>
        <w:t>）所述的其他生态敏感区</w:t>
      </w:r>
      <w:r>
        <w:rPr>
          <w:rFonts w:hint="eastAsia"/>
          <w:lang w:eastAsia="zh-CN"/>
        </w:rPr>
        <w:t>。</w:t>
      </w:r>
    </w:p>
    <w:p w14:paraId="262B24A2">
      <w:pPr>
        <w:pStyle w:val="4"/>
        <w:bidi w:val="0"/>
        <w:rPr>
          <w:rFonts w:hint="default"/>
        </w:rPr>
      </w:pPr>
      <w:bookmarkStart w:id="660" w:name="_Toc22171"/>
      <w:r>
        <w:rPr>
          <w:rFonts w:hint="default"/>
        </w:rPr>
        <w:t>环境空气</w:t>
      </w:r>
      <w:bookmarkEnd w:id="660"/>
    </w:p>
    <w:p w14:paraId="5EAFA08B">
      <w:pPr>
        <w:pStyle w:val="41"/>
        <w:bidi w:val="0"/>
        <w:rPr>
          <w:rFonts w:hint="default"/>
          <w:lang w:val="en-US" w:eastAsia="zh-CN"/>
        </w:rPr>
      </w:pPr>
      <w:r>
        <w:rPr>
          <w:rFonts w:hint="default"/>
          <w:lang w:val="en-US" w:eastAsia="zh-CN"/>
        </w:rPr>
        <w:t>项目位于</w:t>
      </w:r>
      <w:r>
        <w:rPr>
          <w:rFonts w:hint="eastAsia"/>
          <w:lang w:val="en-US" w:eastAsia="zh-CN"/>
        </w:rPr>
        <w:t>云南省文山州砚山县江那镇铳卡石门坎</w:t>
      </w:r>
      <w:r>
        <w:rPr>
          <w:rFonts w:hint="default"/>
        </w:rPr>
        <w:t>，环境空气属于二类区，该区域环境空气质量执行</w:t>
      </w:r>
      <w:r>
        <w:rPr>
          <w:rFonts w:hint="eastAsia"/>
          <w:lang w:eastAsia="zh-CN"/>
        </w:rPr>
        <w:t>《</w:t>
      </w:r>
      <w:r>
        <w:rPr>
          <w:rFonts w:hint="default"/>
        </w:rPr>
        <w:t>环境空气质量标准》</w:t>
      </w:r>
      <w:r>
        <w:rPr>
          <w:rFonts w:hint="default"/>
          <w:lang w:eastAsia="zh-CN"/>
        </w:rPr>
        <w:t>（</w:t>
      </w:r>
      <w:r>
        <w:rPr>
          <w:rFonts w:hint="default"/>
        </w:rPr>
        <w:t>GB3095-</w:t>
      </w:r>
      <w:r>
        <w:rPr>
          <w:rFonts w:hint="eastAsia"/>
          <w:lang w:eastAsia="zh-CN"/>
        </w:rPr>
        <w:t>2026</w:t>
      </w:r>
      <w:r>
        <w:rPr>
          <w:rFonts w:hint="default"/>
          <w:lang w:val="en-US" w:eastAsia="zh-CN"/>
        </w:rPr>
        <w:t>）</w:t>
      </w:r>
      <w:r>
        <w:rPr>
          <w:rFonts w:hint="eastAsia"/>
          <w:lang w:val="en-US" w:eastAsia="zh-CN"/>
        </w:rPr>
        <w:t>过渡阶段</w:t>
      </w:r>
      <w:r>
        <w:rPr>
          <w:rFonts w:hint="default"/>
          <w:lang w:val="en-US" w:eastAsia="zh-CN"/>
        </w:rPr>
        <w:t>浓度限值。</w:t>
      </w:r>
    </w:p>
    <w:p w14:paraId="56231EB0">
      <w:pPr>
        <w:pStyle w:val="41"/>
        <w:bidi w:val="0"/>
        <w:rPr>
          <w:rFonts w:hint="default"/>
          <w:lang w:val="en-US" w:eastAsia="zh-CN"/>
        </w:rPr>
      </w:pPr>
      <w:r>
        <w:rPr>
          <w:rFonts w:hint="default"/>
          <w:lang w:val="en-US" w:eastAsia="zh-CN"/>
        </w:rPr>
        <w:t>根据</w:t>
      </w:r>
      <w:r>
        <w:t>《文山壮族苗族自治州202</w:t>
      </w:r>
      <w:r>
        <w:rPr>
          <w:rFonts w:hint="eastAsia"/>
          <w:lang w:val="en-US" w:eastAsia="zh-CN"/>
        </w:rPr>
        <w:t>4</w:t>
      </w:r>
      <w:r>
        <w:t>年度生态环境状况公报》</w:t>
      </w:r>
      <w:r>
        <w:rPr>
          <w:rFonts w:hint="default"/>
          <w:lang w:val="en-US" w:eastAsia="zh-CN"/>
        </w:rPr>
        <w:t>，判定项目所在区域属于环境空气质量达标区。</w:t>
      </w:r>
    </w:p>
    <w:p w14:paraId="0E26AC4F">
      <w:pPr>
        <w:pStyle w:val="41"/>
        <w:bidi w:val="0"/>
        <w:rPr>
          <w:rFonts w:hint="default"/>
          <w:lang w:val="en-US" w:eastAsia="zh-CN"/>
        </w:rPr>
      </w:pPr>
      <w:r>
        <w:rPr>
          <w:rFonts w:hint="default"/>
          <w:lang w:val="en-US" w:eastAsia="zh-CN"/>
        </w:rPr>
        <w:t>根据补充监测，项目区</w:t>
      </w:r>
      <w:r>
        <w:rPr>
          <w:rFonts w:hint="default"/>
        </w:rPr>
        <w:t>TSP日均浓度满足（</w:t>
      </w:r>
      <w:r>
        <w:rPr>
          <w:rFonts w:hint="eastAsia"/>
          <w:lang w:eastAsia="zh-CN"/>
        </w:rPr>
        <w:t>《</w:t>
      </w:r>
      <w:r>
        <w:rPr>
          <w:rFonts w:hint="default"/>
        </w:rPr>
        <w:t>环境空气质量标准》（GB3095-</w:t>
      </w:r>
      <w:r>
        <w:rPr>
          <w:rFonts w:hint="eastAsia"/>
          <w:lang w:eastAsia="zh-CN"/>
        </w:rPr>
        <w:t>2026</w:t>
      </w:r>
      <w:r>
        <w:rPr>
          <w:rFonts w:hint="default"/>
        </w:rPr>
        <w:t>）</w:t>
      </w:r>
      <w:r>
        <w:rPr>
          <w:rFonts w:hint="eastAsia"/>
          <w:lang w:eastAsia="zh-CN"/>
        </w:rPr>
        <w:t>过渡阶段</w:t>
      </w:r>
      <w:r>
        <w:rPr>
          <w:rFonts w:hint="default"/>
        </w:rPr>
        <w:t>浓度限值</w:t>
      </w:r>
      <w:r>
        <w:rPr>
          <w:rFonts w:hint="default"/>
          <w:lang w:eastAsia="zh-CN"/>
        </w:rPr>
        <w:t>。</w:t>
      </w:r>
    </w:p>
    <w:p w14:paraId="30171F5F">
      <w:pPr>
        <w:pStyle w:val="4"/>
        <w:bidi w:val="0"/>
        <w:rPr>
          <w:rFonts w:hint="default"/>
        </w:rPr>
      </w:pPr>
      <w:bookmarkStart w:id="661" w:name="_Toc13503"/>
      <w:r>
        <w:rPr>
          <w:rFonts w:hint="default"/>
        </w:rPr>
        <w:t>地表水环境</w:t>
      </w:r>
      <w:bookmarkEnd w:id="661"/>
    </w:p>
    <w:p w14:paraId="66483442">
      <w:pPr>
        <w:pStyle w:val="41"/>
        <w:bidi w:val="0"/>
        <w:rPr>
          <w:rFonts w:hint="default"/>
          <w:lang w:val="en-US" w:eastAsia="zh-CN"/>
        </w:rPr>
      </w:pPr>
      <w:r>
        <w:rPr>
          <w:rFonts w:hint="eastAsia"/>
          <w:lang w:val="en-US" w:eastAsia="zh-CN"/>
        </w:rPr>
        <w:t>根据文山州生态环境局砚山分局生态环境监测站《砚山县2025年第四季度农村“千吨万人”饮用水水源地水质监测报告》（砚环监字〔2025〕-047号），红舍克水库水质现状监测</w:t>
      </w:r>
      <w:r>
        <w:rPr>
          <w:rFonts w:hint="default"/>
          <w:lang w:val="en-US" w:eastAsia="zh-CN"/>
        </w:rPr>
        <w:t>，区域地表水水质能达到</w:t>
      </w:r>
      <w:r>
        <w:rPr>
          <w:rFonts w:hint="eastAsia"/>
          <w:lang w:val="en-US" w:eastAsia="zh-CN"/>
        </w:rPr>
        <w:t>《</w:t>
      </w:r>
      <w:r>
        <w:rPr>
          <w:rFonts w:hint="default"/>
          <w:lang w:val="en-US" w:eastAsia="zh-CN"/>
        </w:rPr>
        <w:t>地表水环境质量标准》（GB3838-2002）Ⅲ类标准要求</w:t>
      </w:r>
      <w:r>
        <w:rPr>
          <w:rFonts w:hint="default"/>
          <w:lang w:eastAsia="zh-CN"/>
        </w:rPr>
        <w:t>。</w:t>
      </w:r>
    </w:p>
    <w:p w14:paraId="0285D322">
      <w:pPr>
        <w:pStyle w:val="4"/>
        <w:bidi w:val="0"/>
        <w:rPr>
          <w:rFonts w:hint="default"/>
        </w:rPr>
      </w:pPr>
      <w:bookmarkStart w:id="662" w:name="_Toc11833"/>
      <w:r>
        <w:rPr>
          <w:rFonts w:hint="default"/>
        </w:rPr>
        <w:t>声环境</w:t>
      </w:r>
      <w:bookmarkEnd w:id="662"/>
    </w:p>
    <w:p w14:paraId="7E79DB46">
      <w:pPr>
        <w:pStyle w:val="41"/>
        <w:bidi w:val="0"/>
        <w:rPr>
          <w:rFonts w:hint="default"/>
          <w:lang w:eastAsia="zh-CN"/>
        </w:rPr>
      </w:pPr>
      <w:r>
        <w:rPr>
          <w:rFonts w:hint="default"/>
          <w:lang w:val="en-US" w:eastAsia="zh-CN"/>
        </w:rPr>
        <w:t>根据补充监测</w:t>
      </w:r>
      <w:r>
        <w:rPr>
          <w:rFonts w:hint="default"/>
        </w:rPr>
        <w:t>，项目</w:t>
      </w:r>
      <w:r>
        <w:rPr>
          <w:rFonts w:hint="eastAsia"/>
          <w:lang w:val="en-US" w:eastAsia="zh-CN"/>
        </w:rPr>
        <w:t>厂界四周</w:t>
      </w:r>
      <w:r>
        <w:rPr>
          <w:rFonts w:hint="default"/>
        </w:rPr>
        <w:t>昼间、夜间噪声值符合</w:t>
      </w:r>
      <w:r>
        <w:rPr>
          <w:rFonts w:hint="eastAsia"/>
          <w:lang w:eastAsia="zh-CN"/>
        </w:rPr>
        <w:t>《</w:t>
      </w:r>
      <w:r>
        <w:rPr>
          <w:rFonts w:hint="default"/>
        </w:rPr>
        <w:t>声环境质量标准》（GB3096-2008）</w:t>
      </w:r>
      <w:r>
        <w:rPr>
          <w:rFonts w:hint="default"/>
          <w:lang w:val="en-US" w:eastAsia="zh-CN"/>
        </w:rPr>
        <w:t>2</w:t>
      </w:r>
      <w:r>
        <w:rPr>
          <w:rFonts w:hint="default"/>
        </w:rPr>
        <w:t>类区标准要求</w:t>
      </w:r>
      <w:r>
        <w:rPr>
          <w:rFonts w:hint="default"/>
          <w:lang w:eastAsia="zh-CN"/>
        </w:rPr>
        <w:t>。</w:t>
      </w:r>
    </w:p>
    <w:p w14:paraId="7349C129">
      <w:pPr>
        <w:pStyle w:val="4"/>
        <w:bidi w:val="0"/>
        <w:rPr>
          <w:rFonts w:hint="default"/>
        </w:rPr>
      </w:pPr>
      <w:bookmarkStart w:id="663" w:name="_Toc5061"/>
      <w:r>
        <w:rPr>
          <w:rFonts w:hint="default"/>
        </w:rPr>
        <w:t>土壤环境</w:t>
      </w:r>
      <w:bookmarkEnd w:id="663"/>
    </w:p>
    <w:p w14:paraId="0129F2FD">
      <w:pPr>
        <w:pStyle w:val="41"/>
        <w:bidi w:val="0"/>
        <w:rPr>
          <w:rFonts w:hint="default"/>
          <w:lang w:val="en-US" w:eastAsia="zh-CN"/>
        </w:rPr>
      </w:pPr>
      <w:r>
        <w:rPr>
          <w:rFonts w:hint="default"/>
          <w:lang w:val="en-US" w:eastAsia="zh-CN"/>
        </w:rPr>
        <w:t>根据补充检测，项目区范围内</w:t>
      </w:r>
      <w:r>
        <w:rPr>
          <w:rFonts w:hint="default"/>
        </w:rPr>
        <w:t>土壤中污染物含量监测值</w:t>
      </w:r>
      <w:r>
        <w:rPr>
          <w:rFonts w:hint="default"/>
          <w:lang w:val="en-US" w:eastAsia="zh-CN"/>
        </w:rPr>
        <w:t>满足</w:t>
      </w:r>
      <w:r>
        <w:rPr>
          <w:rFonts w:hint="eastAsia"/>
          <w:lang w:eastAsia="zh-CN"/>
        </w:rPr>
        <w:t>《</w:t>
      </w:r>
      <w:r>
        <w:rPr>
          <w:rFonts w:hint="default"/>
        </w:rPr>
        <w:t>土壤环境质量 建设用地土壤污染风险管控标准（试行）》（GB36600-2018）第二类用地土壤污染风险筛选值</w:t>
      </w:r>
      <w:r>
        <w:rPr>
          <w:rFonts w:hint="eastAsia"/>
          <w:lang w:eastAsia="zh-CN"/>
        </w:rPr>
        <w:t>，</w:t>
      </w:r>
      <w:r>
        <w:rPr>
          <w:rFonts w:hint="eastAsia"/>
          <w:lang w:val="en-US" w:eastAsia="zh-CN"/>
        </w:rPr>
        <w:t>项目区监测点满足</w:t>
      </w:r>
      <w:r>
        <w:rPr>
          <w:rFonts w:hint="eastAsia"/>
          <w:lang w:eastAsia="zh-CN"/>
        </w:rPr>
        <w:t>《</w:t>
      </w:r>
      <w:r>
        <w:rPr>
          <w:rFonts w:hint="default"/>
        </w:rPr>
        <w:t>土壤环境质量 农用地土壤污染风险管控标准（试行）》（GB 15618-2018）风险筛选值标准</w:t>
      </w:r>
      <w:r>
        <w:rPr>
          <w:rFonts w:hint="default"/>
          <w:lang w:eastAsia="zh-CN"/>
        </w:rPr>
        <w:t>。</w:t>
      </w:r>
    </w:p>
    <w:p w14:paraId="73144FB1">
      <w:pPr>
        <w:pStyle w:val="3"/>
        <w:bidi w:val="0"/>
        <w:rPr>
          <w:rFonts w:hint="default" w:ascii="Times New Roman" w:hAnsi="Times New Roman" w:cs="Times New Roman"/>
          <w:color w:val="000000" w:themeColor="text1"/>
          <w:highlight w:val="none"/>
          <w14:textFill>
            <w14:solidFill>
              <w14:schemeClr w14:val="tx1"/>
            </w14:solidFill>
          </w14:textFill>
        </w:rPr>
      </w:pPr>
      <w:bookmarkStart w:id="664" w:name="_Toc1063"/>
      <w:r>
        <w:rPr>
          <w:rFonts w:hint="default" w:ascii="Times New Roman" w:hAnsi="Times New Roman" w:cs="Times New Roman"/>
          <w:color w:val="000000" w:themeColor="text1"/>
          <w:highlight w:val="none"/>
          <w14:textFill>
            <w14:solidFill>
              <w14:schemeClr w14:val="tx1"/>
            </w14:solidFill>
          </w14:textFill>
        </w:rPr>
        <w:t>环境影响评价结论</w:t>
      </w:r>
      <w:bookmarkEnd w:id="664"/>
    </w:p>
    <w:p w14:paraId="566FAE82">
      <w:pPr>
        <w:pStyle w:val="4"/>
        <w:bidi w:val="0"/>
        <w:rPr>
          <w:rFonts w:hint="default"/>
        </w:rPr>
      </w:pPr>
      <w:bookmarkStart w:id="665" w:name="_Toc19233"/>
      <w:r>
        <w:rPr>
          <w:rFonts w:hint="default"/>
        </w:rPr>
        <w:t>生态环境影响评价结论</w:t>
      </w:r>
      <w:bookmarkEnd w:id="665"/>
    </w:p>
    <w:p w14:paraId="4C97CC43">
      <w:pPr>
        <w:pStyle w:val="41"/>
        <w:bidi w:val="0"/>
        <w:rPr>
          <w:rFonts w:hint="default"/>
          <w:lang w:eastAsia="zh-CN"/>
        </w:rPr>
      </w:pPr>
      <w:r>
        <w:rPr>
          <w:rFonts w:hint="eastAsia"/>
          <w:lang w:val="en-US" w:eastAsia="zh-CN"/>
        </w:rPr>
        <w:t>项目矿区范围缩小，总占地面积减小</w:t>
      </w:r>
      <w:r>
        <w:rPr>
          <w:rFonts w:hint="eastAsia"/>
        </w:rPr>
        <w:t>，对生态的影响仅限于局部区域，根据分析得出结论：项目实施及开采对评价区土地利用格局不大；</w:t>
      </w:r>
      <w:r>
        <w:rPr>
          <w:rFonts w:hint="eastAsia"/>
          <w:lang w:val="zh-CN"/>
        </w:rPr>
        <w:t>对评价区</w:t>
      </w:r>
      <w:r>
        <w:t>植被</w:t>
      </w:r>
      <w:r>
        <w:rPr>
          <w:rFonts w:hint="eastAsia"/>
        </w:rPr>
        <w:t>的影响较小；不会对区内植物资源和物种多样性产生明显的不利影响，也不会导致评价区任何植物物种的消失；项目占地将导致动物生境缩小，产生的</w:t>
      </w:r>
      <w:r>
        <w:rPr>
          <w:rFonts w:hint="eastAsia"/>
          <w:lang w:eastAsia="zh-CN"/>
        </w:rPr>
        <w:t>“</w:t>
      </w:r>
      <w:r>
        <w:rPr>
          <w:rFonts w:hint="eastAsia"/>
        </w:rPr>
        <w:t>三废</w:t>
      </w:r>
      <w:r>
        <w:rPr>
          <w:rFonts w:hint="eastAsia"/>
          <w:lang w:eastAsia="zh-CN"/>
        </w:rPr>
        <w:t>”</w:t>
      </w:r>
      <w:r>
        <w:rPr>
          <w:rFonts w:hint="eastAsia"/>
        </w:rPr>
        <w:t>和噪声对区域野生动物造成干扰，但不会因为该工程实施而导致任何一种野生动物在评价区的濒危或消失，对陆栖脊椎动物的影响在可接受的范围内；项目对生态系统的</w:t>
      </w:r>
      <w:r>
        <w:t>不利影响仅限于局部，</w:t>
      </w:r>
      <w:r>
        <w:rPr>
          <w:rFonts w:hint="eastAsia"/>
        </w:rPr>
        <w:t>项目实施不会造成评价区生态系统分布格局、多样性发生显著变化，不会造成评价区生态系统生物量、生产力的显著降低，不会造成评价区植被覆盖度分布格局发生较大变化，项目对生态服务功能影响较小，对评价区生态系统的总体影响较小；本项目实施对动植物生物多样性的影响较小，导致外来入侵植物扩散的风险较小；对周边生态保护红线的影响在可接受的范围内；从生态影响的角度分析，项目实施对公益林和天然林的影响均较小。综合评价，项目实施对区域生态环境影响有限，在可接受的程度和范围内</w:t>
      </w:r>
      <w:r>
        <w:rPr>
          <w:rFonts w:hint="default"/>
          <w:lang w:eastAsia="zh-CN"/>
        </w:rPr>
        <w:t>。</w:t>
      </w:r>
    </w:p>
    <w:p w14:paraId="38FA08E2">
      <w:pPr>
        <w:pStyle w:val="4"/>
        <w:bidi w:val="0"/>
        <w:rPr>
          <w:rFonts w:hint="default"/>
        </w:rPr>
      </w:pPr>
      <w:bookmarkStart w:id="666" w:name="_Toc31810"/>
      <w:r>
        <w:rPr>
          <w:rFonts w:hint="default"/>
        </w:rPr>
        <w:t>大气环境影响评价结论</w:t>
      </w:r>
      <w:bookmarkEnd w:id="666"/>
    </w:p>
    <w:p w14:paraId="546A327E">
      <w:pPr>
        <w:pStyle w:val="41"/>
        <w:bidi w:val="0"/>
        <w:rPr>
          <w:rFonts w:hint="default"/>
          <w:lang w:eastAsia="zh-CN"/>
        </w:rPr>
      </w:pPr>
      <w:r>
        <w:rPr>
          <w:rFonts w:hint="default"/>
        </w:rPr>
        <w:t>经估算模式计算</w:t>
      </w:r>
      <w:r>
        <w:rPr>
          <w:rFonts w:hint="eastAsia"/>
          <w:lang w:eastAsia="zh-CN"/>
        </w:rPr>
        <w:t>，</w:t>
      </w:r>
      <w:r>
        <w:rPr>
          <w:rFonts w:hint="default"/>
        </w:rPr>
        <w:t>项目产生的扬尘、粉尘在采取环评提出措施后</w:t>
      </w:r>
      <w:r>
        <w:rPr>
          <w:rFonts w:hint="eastAsia"/>
          <w:lang w:eastAsia="zh-CN"/>
        </w:rPr>
        <w:t>，</w:t>
      </w:r>
      <w:r>
        <w:rPr>
          <w:rFonts w:hint="default"/>
        </w:rPr>
        <w:t>项目运营期厂界</w:t>
      </w:r>
      <w:r>
        <w:rPr>
          <w:rFonts w:hint="eastAsia"/>
          <w:lang w:val="en-US" w:eastAsia="zh-CN"/>
        </w:rPr>
        <w:t>颗粒物</w:t>
      </w:r>
      <w:r>
        <w:rPr>
          <w:rFonts w:hint="default"/>
        </w:rPr>
        <w:t>的预测值满足</w:t>
      </w:r>
      <w:r>
        <w:rPr>
          <w:rFonts w:hint="eastAsia"/>
          <w:lang w:eastAsia="zh-CN"/>
        </w:rPr>
        <w:t>《大气污染物综合排放标准》（GB 16297-1996）</w:t>
      </w:r>
      <w:r>
        <w:rPr>
          <w:rFonts w:hint="default"/>
        </w:rPr>
        <w:t>表2无组织排放监测浓度限值要求。</w:t>
      </w:r>
      <w:r>
        <w:rPr>
          <w:rFonts w:hint="eastAsia"/>
          <w:lang w:val="en-US" w:eastAsia="zh-CN"/>
        </w:rPr>
        <w:t>项目</w:t>
      </w:r>
      <w:r>
        <w:rPr>
          <w:rFonts w:hint="default"/>
        </w:rPr>
        <w:t>周围的大气环境敏感点距离较远</w:t>
      </w:r>
      <w:r>
        <w:rPr>
          <w:rFonts w:hint="eastAsia"/>
          <w:lang w:eastAsia="zh-CN"/>
        </w:rPr>
        <w:t>，</w:t>
      </w:r>
      <w:r>
        <w:rPr>
          <w:rFonts w:hint="default"/>
        </w:rPr>
        <w:t>之间有山体、林地相隔</w:t>
      </w:r>
      <w:r>
        <w:rPr>
          <w:rFonts w:hint="eastAsia"/>
          <w:lang w:eastAsia="zh-CN"/>
        </w:rPr>
        <w:t>，</w:t>
      </w:r>
      <w:r>
        <w:rPr>
          <w:rFonts w:hint="default"/>
        </w:rPr>
        <w:t>项目扬尘、粉尘对其影响不大。本项目无需设置大气环境防护区域</w:t>
      </w:r>
      <w:r>
        <w:rPr>
          <w:rFonts w:hint="eastAsia"/>
          <w:lang w:eastAsia="zh-CN"/>
        </w:rPr>
        <w:t>，</w:t>
      </w:r>
      <w:r>
        <w:rPr>
          <w:rFonts w:hint="eastAsia"/>
          <w:lang w:val="en-US" w:eastAsia="zh-CN"/>
        </w:rPr>
        <w:t>卫生防护距离内无居民点</w:t>
      </w:r>
      <w:r>
        <w:rPr>
          <w:rFonts w:hint="default"/>
        </w:rPr>
        <w:t>。</w:t>
      </w:r>
      <w:r>
        <w:rPr>
          <w:rFonts w:hint="eastAsia"/>
          <w:lang w:val="en-US" w:eastAsia="zh-CN"/>
        </w:rPr>
        <w:t>爆破废气、机械燃油废气及厂区异味等排放量较小，经大气稀释扩散后对周围环境影响较小。</w:t>
      </w:r>
      <w:r>
        <w:rPr>
          <w:rFonts w:hint="default"/>
        </w:rPr>
        <w:t>综上所述</w:t>
      </w:r>
      <w:r>
        <w:rPr>
          <w:rFonts w:hint="eastAsia"/>
          <w:lang w:eastAsia="zh-CN"/>
        </w:rPr>
        <w:t>，</w:t>
      </w:r>
      <w:r>
        <w:rPr>
          <w:rFonts w:hint="default"/>
        </w:rPr>
        <w:t>项目运营期排放的大气污染物在采取本评价所提措施处理后对项目周围环境</w:t>
      </w:r>
      <w:r>
        <w:rPr>
          <w:rFonts w:hint="eastAsia"/>
          <w:lang w:val="en-US" w:eastAsia="zh-CN"/>
        </w:rPr>
        <w:t>空气</w:t>
      </w:r>
      <w:r>
        <w:rPr>
          <w:rFonts w:hint="default"/>
        </w:rPr>
        <w:t>影响</w:t>
      </w:r>
      <w:r>
        <w:rPr>
          <w:rFonts w:hint="eastAsia"/>
          <w:lang w:val="en-US" w:eastAsia="zh-CN"/>
        </w:rPr>
        <w:t>可接受</w:t>
      </w:r>
      <w:r>
        <w:rPr>
          <w:rFonts w:hint="default"/>
        </w:rPr>
        <w:t>。</w:t>
      </w:r>
    </w:p>
    <w:p w14:paraId="6B2B042B">
      <w:pPr>
        <w:pStyle w:val="4"/>
        <w:bidi w:val="0"/>
        <w:rPr>
          <w:rFonts w:hint="default"/>
        </w:rPr>
      </w:pPr>
      <w:bookmarkStart w:id="667" w:name="_Toc11110"/>
      <w:r>
        <w:rPr>
          <w:rFonts w:hint="default"/>
        </w:rPr>
        <w:t>水环境影响评价结论</w:t>
      </w:r>
      <w:bookmarkEnd w:id="667"/>
    </w:p>
    <w:p w14:paraId="12C58BDA">
      <w:pPr>
        <w:pStyle w:val="41"/>
        <w:bidi w:val="0"/>
        <w:rPr>
          <w:rFonts w:hint="default"/>
          <w:lang w:val="en-US" w:eastAsia="zh-CN"/>
        </w:rPr>
      </w:pPr>
      <w:r>
        <w:rPr>
          <w:rFonts w:hint="default"/>
          <w:lang w:val="en-US" w:eastAsia="zh-CN"/>
        </w:rPr>
        <w:t>通过水平衡分析，项目区洒水降尘总量</w:t>
      </w:r>
      <w:r>
        <w:rPr>
          <w:rFonts w:hint="eastAsia"/>
          <w:lang w:val="en-US" w:eastAsia="zh-CN"/>
        </w:rPr>
        <w:t>初期雨水收集量</w:t>
      </w:r>
      <w:r>
        <w:rPr>
          <w:rFonts w:hint="default"/>
          <w:lang w:val="en-US" w:eastAsia="zh-CN"/>
        </w:rPr>
        <w:t>，水量上满足回用要求。各股废水均设置满足雨天废水暂存需求的沉淀池容积。</w:t>
      </w:r>
    </w:p>
    <w:p w14:paraId="026270CB">
      <w:pPr>
        <w:pStyle w:val="41"/>
        <w:bidi w:val="0"/>
        <w:rPr>
          <w:rFonts w:hint="default"/>
          <w:lang w:eastAsia="zh-CN"/>
        </w:rPr>
      </w:pPr>
      <w:r>
        <w:rPr>
          <w:rFonts w:hint="default"/>
          <w:lang w:val="en-US" w:eastAsia="zh-CN"/>
        </w:rPr>
        <w:t>综上，项目产生的各类废水均回用洒水降尘，无废水外排，对周围地表水环境影响较小</w:t>
      </w:r>
      <w:r>
        <w:rPr>
          <w:rFonts w:hint="default"/>
          <w:lang w:eastAsia="zh-CN"/>
        </w:rPr>
        <w:t>。</w:t>
      </w:r>
    </w:p>
    <w:p w14:paraId="6F674067">
      <w:pPr>
        <w:pStyle w:val="4"/>
        <w:bidi w:val="0"/>
        <w:rPr>
          <w:rFonts w:hint="default"/>
        </w:rPr>
      </w:pPr>
      <w:bookmarkStart w:id="668" w:name="_Toc6226"/>
      <w:r>
        <w:rPr>
          <w:rFonts w:hint="default"/>
        </w:rPr>
        <w:t>声环境影响评价结论</w:t>
      </w:r>
      <w:bookmarkEnd w:id="668"/>
    </w:p>
    <w:p w14:paraId="59023180">
      <w:pPr>
        <w:pStyle w:val="41"/>
        <w:bidi w:val="0"/>
        <w:rPr>
          <w:rFonts w:hint="default"/>
          <w:lang w:eastAsia="zh-CN"/>
        </w:rPr>
      </w:pPr>
      <w:r>
        <w:rPr>
          <w:rFonts w:hint="default"/>
        </w:rPr>
        <w:t>矿山爆破噪声及振动为瞬间突发，不涉及持续高噪声影响，</w:t>
      </w:r>
      <w:r>
        <w:rPr>
          <w:rFonts w:hint="eastAsia"/>
          <w:lang w:val="en-US" w:eastAsia="zh-CN"/>
        </w:rPr>
        <w:t>通过采取相关措施</w:t>
      </w:r>
      <w:r>
        <w:rPr>
          <w:rFonts w:hint="default"/>
        </w:rPr>
        <w:t>对周围声环境影响可接受；通过控制运输车辆匀速慢行，减少鸣笛等，运输车辆交通噪声对沿途村庄的影响较小；项目加工区夜间不生产，根据预测结果，露天场地、</w:t>
      </w:r>
      <w:r>
        <w:rPr>
          <w:rFonts w:hint="eastAsia"/>
          <w:lang w:eastAsia="zh-CN"/>
        </w:rPr>
        <w:t>加工区</w:t>
      </w:r>
      <w:r>
        <w:rPr>
          <w:rFonts w:hint="default"/>
        </w:rPr>
        <w:t>区域厂界噪声预测值昼夜间均可达到《工业企业厂界环境噪声排放标准》（GB12348-2008）2类标准，项目200m范围内无声环境保护目标，项目运营期噪声对周围环境影响较小</w:t>
      </w:r>
      <w:r>
        <w:rPr>
          <w:rFonts w:hint="default"/>
          <w:lang w:eastAsia="zh-CN"/>
        </w:rPr>
        <w:t>。</w:t>
      </w:r>
    </w:p>
    <w:p w14:paraId="4AB9A3A1">
      <w:pPr>
        <w:pStyle w:val="4"/>
        <w:bidi w:val="0"/>
        <w:rPr>
          <w:rFonts w:hint="default"/>
        </w:rPr>
      </w:pPr>
      <w:bookmarkStart w:id="669" w:name="_Toc23732"/>
      <w:r>
        <w:rPr>
          <w:rFonts w:hint="default"/>
        </w:rPr>
        <w:t>固体废物影响评价结论</w:t>
      </w:r>
      <w:bookmarkEnd w:id="669"/>
    </w:p>
    <w:p w14:paraId="65C4A9AD">
      <w:pPr>
        <w:pStyle w:val="41"/>
        <w:bidi w:val="0"/>
        <w:rPr>
          <w:rFonts w:hint="default"/>
          <w:lang w:eastAsia="zh-CN"/>
        </w:rPr>
      </w:pPr>
      <w:r>
        <w:rPr>
          <w:rFonts w:hint="default"/>
        </w:rPr>
        <w:t>本项目产生的固废均得到合理有效处置</w:t>
      </w:r>
      <w:r>
        <w:rPr>
          <w:rFonts w:hint="default"/>
          <w:lang w:eastAsia="zh-CN"/>
        </w:rPr>
        <w:t>，</w:t>
      </w:r>
      <w:r>
        <w:rPr>
          <w:rFonts w:hint="eastAsia"/>
          <w:lang w:val="en-US" w:eastAsia="zh-CN"/>
        </w:rPr>
        <w:t>贮存设施设置合理，</w:t>
      </w:r>
      <w:r>
        <w:rPr>
          <w:rFonts w:hint="default"/>
        </w:rPr>
        <w:t>处置方式均可行</w:t>
      </w:r>
      <w:r>
        <w:rPr>
          <w:rFonts w:hint="default"/>
          <w:lang w:eastAsia="zh-CN"/>
        </w:rPr>
        <w:t>，</w:t>
      </w:r>
      <w:r>
        <w:rPr>
          <w:rFonts w:hint="default"/>
        </w:rPr>
        <w:t>100%</w:t>
      </w:r>
      <w:r>
        <w:rPr>
          <w:rFonts w:hint="eastAsia"/>
          <w:lang w:val="en-US" w:eastAsia="zh-CN"/>
        </w:rPr>
        <w:t>合理处置，对环境影响可接受</w:t>
      </w:r>
      <w:r>
        <w:rPr>
          <w:rFonts w:hint="default"/>
          <w:lang w:eastAsia="zh-CN"/>
        </w:rPr>
        <w:t>。</w:t>
      </w:r>
    </w:p>
    <w:p w14:paraId="21ED3144">
      <w:pPr>
        <w:pStyle w:val="4"/>
        <w:bidi w:val="0"/>
        <w:rPr>
          <w:rFonts w:hint="default"/>
        </w:rPr>
      </w:pPr>
      <w:bookmarkStart w:id="670" w:name="_Toc16270"/>
      <w:r>
        <w:rPr>
          <w:rFonts w:hint="default"/>
        </w:rPr>
        <w:t>环境风险影响评价结论</w:t>
      </w:r>
      <w:bookmarkEnd w:id="670"/>
    </w:p>
    <w:p w14:paraId="5ACA29C0">
      <w:pPr>
        <w:pStyle w:val="41"/>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rPr>
        <w:t>本项目运营过程中存在滑坡、</w:t>
      </w:r>
      <w:r>
        <w:rPr>
          <w:rFonts w:hint="eastAsia"/>
          <w:lang w:val="en-US" w:eastAsia="zh-CN"/>
        </w:rPr>
        <w:t>污水</w:t>
      </w:r>
      <w:r>
        <w:rPr>
          <w:rFonts w:hint="default"/>
        </w:rPr>
        <w:t>泄漏、</w:t>
      </w:r>
      <w:r>
        <w:rPr>
          <w:rFonts w:hint="eastAsia"/>
          <w:lang w:val="en-US" w:eastAsia="zh-CN"/>
        </w:rPr>
        <w:t>危废泄漏以及</w:t>
      </w:r>
      <w:r>
        <w:rPr>
          <w:rFonts w:hint="default"/>
        </w:rPr>
        <w:t>火灾、爆炸等环境风险。通过对本项目运营过程中存在的风险潜势进行判断，本项目环境风险潜势为I，本评价认为只要在运营过程中不断加强生产安全和环境管理，对每</w:t>
      </w:r>
      <w:r>
        <w:rPr>
          <w:rFonts w:hint="eastAsia"/>
          <w:lang w:eastAsia="zh-CN"/>
        </w:rPr>
        <w:t>一个</w:t>
      </w:r>
      <w:r>
        <w:rPr>
          <w:rFonts w:hint="default"/>
        </w:rPr>
        <w:t>环节按风险评价和突发环境事件应急预案要求落实防范措施和应急措施，从环境风险评价的角度上分析，本项目环境风险是可控制的</w:t>
      </w:r>
      <w:r>
        <w:rPr>
          <w:rFonts w:hint="default"/>
          <w:lang w:eastAsia="zh-CN"/>
        </w:rPr>
        <w:t>。</w:t>
      </w:r>
    </w:p>
    <w:p w14:paraId="51ADC536">
      <w:pPr>
        <w:pStyle w:val="3"/>
        <w:bidi w:val="0"/>
        <w:rPr>
          <w:rFonts w:hint="default" w:ascii="Times New Roman" w:hAnsi="Times New Roman" w:cs="Times New Roman"/>
          <w:color w:val="000000" w:themeColor="text1"/>
          <w:highlight w:val="none"/>
          <w14:textFill>
            <w14:solidFill>
              <w14:schemeClr w14:val="tx1"/>
            </w14:solidFill>
          </w14:textFill>
        </w:rPr>
      </w:pPr>
      <w:bookmarkStart w:id="671" w:name="_Toc21170"/>
      <w:r>
        <w:rPr>
          <w:rFonts w:hint="default" w:ascii="Times New Roman" w:hAnsi="Times New Roman" w:cs="Times New Roman"/>
          <w:color w:val="000000" w:themeColor="text1"/>
          <w:highlight w:val="none"/>
          <w14:textFill>
            <w14:solidFill>
              <w14:schemeClr w14:val="tx1"/>
            </w14:solidFill>
          </w14:textFill>
        </w:rPr>
        <w:t>环保投资</w:t>
      </w:r>
      <w:bookmarkEnd w:id="671"/>
    </w:p>
    <w:p w14:paraId="2C1919B8">
      <w:pPr>
        <w:pStyle w:val="41"/>
        <w:bidi w:val="0"/>
        <w:rPr>
          <w:rFonts w:hint="default"/>
        </w:rPr>
      </w:pPr>
      <w:r>
        <w:rPr>
          <w:rFonts w:hint="default"/>
        </w:rPr>
        <w:t>本项目建设的环境保护工程包括环境空气污染防治、废水处理、固体废物处置、噪声防治、植被恢复与绿化、场地环境整治等。</w:t>
      </w:r>
      <w:r>
        <w:rPr>
          <w:rFonts w:hint="default"/>
          <w:lang w:val="en-US" w:eastAsia="zh-CN"/>
        </w:rPr>
        <w:t>本项目总投资</w:t>
      </w:r>
      <w:r>
        <w:rPr>
          <w:rFonts w:hint="eastAsia"/>
          <w:lang w:val="en-US" w:eastAsia="zh-CN"/>
        </w:rPr>
        <w:t>1000</w:t>
      </w:r>
      <w:r>
        <w:rPr>
          <w:rFonts w:hint="default"/>
          <w:lang w:val="en-US" w:eastAsia="zh-CN"/>
        </w:rPr>
        <w:t>万元，其中环保总投资</w:t>
      </w:r>
      <w:r>
        <w:rPr>
          <w:rFonts w:hint="eastAsia"/>
          <w:lang w:val="en-US" w:eastAsia="zh-CN"/>
        </w:rPr>
        <w:t>181</w:t>
      </w:r>
      <w:r>
        <w:rPr>
          <w:rFonts w:hint="default"/>
          <w:lang w:val="en-US" w:eastAsia="zh-CN"/>
        </w:rPr>
        <w:t>万元，占总投资的</w:t>
      </w:r>
      <w:r>
        <w:rPr>
          <w:rFonts w:hint="eastAsia"/>
          <w:lang w:val="en-US" w:eastAsia="zh-CN"/>
        </w:rPr>
        <w:t>18.1</w:t>
      </w:r>
      <w:r>
        <w:rPr>
          <w:rFonts w:hint="default"/>
          <w:lang w:val="en-US" w:eastAsia="zh-CN"/>
        </w:rPr>
        <w:t>%。</w:t>
      </w:r>
    </w:p>
    <w:p w14:paraId="5D58C584">
      <w:pPr>
        <w:pStyle w:val="3"/>
        <w:bidi w:val="0"/>
        <w:rPr>
          <w:rFonts w:hint="default" w:ascii="Times New Roman" w:hAnsi="Times New Roman" w:cs="Times New Roman"/>
          <w:color w:val="000000" w:themeColor="text1"/>
          <w:highlight w:val="none"/>
          <w14:textFill>
            <w14:solidFill>
              <w14:schemeClr w14:val="tx1"/>
            </w14:solidFill>
          </w14:textFill>
        </w:rPr>
      </w:pPr>
      <w:bookmarkStart w:id="672" w:name="_Toc17181"/>
      <w:r>
        <w:rPr>
          <w:rFonts w:hint="default" w:ascii="Times New Roman" w:hAnsi="Times New Roman" w:cs="Times New Roman"/>
          <w:color w:val="000000" w:themeColor="text1"/>
          <w:highlight w:val="none"/>
          <w14:textFill>
            <w14:solidFill>
              <w14:schemeClr w14:val="tx1"/>
            </w14:solidFill>
          </w14:textFill>
        </w:rPr>
        <w:t>公众参与结论</w:t>
      </w:r>
      <w:bookmarkEnd w:id="672"/>
    </w:p>
    <w:p w14:paraId="44F0DC78">
      <w:pPr>
        <w:pStyle w:val="41"/>
        <w:bidi w:val="0"/>
        <w:rPr>
          <w:rFonts w:hint="default"/>
        </w:rPr>
      </w:pPr>
      <w:r>
        <w:rPr>
          <w:rFonts w:hint="default"/>
        </w:rPr>
        <w:t>根据</w:t>
      </w:r>
      <w:r>
        <w:rPr>
          <w:rFonts w:hint="eastAsia"/>
          <w:lang w:eastAsia="zh-CN"/>
        </w:rPr>
        <w:t>《</w:t>
      </w:r>
      <w:r>
        <w:rPr>
          <w:rFonts w:hint="default"/>
        </w:rPr>
        <w:t>环境影响评价公众参与办法》（生态环境部令第4号，2019年1月1日起实施）要求，建设单位</w:t>
      </w:r>
      <w:r>
        <w:rPr>
          <w:rFonts w:hint="default"/>
          <w:lang w:val="en-US" w:eastAsia="zh-CN"/>
        </w:rPr>
        <w:t>于202</w:t>
      </w:r>
      <w:r>
        <w:rPr>
          <w:rFonts w:hint="eastAsia"/>
          <w:lang w:val="en-US" w:eastAsia="zh-CN"/>
        </w:rPr>
        <w:t>5</w:t>
      </w:r>
      <w:r>
        <w:rPr>
          <w:rFonts w:hint="default"/>
          <w:lang w:val="en-US" w:eastAsia="zh-CN"/>
        </w:rPr>
        <w:t>年</w:t>
      </w:r>
      <w:r>
        <w:rPr>
          <w:rFonts w:hint="eastAsia"/>
          <w:lang w:val="en-US" w:eastAsia="zh-CN"/>
        </w:rPr>
        <w:t>8</w:t>
      </w:r>
      <w:r>
        <w:rPr>
          <w:rFonts w:hint="default"/>
          <w:lang w:val="en-US" w:eastAsia="zh-CN"/>
        </w:rPr>
        <w:t>月</w:t>
      </w:r>
      <w:r>
        <w:rPr>
          <w:rFonts w:hint="eastAsia"/>
          <w:lang w:val="en-US" w:eastAsia="zh-CN"/>
        </w:rPr>
        <w:t>20</w:t>
      </w:r>
      <w:r>
        <w:rPr>
          <w:rFonts w:hint="default"/>
          <w:lang w:val="en-US" w:eastAsia="zh-CN"/>
        </w:rPr>
        <w:t>日</w:t>
      </w:r>
      <w:r>
        <w:rPr>
          <w:rFonts w:hint="default"/>
        </w:rPr>
        <w:t>对本项目进行了首次信息公示，首次信息公示采用网络公示的方式，公示期间未收到任何反对项目建设的意见。</w:t>
      </w:r>
    </w:p>
    <w:p w14:paraId="4A493410">
      <w:pPr>
        <w:pStyle w:val="41"/>
        <w:bidi w:val="0"/>
        <w:rPr>
          <w:rFonts w:hint="default"/>
          <w:lang w:val="en-US" w:eastAsia="zh-CN"/>
        </w:rPr>
      </w:pPr>
      <w:r>
        <w:rPr>
          <w:rFonts w:hint="default"/>
          <w:lang w:eastAsia="zh-CN"/>
        </w:rPr>
        <w:t>征求意见稿完成后，建设单位于</w:t>
      </w:r>
      <w:r>
        <w:rPr>
          <w:rFonts w:hint="default"/>
          <w:lang w:val="en-US" w:eastAsia="zh-CN"/>
        </w:rPr>
        <w:t>2026年</w:t>
      </w:r>
      <w:r>
        <w:rPr>
          <w:rFonts w:hint="eastAsia"/>
          <w:lang w:val="en-US" w:eastAsia="zh-CN"/>
        </w:rPr>
        <w:t>6</w:t>
      </w:r>
      <w:r>
        <w:rPr>
          <w:rFonts w:hint="default"/>
          <w:lang w:val="en-US" w:eastAsia="zh-CN"/>
        </w:rPr>
        <w:t>月</w:t>
      </w:r>
      <w:r>
        <w:rPr>
          <w:rFonts w:hint="eastAsia"/>
          <w:lang w:val="en-US" w:eastAsia="zh-CN"/>
        </w:rPr>
        <w:t>5</w:t>
      </w:r>
      <w:r>
        <w:rPr>
          <w:rFonts w:hint="default"/>
          <w:lang w:val="en-US" w:eastAsia="zh-CN"/>
        </w:rPr>
        <w:t>日</w:t>
      </w:r>
      <w:r>
        <w:rPr>
          <w:rFonts w:hint="eastAsia"/>
          <w:lang w:val="en-US" w:eastAsia="zh-CN"/>
        </w:rPr>
        <w:t>—6</w:t>
      </w:r>
      <w:r>
        <w:rPr>
          <w:rFonts w:hint="default"/>
          <w:lang w:val="en-US" w:eastAsia="zh-CN"/>
        </w:rPr>
        <w:t>月</w:t>
      </w:r>
      <w:r>
        <w:rPr>
          <w:rFonts w:hint="eastAsia"/>
          <w:lang w:val="en-US" w:eastAsia="zh-CN"/>
        </w:rPr>
        <w:t>18</w:t>
      </w:r>
      <w:r>
        <w:rPr>
          <w:rFonts w:hint="default"/>
          <w:lang w:val="en-US" w:eastAsia="zh-CN"/>
        </w:rPr>
        <w:t>日</w:t>
      </w:r>
      <w:r>
        <w:rPr>
          <w:rFonts w:hint="default"/>
          <w:lang w:eastAsia="zh-CN"/>
        </w:rPr>
        <w:t>在项目区、</w:t>
      </w:r>
      <w:r>
        <w:rPr>
          <w:rFonts w:hint="eastAsia"/>
          <w:lang w:val="en-US" w:eastAsia="zh-CN"/>
        </w:rPr>
        <w:t>红舍克村</w:t>
      </w:r>
      <w:r>
        <w:rPr>
          <w:rFonts w:hint="default"/>
          <w:lang w:eastAsia="zh-CN"/>
        </w:rPr>
        <w:t>，</w:t>
      </w:r>
      <w:r>
        <w:rPr>
          <w:rFonts w:hint="eastAsia"/>
          <w:lang w:val="en-US" w:eastAsia="zh-CN"/>
        </w:rPr>
        <w:t>当地</w:t>
      </w:r>
      <w:r>
        <w:rPr>
          <w:rFonts w:hint="default"/>
          <w:lang w:eastAsia="zh-CN"/>
        </w:rPr>
        <w:t>报纸、</w:t>
      </w:r>
      <w:r>
        <w:rPr>
          <w:rFonts w:hint="eastAsia"/>
          <w:lang w:eastAsia="zh-CN"/>
        </w:rPr>
        <w:t>砚山县</w:t>
      </w:r>
      <w:r>
        <w:rPr>
          <w:rFonts w:hint="default"/>
          <w:lang w:eastAsia="zh-CN"/>
        </w:rPr>
        <w:t>人民政府网站同步进行了征求意见稿公示；同时发放调查问卷广泛征求公众意见。</w:t>
      </w:r>
    </w:p>
    <w:p w14:paraId="4AA5AC14">
      <w:pPr>
        <w:pStyle w:val="3"/>
        <w:bidi w:val="0"/>
        <w:rPr>
          <w:rFonts w:hint="default" w:ascii="Times New Roman" w:hAnsi="Times New Roman" w:cs="Times New Roman"/>
          <w:color w:val="000000" w:themeColor="text1"/>
          <w:highlight w:val="none"/>
          <w14:textFill>
            <w14:solidFill>
              <w14:schemeClr w14:val="tx1"/>
            </w14:solidFill>
          </w14:textFill>
        </w:rPr>
      </w:pPr>
      <w:bookmarkStart w:id="673" w:name="_Toc7556"/>
      <w:r>
        <w:rPr>
          <w:rFonts w:hint="default" w:ascii="Times New Roman" w:hAnsi="Times New Roman" w:cs="Times New Roman"/>
          <w:color w:val="000000" w:themeColor="text1"/>
          <w:highlight w:val="none"/>
          <w14:textFill>
            <w14:solidFill>
              <w14:schemeClr w14:val="tx1"/>
            </w14:solidFill>
          </w14:textFill>
        </w:rPr>
        <w:t>综合评价结论</w:t>
      </w:r>
      <w:bookmarkEnd w:id="673"/>
    </w:p>
    <w:p w14:paraId="5CF6BA58">
      <w:pPr>
        <w:pStyle w:val="41"/>
        <w:bidi w:val="0"/>
        <w:rPr>
          <w:rFonts w:hint="default"/>
          <w:lang w:eastAsia="zh-CN"/>
        </w:rPr>
      </w:pPr>
      <w:r>
        <w:rPr>
          <w:rFonts w:hint="default"/>
        </w:rPr>
        <w:t>据现场调查，项目</w:t>
      </w:r>
      <w:r>
        <w:rPr>
          <w:rFonts w:hint="default"/>
          <w:lang w:val="en-US" w:eastAsia="zh-CN"/>
        </w:rPr>
        <w:t>评价范围</w:t>
      </w:r>
      <w:r>
        <w:rPr>
          <w:rFonts w:hint="default"/>
        </w:rPr>
        <w:t>不涉及</w:t>
      </w:r>
      <w:r>
        <w:rPr>
          <w:rFonts w:hint="default"/>
          <w:lang w:val="en-US" w:eastAsia="zh-CN"/>
        </w:rPr>
        <w:t>国家公园、自然保护区、风景名胜区、世界文化和自然遗产地、饮用水水源保护区、重要生境；</w:t>
      </w:r>
      <w:r>
        <w:rPr>
          <w:rFonts w:hint="eastAsia"/>
          <w:lang w:val="en-US" w:eastAsia="zh-CN"/>
        </w:rPr>
        <w:t>项目不占用生态保护红线、永久基本农田。</w:t>
      </w:r>
      <w:r>
        <w:rPr>
          <w:rFonts w:hint="default"/>
        </w:rPr>
        <w:t>项目周边不存在</w:t>
      </w:r>
      <w:r>
        <w:rPr>
          <w:rFonts w:hint="eastAsia"/>
          <w:lang w:val="en-US" w:eastAsia="zh-CN"/>
        </w:rPr>
        <w:t>高速公路、</w:t>
      </w:r>
      <w:r>
        <w:rPr>
          <w:rFonts w:hint="default"/>
        </w:rPr>
        <w:t>铁路、石油天然气输送管道和高压输电线路等重要设施</w:t>
      </w:r>
      <w:r>
        <w:rPr>
          <w:rFonts w:hint="default"/>
          <w:lang w:eastAsia="zh-CN"/>
        </w:rPr>
        <w:t>。</w:t>
      </w:r>
    </w:p>
    <w:p w14:paraId="51DFD2F2">
      <w:pPr>
        <w:pStyle w:val="41"/>
        <w:bidi w:val="0"/>
        <w:rPr>
          <w:rFonts w:hint="default"/>
          <w:lang w:val="en-US" w:eastAsia="zh-CN"/>
        </w:rPr>
      </w:pPr>
      <w:r>
        <w:rPr>
          <w:rFonts w:hint="default"/>
        </w:rPr>
        <w:t>项目建设符合</w:t>
      </w:r>
      <w:r>
        <w:rPr>
          <w:rFonts w:hint="default"/>
          <w:lang w:val="en-US" w:eastAsia="zh-CN"/>
        </w:rPr>
        <w:t>国家和地方法律法规、产业政策、</w:t>
      </w:r>
      <w:r>
        <w:rPr>
          <w:rFonts w:hint="default"/>
        </w:rPr>
        <w:t>规划</w:t>
      </w:r>
      <w:r>
        <w:rPr>
          <w:rFonts w:hint="default"/>
          <w:lang w:eastAsia="zh-CN"/>
        </w:rPr>
        <w:t>，</w:t>
      </w:r>
      <w:r>
        <w:rPr>
          <w:rFonts w:hint="default"/>
        </w:rPr>
        <w:t>场地的选址符合相关规范和文件的要求，选址合理。项目采用的开采工艺较为先进，符合清洁生产原则；项目在认真落实初步设计和本环评提出的各项环保措施的情况下，可实现</w:t>
      </w:r>
      <w:r>
        <w:rPr>
          <w:rFonts w:hint="eastAsia"/>
          <w:lang w:eastAsia="zh-CN"/>
        </w:rPr>
        <w:t>“</w:t>
      </w:r>
      <w:r>
        <w:rPr>
          <w:rFonts w:hint="default"/>
        </w:rPr>
        <w:t>三废</w:t>
      </w:r>
      <w:r>
        <w:rPr>
          <w:rFonts w:hint="eastAsia"/>
          <w:lang w:eastAsia="zh-CN"/>
        </w:rPr>
        <w:t>”</w:t>
      </w:r>
      <w:r>
        <w:rPr>
          <w:rFonts w:hint="default"/>
        </w:rPr>
        <w:t>和噪声达标排放，区域环境功能不会发生改变；矿山开采对当地生态环境的影响可通过实施治理恢复措施后得到减轻和改善。评价认为，只要严格落实环保措施，严格执行</w:t>
      </w:r>
      <w:r>
        <w:rPr>
          <w:rFonts w:hint="eastAsia"/>
          <w:lang w:eastAsia="zh-CN"/>
        </w:rPr>
        <w:t>“</w:t>
      </w:r>
      <w:r>
        <w:rPr>
          <w:rFonts w:hint="default"/>
        </w:rPr>
        <w:t>三同时</w:t>
      </w:r>
      <w:r>
        <w:rPr>
          <w:rFonts w:hint="eastAsia"/>
          <w:lang w:eastAsia="zh-CN"/>
        </w:rPr>
        <w:t>”</w:t>
      </w:r>
      <w:r>
        <w:rPr>
          <w:rFonts w:hint="default"/>
        </w:rPr>
        <w:t>，本项目建设从环境保护的角度来看是可行的。</w:t>
      </w:r>
    </w:p>
    <w:p w14:paraId="7FE85172">
      <w:pPr>
        <w:pStyle w:val="41"/>
        <w:bidi w:val="0"/>
        <w:rPr>
          <w:rFonts w:hint="default"/>
          <w:lang w:val="en-US" w:eastAsia="zh-CN"/>
        </w:rPr>
      </w:pPr>
    </w:p>
    <w:sectPr>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Noto Sans SC">
    <w:panose1 w:val="020B0200000000000000"/>
    <w:charset w:val="86"/>
    <w:family w:val="auto"/>
    <w:pitch w:val="default"/>
    <w:sig w:usb0="20000083" w:usb1="2ADF3C10" w:usb2="00000016" w:usb3="00000000" w:csb0="60060107"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E963">
    <w:pPr>
      <w:pStyle w:val="28"/>
      <w:framePr w:wrap="around" w:vAnchor="text" w:hAnchor="margin" w:xAlign="center" w:y="1"/>
      <w:rPr>
        <w:rStyle w:val="38"/>
      </w:rPr>
    </w:pPr>
    <w:r>
      <w:fldChar w:fldCharType="begin"/>
    </w:r>
    <w:r>
      <w:rPr>
        <w:rStyle w:val="38"/>
      </w:rPr>
      <w:instrText xml:space="preserve">PAGE  </w:instrText>
    </w:r>
    <w:r>
      <w:fldChar w:fldCharType="end"/>
    </w:r>
  </w:p>
  <w:p w14:paraId="2CFFD0AE">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E30AE">
    <w:pPr>
      <w:tabs>
        <w:tab w:val="center" w:pos="4153"/>
        <w:tab w:val="right" w:pos="8306"/>
      </w:tabs>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A999A">
    <w:pPr>
      <w:spacing w:line="176" w:lineRule="auto"/>
      <w:ind w:left="42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2A6F5">
                          <w:pPr>
                            <w:pStyle w:val="2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14:paraId="4A62A6F5">
                    <w:pPr>
                      <w:pStyle w:val="2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2EE4">
    <w:pPr>
      <w:spacing w:line="176" w:lineRule="auto"/>
      <w:ind w:left="39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8E5A3">
                          <w:pPr>
                            <w:pStyle w:val="28"/>
                          </w:pPr>
                          <w:r>
                            <w:fldChar w:fldCharType="begin"/>
                          </w:r>
                          <w:r>
                            <w:instrText xml:space="preserve"> PAGE  \* MERGEFORMAT </w:instrText>
                          </w:r>
                          <w:r>
                            <w:fldChar w:fldCharType="separate"/>
                          </w:r>
                          <w:r>
                            <w:t>LXXIX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2398E5A3">
                    <w:pPr>
                      <w:pStyle w:val="28"/>
                    </w:pPr>
                    <w:r>
                      <w:fldChar w:fldCharType="begin"/>
                    </w:r>
                    <w:r>
                      <w:instrText xml:space="preserve"> PAGE  \* MERGEFORMAT </w:instrText>
                    </w:r>
                    <w:r>
                      <w:fldChar w:fldCharType="separate"/>
                    </w:r>
                    <w:r>
                      <w:t>LXXIX</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55EE3">
    <w:pPr>
      <w:spacing w:line="176" w:lineRule="auto"/>
      <w:ind w:left="39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F4731">
                          <w:pPr>
                            <w:pStyle w:val="28"/>
                          </w:pPr>
                          <w:r>
                            <w:fldChar w:fldCharType="begin"/>
                          </w:r>
                          <w:r>
                            <w:instrText xml:space="preserve"> PAGE  \* MERGEFORMAT </w:instrText>
                          </w:r>
                          <w:r>
                            <w:fldChar w:fldCharType="separate"/>
                          </w:r>
                          <w:r>
                            <w:t>LXXIX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19FF4731">
                    <w:pPr>
                      <w:pStyle w:val="28"/>
                    </w:pPr>
                    <w:r>
                      <w:fldChar w:fldCharType="begin"/>
                    </w:r>
                    <w:r>
                      <w:instrText xml:space="preserve"> PAGE  \* MERGEFORMAT </w:instrText>
                    </w:r>
                    <w:r>
                      <w:fldChar w:fldCharType="separate"/>
                    </w:r>
                    <w:r>
                      <w:t>LXXIX</w:t>
                    </w:r>
                    <w:r>
                      <w:fldChar w:fldCharType="end"/>
                    </w:r>
                  </w:p>
                </w:txbxContent>
              </v:textbox>
            </v:shape>
          </w:pict>
        </mc:Fallback>
      </mc:AlternateContent>
    </w:r>
    <w:r>
      <w:rPr>
        <w:rFonts w:ascii="Times New Roman" w:hAnsi="Times New Roman" w:eastAsia="Times New Roman" w:cs="Times New Roman"/>
        <w:sz w:val="18"/>
        <w:szCs w:val="18"/>
      </w:rPr>
      <w:t>— 205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1D96">
    <w:pPr>
      <w:pStyle w:val="22"/>
      <w:spacing w:line="209" w:lineRule="auto"/>
      <w:ind w:left="3769"/>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224A5">
                          <w:pPr>
                            <w:pStyle w:val="28"/>
                          </w:pPr>
                          <w:r>
                            <w:fldChar w:fldCharType="begin"/>
                          </w:r>
                          <w:r>
                            <w:instrText xml:space="preserve"> PAGE  \* MERGEFORMAT </w:instrText>
                          </w:r>
                          <w:r>
                            <w:fldChar w:fldCharType="separate"/>
                          </w:r>
                          <w:r>
                            <w:t>CXXXIX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4F5224A5">
                    <w:pPr>
                      <w:pStyle w:val="28"/>
                    </w:pPr>
                    <w:r>
                      <w:fldChar w:fldCharType="begin"/>
                    </w:r>
                    <w:r>
                      <w:instrText xml:space="preserve"> PAGE  \* MERGEFORMAT </w:instrText>
                    </w:r>
                    <w:r>
                      <w:fldChar w:fldCharType="separate"/>
                    </w:r>
                    <w:r>
                      <w:t>CXXXIX</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87B1D">
    <w:pPr>
      <w:spacing w:line="176" w:lineRule="auto"/>
      <w:ind w:left="39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CE7DE">
                          <w:pPr>
                            <w:pStyle w:val="28"/>
                          </w:pPr>
                          <w:r>
                            <w:fldChar w:fldCharType="begin"/>
                          </w:r>
                          <w:r>
                            <w:instrText xml:space="preserve"> PAGE  \* MERGEFORMAT </w:instrText>
                          </w:r>
                          <w:r>
                            <w:fldChar w:fldCharType="separate"/>
                          </w:r>
                          <w:r>
                            <w:t>CLXXII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21FCE7DE">
                    <w:pPr>
                      <w:pStyle w:val="28"/>
                    </w:pPr>
                    <w:r>
                      <w:fldChar w:fldCharType="begin"/>
                    </w:r>
                    <w:r>
                      <w:instrText xml:space="preserve"> PAGE  \* MERGEFORMAT </w:instrText>
                    </w:r>
                    <w:r>
                      <w:fldChar w:fldCharType="separate"/>
                    </w:r>
                    <w:r>
                      <w:t>CLXXII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4032D">
    <w:pPr>
      <w:spacing w:line="176" w:lineRule="auto"/>
      <w:ind w:left="43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6651C">
                          <w:pPr>
                            <w:pStyle w:val="28"/>
                          </w:pPr>
                          <w:r>
                            <w:fldChar w:fldCharType="begin"/>
                          </w:r>
                          <w:r>
                            <w:instrText xml:space="preserve"> PAGE  \* MERGEFORMAT </w:instrText>
                          </w:r>
                          <w:r>
                            <w:fldChar w:fldCharType="separate"/>
                          </w:r>
                          <w:r>
                            <w:t>CCXXXI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2A86651C">
                    <w:pPr>
                      <w:pStyle w:val="28"/>
                    </w:pPr>
                    <w:r>
                      <w:fldChar w:fldCharType="begin"/>
                    </w:r>
                    <w:r>
                      <w:instrText xml:space="preserve"> PAGE  \* MERGEFORMAT </w:instrText>
                    </w:r>
                    <w:r>
                      <w:fldChar w:fldCharType="separate"/>
                    </w:r>
                    <w:r>
                      <w:t>CCXXXI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6129D">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059AB">
    <w:pPr>
      <w:pBdr>
        <w:bottom w:val="single" w:color="auto" w:sz="4" w:space="0"/>
      </w:pBdr>
      <w:tabs>
        <w:tab w:val="center" w:pos="4153"/>
        <w:tab w:val="right" w:pos="8306"/>
      </w:tabs>
      <w:ind w:firstLine="0" w:firstLineChars="0"/>
      <w:jc w:val="center"/>
      <w:rPr>
        <w:rFonts w:hint="eastAsia" w:ascii="宋体" w:hAnsi="宋体" w:eastAsia="宋体" w:cs="宋体"/>
        <w:sz w:val="18"/>
        <w:szCs w:val="18"/>
        <w:lang w:val="en-US" w:eastAsia="zh-CN"/>
      </w:rPr>
    </w:pPr>
  </w:p>
  <w:p w14:paraId="4C5805D4">
    <w:pPr>
      <w:pBdr>
        <w:bottom w:val="single" w:color="auto" w:sz="4" w:space="0"/>
      </w:pBdr>
      <w:tabs>
        <w:tab w:val="center" w:pos="4153"/>
        <w:tab w:val="right" w:pos="8306"/>
      </w:tabs>
      <w:ind w:firstLine="0" w:firstLineChars="0"/>
      <w:jc w:val="center"/>
      <w:rPr>
        <w:b/>
        <w:bCs/>
        <w:sz w:val="21"/>
        <w:szCs w:val="21"/>
      </w:rPr>
    </w:pPr>
    <w:r>
      <w:rPr>
        <w:rFonts w:hint="eastAsia" w:ascii="宋体" w:hAnsi="宋体" w:eastAsia="宋体" w:cs="宋体"/>
        <w:b/>
        <w:bCs/>
        <w:sz w:val="21"/>
        <w:szCs w:val="21"/>
        <w:lang w:val="en-US" w:eastAsia="zh-CN"/>
      </w:rPr>
      <w:t>砚山县红舍克东山石灰岩矿</w:t>
    </w:r>
    <w:r>
      <w:rPr>
        <w:rFonts w:hint="eastAsia" w:ascii="宋体" w:hAnsi="宋体" w:eastAsia="宋体" w:cs="宋体"/>
        <w:b/>
        <w:bCs/>
        <w:sz w:val="21"/>
        <w:szCs w:val="21"/>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147F6">
    <w:pPr>
      <w:pBdr>
        <w:bottom w:val="single" w:color="auto" w:sz="4" w:space="0"/>
      </w:pBdr>
      <w:tabs>
        <w:tab w:val="center" w:pos="4153"/>
        <w:tab w:val="right" w:pos="8306"/>
      </w:tabs>
      <w:ind w:firstLine="0" w:firstLineChars="0"/>
      <w:jc w:val="center"/>
      <w:rPr>
        <w:rFonts w:hint="eastAsia" w:ascii="宋体" w:hAnsi="宋体" w:eastAsia="宋体" w:cs="宋体"/>
        <w:b/>
        <w:bCs/>
        <w:sz w:val="21"/>
        <w:szCs w:val="21"/>
        <w:lang w:val="en-US" w:eastAsia="zh-CN"/>
      </w:rPr>
    </w:pPr>
  </w:p>
  <w:p w14:paraId="6A2D4BF4">
    <w:pPr>
      <w:pBdr>
        <w:bottom w:val="single" w:color="auto" w:sz="4" w:space="0"/>
      </w:pBdr>
      <w:tabs>
        <w:tab w:val="center" w:pos="4153"/>
        <w:tab w:val="right" w:pos="8306"/>
      </w:tabs>
      <w:ind w:firstLine="0" w:firstLineChars="0"/>
      <w:jc w:val="center"/>
      <w:rPr>
        <w:b/>
        <w:bCs/>
        <w:sz w:val="21"/>
        <w:szCs w:val="21"/>
      </w:rPr>
    </w:pPr>
    <w:r>
      <w:rPr>
        <w:rFonts w:hint="eastAsia" w:ascii="宋体" w:hAnsi="宋体" w:eastAsia="宋体" w:cs="宋体"/>
        <w:b/>
        <w:bCs/>
        <w:sz w:val="21"/>
        <w:szCs w:val="21"/>
        <w:lang w:val="en-US" w:eastAsia="zh-CN"/>
      </w:rPr>
      <w:t>砚山县红舍克东山石灰岩矿</w:t>
    </w:r>
    <w:r>
      <w:rPr>
        <w:rFonts w:hint="eastAsia" w:ascii="宋体" w:hAnsi="宋体" w:eastAsia="宋体" w:cs="宋体"/>
        <w:b/>
        <w:bCs/>
        <w:sz w:val="21"/>
        <w:szCs w:val="21"/>
      </w:rPr>
      <w:t>环境影响报告书</w:t>
    </w:r>
  </w:p>
  <w:p w14:paraId="024BD8E3">
    <w:pPr>
      <w:spacing w:before="10" w:line="47"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C37A9">
    <w:pPr>
      <w:spacing w:before="15" w:line="19" w:lineRule="exact"/>
      <w:ind w:firstLine="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B3F0">
    <w:pPr>
      <w:spacing w:line="47"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C596B">
    <w:pPr>
      <w:pBdr>
        <w:bottom w:val="single" w:color="auto" w:sz="4" w:space="0"/>
      </w:pBdr>
      <w:tabs>
        <w:tab w:val="center" w:pos="4153"/>
        <w:tab w:val="right" w:pos="8306"/>
      </w:tabs>
      <w:ind w:firstLine="0" w:firstLineChars="0"/>
      <w:jc w:val="center"/>
      <w:rPr>
        <w:rFonts w:hint="eastAsia" w:ascii="宋体" w:hAnsi="宋体" w:eastAsia="宋体" w:cs="宋体"/>
        <w:b/>
        <w:bCs/>
        <w:sz w:val="21"/>
        <w:szCs w:val="21"/>
        <w:lang w:val="en-US" w:eastAsia="zh-CN"/>
      </w:rPr>
    </w:pPr>
  </w:p>
  <w:p w14:paraId="08C67289">
    <w:pPr>
      <w:pBdr>
        <w:bottom w:val="single" w:color="auto" w:sz="4" w:space="0"/>
      </w:pBdr>
      <w:tabs>
        <w:tab w:val="center" w:pos="4153"/>
        <w:tab w:val="right" w:pos="8306"/>
      </w:tabs>
      <w:ind w:firstLine="0" w:firstLineChars="0"/>
      <w:jc w:val="center"/>
      <w:rPr>
        <w:b/>
        <w:bCs/>
        <w:sz w:val="21"/>
        <w:szCs w:val="21"/>
      </w:rPr>
    </w:pPr>
    <w:r>
      <w:rPr>
        <w:rFonts w:hint="eastAsia" w:ascii="宋体" w:hAnsi="宋体" w:eastAsia="宋体" w:cs="宋体"/>
        <w:b/>
        <w:bCs/>
        <w:sz w:val="21"/>
        <w:szCs w:val="21"/>
        <w:lang w:val="en-US" w:eastAsia="zh-CN"/>
      </w:rPr>
      <w:t>砚山县红舍克东山石灰岩矿</w:t>
    </w:r>
    <w:r>
      <w:rPr>
        <w:rFonts w:hint="eastAsia" w:ascii="宋体" w:hAnsi="宋体" w:eastAsia="宋体" w:cs="宋体"/>
        <w:b/>
        <w:bCs/>
        <w:sz w:val="21"/>
        <w:szCs w:val="21"/>
      </w:rPr>
      <w:t>环境影响报告书</w:t>
    </w:r>
  </w:p>
  <w:p w14:paraId="145E3432">
    <w:pPr>
      <w:pBdr>
        <w:bottom w:val="none" w:color="auto" w:sz="0" w:space="1"/>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FBFFC"/>
    <w:multiLevelType w:val="singleLevel"/>
    <w:tmpl w:val="920FBFFC"/>
    <w:lvl w:ilvl="0" w:tentative="0">
      <w:start w:val="3"/>
      <w:numFmt w:val="decimal"/>
      <w:suff w:val="nothing"/>
      <w:lvlText w:val="（%1）"/>
      <w:lvlJc w:val="left"/>
    </w:lvl>
  </w:abstractNum>
  <w:abstractNum w:abstractNumId="1">
    <w:nsid w:val="A15C4409"/>
    <w:multiLevelType w:val="multilevel"/>
    <w:tmpl w:val="A15C4409"/>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408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BEB5E8DA"/>
    <w:multiLevelType w:val="singleLevel"/>
    <w:tmpl w:val="BEB5E8DA"/>
    <w:lvl w:ilvl="0" w:tentative="0">
      <w:start w:val="1"/>
      <w:numFmt w:val="decimal"/>
      <w:lvlText w:val="%1."/>
      <w:lvlJc w:val="left"/>
      <w:pPr>
        <w:tabs>
          <w:tab w:val="left" w:pos="312"/>
        </w:tabs>
      </w:pPr>
    </w:lvl>
  </w:abstractNum>
  <w:abstractNum w:abstractNumId="3">
    <w:nsid w:val="D360D477"/>
    <w:multiLevelType w:val="singleLevel"/>
    <w:tmpl w:val="D360D477"/>
    <w:lvl w:ilvl="0" w:tentative="0">
      <w:start w:val="1"/>
      <w:numFmt w:val="decimal"/>
      <w:suff w:val="nothing"/>
      <w:lvlText w:val="%1）"/>
      <w:lvlJc w:val="left"/>
    </w:lvl>
  </w:abstractNum>
  <w:abstractNum w:abstractNumId="4">
    <w:nsid w:val="E0DEF51F"/>
    <w:multiLevelType w:val="singleLevel"/>
    <w:tmpl w:val="E0DEF51F"/>
    <w:lvl w:ilvl="0" w:tentative="0">
      <w:start w:val="1"/>
      <w:numFmt w:val="decimal"/>
      <w:suff w:val="nothing"/>
      <w:lvlText w:val="（%1）"/>
      <w:lvlJc w:val="left"/>
    </w:lvl>
  </w:abstractNum>
  <w:abstractNum w:abstractNumId="5">
    <w:nsid w:val="2AE50338"/>
    <w:multiLevelType w:val="singleLevel"/>
    <w:tmpl w:val="2AE50338"/>
    <w:lvl w:ilvl="0" w:tentative="0">
      <w:start w:val="1"/>
      <w:numFmt w:val="decimal"/>
      <w:suff w:val="nothing"/>
      <w:lvlText w:val="（%1）"/>
      <w:lvlJc w:val="left"/>
    </w:lvl>
  </w:abstractNum>
  <w:abstractNum w:abstractNumId="6">
    <w:nsid w:val="351A3C0D"/>
    <w:multiLevelType w:val="singleLevel"/>
    <w:tmpl w:val="351A3C0D"/>
    <w:lvl w:ilvl="0" w:tentative="0">
      <w:start w:val="1"/>
      <w:numFmt w:val="decimal"/>
      <w:lvlText w:val="%1."/>
      <w:lvlJc w:val="left"/>
      <w:pPr>
        <w:tabs>
          <w:tab w:val="left" w:pos="312"/>
        </w:tabs>
      </w:pPr>
    </w:lvl>
  </w:abstractNum>
  <w:abstractNum w:abstractNumId="7">
    <w:nsid w:val="4068FE88"/>
    <w:multiLevelType w:val="singleLevel"/>
    <w:tmpl w:val="4068FE88"/>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8">
    <w:nsid w:val="767A0F9C"/>
    <w:multiLevelType w:val="singleLevel"/>
    <w:tmpl w:val="767A0F9C"/>
    <w:lvl w:ilvl="0" w:tentative="0">
      <w:start w:val="1"/>
      <w:numFmt w:val="decimal"/>
      <w:lvlText w:val="%1."/>
      <w:lvlJc w:val="left"/>
      <w:pPr>
        <w:tabs>
          <w:tab w:val="left" w:pos="312"/>
        </w:tabs>
      </w:pPr>
    </w:lvl>
  </w:abstractNum>
  <w:abstractNum w:abstractNumId="9">
    <w:nsid w:val="7DAA6CA0"/>
    <w:multiLevelType w:val="singleLevel"/>
    <w:tmpl w:val="7DAA6CA0"/>
    <w:lvl w:ilvl="0" w:tentative="0">
      <w:start w:val="1"/>
      <w:numFmt w:val="decimal"/>
      <w:lvlText w:val="%1."/>
      <w:lvlJc w:val="left"/>
      <w:pPr>
        <w:tabs>
          <w:tab w:val="left" w:pos="312"/>
        </w:tabs>
      </w:pPr>
    </w:lvl>
  </w:abstractNum>
  <w:num w:numId="1">
    <w:abstractNumId w:val="1"/>
  </w:num>
  <w:num w:numId="2">
    <w:abstractNumId w:val="7"/>
  </w:num>
  <w:num w:numId="3">
    <w:abstractNumId w:val="5"/>
  </w:num>
  <w:num w:numId="4">
    <w:abstractNumId w:val="4"/>
  </w:num>
  <w:num w:numId="5">
    <w:abstractNumId w:val="3"/>
  </w:num>
  <w:num w:numId="6">
    <w:abstractNumId w:val="0"/>
  </w:num>
  <w:num w:numId="7">
    <w:abstractNumId w:val="9"/>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B15CAE"/>
    <w:rsid w:val="055F62E0"/>
    <w:rsid w:val="0BE079C3"/>
    <w:rsid w:val="21D91179"/>
    <w:rsid w:val="278B0B12"/>
    <w:rsid w:val="38ED5063"/>
    <w:rsid w:val="3B077151"/>
    <w:rsid w:val="3D143BCE"/>
    <w:rsid w:val="42511C74"/>
    <w:rsid w:val="499C2586"/>
    <w:rsid w:val="49F344FB"/>
    <w:rsid w:val="4DBF3025"/>
    <w:rsid w:val="522030C9"/>
    <w:rsid w:val="59201558"/>
    <w:rsid w:val="69F522A2"/>
    <w:rsid w:val="76E55798"/>
    <w:rsid w:val="785A6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99"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pageBreakBefore/>
      <w:numPr>
        <w:ilvl w:val="0"/>
        <w:numId w:val="1"/>
      </w:numPr>
      <w:spacing w:line="360" w:lineRule="auto"/>
      <w:ind w:left="431" w:hanging="431"/>
      <w:jc w:val="left"/>
      <w:outlineLvl w:val="0"/>
    </w:pPr>
    <w:rPr>
      <w:rFonts w:ascii="Times New Roman" w:hAnsi="Times New Roman" w:eastAsia="宋体"/>
      <w:b/>
      <w:kern w:val="44"/>
      <w:sz w:val="44"/>
      <w:szCs w:val="44"/>
    </w:rPr>
  </w:style>
  <w:style w:type="paragraph" w:styleId="3">
    <w:name w:val="heading 2"/>
    <w:basedOn w:val="1"/>
    <w:next w:val="1"/>
    <w:link w:val="77"/>
    <w:unhideWhenUsed/>
    <w:qFormat/>
    <w:uiPriority w:val="0"/>
    <w:pPr>
      <w:keepNext w:val="0"/>
      <w:keepLines w:val="0"/>
      <w:numPr>
        <w:ilvl w:val="1"/>
        <w:numId w:val="1"/>
      </w:numPr>
      <w:spacing w:line="360" w:lineRule="auto"/>
      <w:ind w:left="573" w:hanging="573" w:firstLineChars="0"/>
      <w:outlineLvl w:val="1"/>
    </w:pPr>
    <w:rPr>
      <w:rFonts w:ascii="Times New Roman" w:hAnsi="Times New Roman" w:eastAsia="宋体"/>
      <w:b/>
      <w:bCs/>
      <w:sz w:val="28"/>
      <w:szCs w:val="32"/>
    </w:rPr>
  </w:style>
  <w:style w:type="paragraph" w:styleId="4">
    <w:name w:val="heading 3"/>
    <w:basedOn w:val="1"/>
    <w:next w:val="1"/>
    <w:unhideWhenUsed/>
    <w:qFormat/>
    <w:uiPriority w:val="0"/>
    <w:pPr>
      <w:keepNext/>
      <w:keepLines w:val="0"/>
      <w:numPr>
        <w:ilvl w:val="2"/>
        <w:numId w:val="1"/>
      </w:numPr>
      <w:spacing w:line="360" w:lineRule="auto"/>
      <w:ind w:left="720" w:leftChars="0" w:hanging="720" w:firstLineChars="0"/>
      <w:jc w:val="left"/>
      <w:outlineLvl w:val="2"/>
    </w:pPr>
    <w:rPr>
      <w:rFonts w:ascii="Times New Roman" w:hAnsi="Times New Roman" w:eastAsia="宋体"/>
      <w:b/>
      <w:bCs/>
      <w:sz w:val="28"/>
      <w:szCs w:val="32"/>
    </w:rPr>
  </w:style>
  <w:style w:type="paragraph" w:styleId="5">
    <w:name w:val="heading 4"/>
    <w:basedOn w:val="1"/>
    <w:next w:val="1"/>
    <w:unhideWhenUsed/>
    <w:qFormat/>
    <w:uiPriority w:val="0"/>
    <w:pPr>
      <w:keepNext/>
      <w:keepLines/>
      <w:numPr>
        <w:ilvl w:val="3"/>
        <w:numId w:val="1"/>
      </w:numPr>
      <w:spacing w:beforeAutospacing="0" w:afterLines="0" w:afterAutospacing="0" w:line="360" w:lineRule="auto"/>
      <w:ind w:left="864" w:hanging="864"/>
      <w:outlineLvl w:val="3"/>
    </w:pPr>
    <w:rPr>
      <w:rFonts w:ascii="Times New Roman" w:hAnsi="Times New Roman" w:eastAsia="宋体"/>
      <w:b/>
      <w:sz w:val="28"/>
    </w:rPr>
  </w:style>
  <w:style w:type="paragraph" w:styleId="6">
    <w:name w:val="heading 5"/>
    <w:basedOn w:val="1"/>
    <w:next w:val="1"/>
    <w:unhideWhenUsed/>
    <w:qFormat/>
    <w:uiPriority w:val="0"/>
    <w:pPr>
      <w:keepNext/>
      <w:keepLines/>
      <w:numPr>
        <w:ilvl w:val="4"/>
        <w:numId w:val="1"/>
      </w:numPr>
      <w:spacing w:before="40" w:beforeLines="0" w:beforeAutospacing="0" w:after="50" w:afterLines="0" w:afterAutospacing="0" w:line="372" w:lineRule="auto"/>
      <w:ind w:left="1008" w:hanging="1008"/>
      <w:outlineLvl w:val="4"/>
    </w:pPr>
    <w:rPr>
      <w:rFonts w:ascii="Times New Roman" w:hAnsi="Times New Roman" w:eastAsia="宋体"/>
      <w:b/>
      <w:sz w:val="24"/>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36">
    <w:name w:val="Default Paragraph Font"/>
    <w:semiHidden/>
    <w:qFormat/>
    <w:uiPriority w:val="0"/>
  </w:style>
  <w:style w:type="table" w:default="1" w:styleId="34">
    <w:name w:val="Normal Table"/>
    <w:semiHidden/>
    <w:qFormat/>
    <w:uiPriority w:val="0"/>
    <w:tblPr>
      <w:tblCellMar>
        <w:top w:w="0" w:type="dxa"/>
        <w:left w:w="108" w:type="dxa"/>
        <w:bottom w:w="0" w:type="dxa"/>
        <w:right w:w="108" w:type="dxa"/>
      </w:tblCellMar>
    </w:tblPr>
  </w:style>
  <w:style w:type="paragraph" w:styleId="11">
    <w:name w:val="E-mail Signature"/>
    <w:basedOn w:val="1"/>
    <w:next w:val="12"/>
    <w:qFormat/>
    <w:uiPriority w:val="99"/>
    <w:pPr>
      <w:spacing w:line="460" w:lineRule="exact"/>
      <w:ind w:firstLine="200"/>
    </w:pPr>
    <w:rPr>
      <w:rFonts w:ascii="Times New Roman" w:hAnsi="Times New Roman" w:cs="Times New Roman"/>
    </w:rPr>
  </w:style>
  <w:style w:type="paragraph" w:customStyle="1" w:styleId="12">
    <w:name w:val="文章"/>
    <w:next w:val="13"/>
    <w:qFormat/>
    <w:uiPriority w:val="0"/>
    <w:pPr>
      <w:ind w:firstLine="480"/>
      <w:jc w:val="center"/>
    </w:pPr>
    <w:rPr>
      <w:rFonts w:ascii="Times New Roman" w:hAnsi="Times New Roman" w:eastAsia="宋体" w:cs="Times New Roman"/>
      <w:kern w:val="2"/>
      <w:sz w:val="26"/>
      <w:szCs w:val="22"/>
      <w:lang w:val="en-US" w:eastAsia="zh-CN" w:bidi="ar-SA"/>
    </w:rPr>
  </w:style>
  <w:style w:type="paragraph" w:styleId="13">
    <w:name w:val="List"/>
    <w:basedOn w:val="1"/>
    <w:next w:val="14"/>
    <w:qFormat/>
    <w:uiPriority w:val="0"/>
    <w:pPr>
      <w:ind w:left="420" w:hanging="420"/>
    </w:pPr>
    <w:rPr>
      <w:sz w:val="28"/>
      <w:szCs w:val="20"/>
    </w:rPr>
  </w:style>
  <w:style w:type="paragraph" w:styleId="14">
    <w:name w:val="List Bullet 2"/>
    <w:basedOn w:val="1"/>
    <w:next w:val="15"/>
    <w:qFormat/>
    <w:uiPriority w:val="0"/>
    <w:pPr>
      <w:numPr>
        <w:ilvl w:val="0"/>
        <w:numId w:val="2"/>
      </w:numPr>
    </w:pPr>
  </w:style>
  <w:style w:type="paragraph" w:customStyle="1" w:styleId="15">
    <w:name w:val="xl70"/>
    <w:basedOn w:val="1"/>
    <w:next w:val="16"/>
    <w:qFormat/>
    <w:uiPriority w:val="0"/>
    <w:pPr>
      <w:widowControl/>
      <w:spacing w:before="280" w:after="280" w:line="240" w:lineRule="auto"/>
      <w:ind w:firstLine="0"/>
    </w:pPr>
    <w:rPr>
      <w:rFonts w:ascii="宋体"/>
    </w:rPr>
  </w:style>
  <w:style w:type="paragraph" w:customStyle="1" w:styleId="16">
    <w:name w:val="正文缩进1"/>
    <w:basedOn w:val="1"/>
    <w:next w:val="17"/>
    <w:qFormat/>
    <w:uiPriority w:val="0"/>
    <w:pPr>
      <w:ind w:firstLine="420"/>
    </w:pPr>
    <w:rPr>
      <w:rFonts w:ascii="宋体"/>
      <w:sz w:val="28"/>
    </w:rPr>
  </w:style>
  <w:style w:type="paragraph" w:customStyle="1" w:styleId="17">
    <w:name w:val="td1"/>
    <w:basedOn w:val="1"/>
    <w:next w:val="1"/>
    <w:qFormat/>
    <w:uiPriority w:val="0"/>
    <w:pPr>
      <w:widowControl/>
      <w:spacing w:before="280" w:after="280" w:line="300" w:lineRule="atLeast"/>
      <w:ind w:firstLine="200"/>
    </w:pPr>
    <w:rPr>
      <w:color w:val="000000"/>
      <w:sz w:val="18"/>
    </w:rPr>
  </w:style>
  <w:style w:type="paragraph" w:styleId="18">
    <w:name w:val="Normal Indent"/>
    <w:basedOn w:val="1"/>
    <w:next w:val="1"/>
    <w:qFormat/>
    <w:uiPriority w:val="0"/>
    <w:pPr>
      <w:ind w:firstLine="420" w:firstLineChars="200"/>
    </w:pPr>
  </w:style>
  <w:style w:type="paragraph" w:styleId="19">
    <w:name w:val="caption"/>
    <w:basedOn w:val="1"/>
    <w:next w:val="1"/>
    <w:link w:val="57"/>
    <w:unhideWhenUsed/>
    <w:qFormat/>
    <w:uiPriority w:val="0"/>
    <w:pPr>
      <w:keepNext/>
      <w:ind w:firstLine="0" w:firstLineChars="0"/>
      <w:jc w:val="center"/>
    </w:pPr>
    <w:rPr>
      <w:rFonts w:ascii="Times New Roman" w:hAnsi="Times New Roman" w:eastAsia="宋体"/>
      <w:b/>
      <w:kern w:val="2"/>
      <w:sz w:val="21"/>
      <w:szCs w:val="22"/>
    </w:r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qFormat/>
    <w:uiPriority w:val="0"/>
    <w:pPr>
      <w:widowControl w:val="0"/>
      <w:spacing w:line="360" w:lineRule="auto"/>
    </w:pPr>
    <w:rPr>
      <w:rFonts w:ascii="Times New Roman" w:hAnsi="Times New Roman" w:eastAsia="宋体" w:cs="Times New Roman"/>
      <w:b/>
      <w:kern w:val="2"/>
      <w:sz w:val="21"/>
      <w:szCs w:val="22"/>
    </w:rPr>
  </w:style>
  <w:style w:type="paragraph" w:styleId="22">
    <w:name w:val="Body Text"/>
    <w:basedOn w:val="1"/>
    <w:semiHidden/>
    <w:qFormat/>
    <w:uiPriority w:val="0"/>
    <w:rPr>
      <w:rFonts w:ascii="Arial" w:hAnsi="Arial" w:eastAsia="Arial" w:cs="Arial"/>
      <w:sz w:val="21"/>
      <w:szCs w:val="21"/>
      <w:lang w:val="en-US" w:eastAsia="en-US" w:bidi="ar-SA"/>
    </w:rPr>
  </w:style>
  <w:style w:type="paragraph" w:styleId="23">
    <w:name w:val="Body Text Indent"/>
    <w:basedOn w:val="1"/>
    <w:next w:val="1"/>
    <w:qFormat/>
    <w:uiPriority w:val="0"/>
    <w:pPr>
      <w:ind w:firstLine="560" w:firstLineChars="200"/>
    </w:pPr>
    <w:rPr>
      <w:sz w:val="2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26"/>
    <w:qFormat/>
    <w:uiPriority w:val="0"/>
    <w:rPr>
      <w:rFonts w:ascii="宋体" w:hAnsi="Courier New" w:eastAsia="宋体" w:cs="Times New Roman"/>
      <w:szCs w:val="20"/>
    </w:rPr>
  </w:style>
  <w:style w:type="paragraph" w:customStyle="1" w:styleId="26">
    <w:name w:val="Default"/>
    <w:basedOn w:val="27"/>
    <w:next w:val="1"/>
    <w:qFormat/>
    <w:uiPriority w:val="0"/>
    <w:pPr>
      <w:widowControl w:val="0"/>
      <w:autoSpaceDE w:val="0"/>
      <w:autoSpaceDN w:val="0"/>
      <w:adjustRightInd w:val="0"/>
    </w:pPr>
    <w:rPr>
      <w:rFonts w:ascii="Arial Unicode MS" w:hAnsi="Arial Unicode MS" w:cs="Arial Unicode MS"/>
      <w:color w:val="000000"/>
      <w:sz w:val="24"/>
      <w:szCs w:val="24"/>
      <w:lang w:val="en-US" w:eastAsia="zh-CN" w:bidi="ar-SA"/>
    </w:rPr>
  </w:style>
  <w:style w:type="paragraph" w:customStyle="1" w:styleId="27">
    <w:name w:val="纯文本1"/>
    <w:basedOn w:val="1"/>
    <w:qFormat/>
    <w:uiPriority w:val="0"/>
    <w:pPr>
      <w:adjustRightInd w:val="0"/>
    </w:pPr>
    <w:rPr>
      <w:rFonts w:ascii="宋体" w:hAnsi="Courier New"/>
      <w:szCs w:val="20"/>
    </w:rPr>
  </w:style>
  <w:style w:type="paragraph" w:styleId="28">
    <w:name w:val="footer"/>
    <w:basedOn w:val="1"/>
    <w:qFormat/>
    <w:uiPriority w:val="0"/>
    <w:pPr>
      <w:tabs>
        <w:tab w:val="center" w:pos="4153"/>
        <w:tab w:val="right" w:pos="8306"/>
      </w:tabs>
      <w:snapToGrid w:val="0"/>
      <w:jc w:val="left"/>
    </w:pPr>
    <w:rPr>
      <w:sz w:val="18"/>
      <w:szCs w:val="18"/>
    </w:rPr>
  </w:style>
  <w:style w:type="paragraph" w:styleId="2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2"/>
    <w:basedOn w:val="1"/>
    <w:next w:val="11"/>
    <w:qFormat/>
    <w:uiPriority w:val="39"/>
    <w:pPr>
      <w:ind w:left="210"/>
      <w:jc w:val="left"/>
    </w:pPr>
    <w:rPr>
      <w:smallCaps/>
      <w:sz w:val="20"/>
      <w:szCs w:val="20"/>
    </w:rPr>
  </w:style>
  <w:style w:type="paragraph" w:styleId="32">
    <w:name w:val="Title"/>
    <w:basedOn w:val="1"/>
    <w:next w:val="1"/>
    <w:qFormat/>
    <w:uiPriority w:val="0"/>
    <w:pPr>
      <w:widowControl w:val="0"/>
      <w:spacing w:before="240" w:after="60" w:line="360" w:lineRule="auto"/>
      <w:jc w:val="center"/>
      <w:outlineLvl w:val="0"/>
    </w:pPr>
    <w:rPr>
      <w:rFonts w:ascii="Cambria" w:hAnsi="Cambria" w:cs="Times New Roman"/>
      <w:b/>
      <w:bCs/>
      <w:kern w:val="2"/>
      <w:sz w:val="32"/>
      <w:szCs w:val="32"/>
    </w:rPr>
  </w:style>
  <w:style w:type="paragraph" w:styleId="33">
    <w:name w:val="Body Text First Indent 2"/>
    <w:basedOn w:val="23"/>
    <w:next w:val="1"/>
    <w:qFormat/>
    <w:uiPriority w:val="0"/>
    <w:pPr>
      <w:ind w:firstLine="420" w:firstLineChars="20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0"/>
    <w:rPr>
      <w:b/>
    </w:rPr>
  </w:style>
  <w:style w:type="character" w:styleId="38">
    <w:name w:val="page number"/>
    <w:basedOn w:val="36"/>
    <w:qFormat/>
    <w:uiPriority w:val="0"/>
  </w:style>
  <w:style w:type="character" w:styleId="39">
    <w:name w:val="HTML Acronym"/>
    <w:basedOn w:val="36"/>
    <w:qFormat/>
    <w:uiPriority w:val="0"/>
  </w:style>
  <w:style w:type="character" w:styleId="40">
    <w:name w:val="Hyperlink"/>
    <w:qFormat/>
    <w:uiPriority w:val="0"/>
    <w:rPr>
      <w:color w:val="0000FF"/>
      <w:u w:val="single"/>
    </w:rPr>
  </w:style>
  <w:style w:type="paragraph" w:customStyle="1" w:styleId="41">
    <w:name w:val="报告正文"/>
    <w:basedOn w:val="1"/>
    <w:link w:val="42"/>
    <w:qFormat/>
    <w:uiPriority w:val="0"/>
    <w:pPr>
      <w:keepNext w:val="0"/>
      <w:spacing w:line="360" w:lineRule="auto"/>
      <w:ind w:firstLine="420" w:firstLineChars="200"/>
      <w:jc w:val="left"/>
    </w:pPr>
    <w:rPr>
      <w:rFonts w:ascii="Times New Roman" w:hAnsi="Times New Roman" w:eastAsia="宋体"/>
      <w:sz w:val="24"/>
    </w:rPr>
  </w:style>
  <w:style w:type="character" w:customStyle="1" w:styleId="42">
    <w:name w:val="报告正文 Char"/>
    <w:link w:val="41"/>
    <w:qFormat/>
    <w:uiPriority w:val="0"/>
    <w:rPr>
      <w:rFonts w:ascii="Times New Roman" w:hAnsi="Times New Roman" w:eastAsia="宋体"/>
      <w:sz w:val="24"/>
    </w:rPr>
  </w:style>
  <w:style w:type="paragraph" w:customStyle="1" w:styleId="43">
    <w:name w:val="表格"/>
    <w:basedOn w:val="18"/>
    <w:next w:val="1"/>
    <w:qFormat/>
    <w:uiPriority w:val="0"/>
    <w:pPr>
      <w:keepNext w:val="0"/>
      <w:spacing w:line="240" w:lineRule="auto"/>
      <w:ind w:firstLine="0" w:firstLineChars="0"/>
      <w:jc w:val="center"/>
    </w:pPr>
    <w:rPr>
      <w:rFonts w:ascii="Times New Roman" w:hAnsi="Times New Roman" w:eastAsia="宋体"/>
      <w:color w:val="000000"/>
      <w:szCs w:val="22"/>
    </w:rPr>
  </w:style>
  <w:style w:type="paragraph" w:customStyle="1" w:styleId="44">
    <w:name w:val="表格内文字"/>
    <w:basedOn w:val="1"/>
    <w:qFormat/>
    <w:uiPriority w:val="0"/>
    <w:pPr>
      <w:ind w:firstLine="720" w:firstLineChars="200"/>
      <w:jc w:val="left"/>
    </w:pPr>
    <w:rPr>
      <w:rFonts w:ascii="Times New Roman" w:hAnsi="Times New Roman" w:eastAsia="宋体"/>
      <w:color w:val="000000"/>
      <w:szCs w:val="22"/>
    </w:rPr>
  </w:style>
  <w:style w:type="paragraph" w:customStyle="1" w:styleId="45">
    <w:name w:val="表头"/>
    <w:basedOn w:val="46"/>
    <w:next w:val="1"/>
    <w:link w:val="71"/>
    <w:qFormat/>
    <w:uiPriority w:val="0"/>
    <w:pPr>
      <w:keepNext w:val="0"/>
      <w:keepLines w:val="0"/>
      <w:spacing w:line="240" w:lineRule="auto"/>
      <w:ind w:firstLine="0" w:firstLineChars="0"/>
      <w:jc w:val="center"/>
    </w:pPr>
    <w:rPr>
      <w:rFonts w:ascii="Times New Roman" w:hAnsi="Times New Roman" w:eastAsia="宋体" w:cs="仿宋"/>
      <w:b/>
      <w:bCs/>
      <w:color w:val="auto"/>
      <w:sz w:val="24"/>
    </w:rPr>
  </w:style>
  <w:style w:type="paragraph" w:customStyle="1" w:styleId="46">
    <w:name w:val="T正文"/>
    <w:qFormat/>
    <w:uiPriority w:val="0"/>
    <w:pPr>
      <w:widowControl w:val="0"/>
      <w:adjustRightInd w:val="0"/>
      <w:snapToGrid w:val="0"/>
      <w:spacing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4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48">
    <w:name w:val="样式 正文文本缩进 + 行距: 1.5 倍行距"/>
    <w:basedOn w:val="49"/>
    <w:next w:val="1"/>
    <w:qFormat/>
    <w:uiPriority w:val="0"/>
    <w:pPr>
      <w:widowControl w:val="0"/>
      <w:tabs>
        <w:tab w:val="center" w:pos="0"/>
      </w:tabs>
      <w:spacing w:after="120" w:line="360" w:lineRule="auto"/>
      <w:ind w:left="90" w:leftChars="32" w:firstLine="560" w:firstLineChars="200"/>
      <w:jc w:val="both"/>
    </w:pPr>
    <w:rPr>
      <w:rFonts w:ascii="Times New Roman" w:hAnsi="Times New Roman" w:eastAsia="宋体" w:cs="宋体"/>
      <w:kern w:val="2"/>
      <w:sz w:val="24"/>
      <w:szCs w:val="24"/>
      <w:lang w:val="en-US" w:eastAsia="zh-CN" w:bidi="ar-SA"/>
    </w:rPr>
  </w:style>
  <w:style w:type="paragraph" w:customStyle="1" w:styleId="49">
    <w:name w:val="Body Text Indent"/>
    <w:basedOn w:val="1"/>
    <w:next w:val="48"/>
    <w:qFormat/>
    <w:uiPriority w:val="0"/>
    <w:pPr>
      <w:tabs>
        <w:tab w:val="center" w:pos="0"/>
      </w:tabs>
      <w:spacing w:after="120"/>
      <w:ind w:left="420" w:leftChars="200"/>
    </w:pPr>
    <w:rPr>
      <w:sz w:val="24"/>
    </w:rPr>
  </w:style>
  <w:style w:type="paragraph" w:customStyle="1" w:styleId="50">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1">
    <w:name w:val="报告书正文"/>
    <w:basedOn w:val="1"/>
    <w:qFormat/>
    <w:uiPriority w:val="0"/>
    <w:pPr>
      <w:widowControl w:val="0"/>
      <w:spacing w:line="360" w:lineRule="auto"/>
      <w:ind w:firstLine="480" w:firstLineChars="200"/>
      <w:jc w:val="both"/>
    </w:pPr>
    <w:rPr>
      <w:rFonts w:ascii="Times New Roman" w:hAnsi="Times New Roman" w:eastAsia="宋体"/>
      <w:kern w:val="2"/>
      <w:szCs w:val="24"/>
      <w:lang w:val="zh-CN"/>
    </w:rPr>
  </w:style>
  <w:style w:type="paragraph" w:customStyle="1" w:styleId="52">
    <w:name w:val="p0"/>
    <w:basedOn w:val="1"/>
    <w:qFormat/>
    <w:uiPriority w:val="99"/>
    <w:pPr>
      <w:jc w:val="both"/>
    </w:pPr>
    <w:rPr>
      <w:szCs w:val="21"/>
    </w:rPr>
  </w:style>
  <w:style w:type="paragraph" w:customStyle="1" w:styleId="53">
    <w:name w:val="Table Text"/>
    <w:basedOn w:val="1"/>
    <w:semiHidden/>
    <w:qFormat/>
    <w:uiPriority w:val="0"/>
    <w:rPr>
      <w:rFonts w:ascii="宋体" w:hAnsi="宋体" w:eastAsia="宋体" w:cs="宋体"/>
      <w:sz w:val="24"/>
      <w:szCs w:val="24"/>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表格标题"/>
    <w:basedOn w:val="43"/>
    <w:next w:val="1"/>
    <w:qFormat/>
    <w:uiPriority w:val="0"/>
    <w:pPr>
      <w:spacing w:line="360" w:lineRule="auto"/>
    </w:pPr>
    <w:rPr>
      <w:rFonts w:ascii="Times New Roman" w:hAnsi="Times New Roman" w:eastAsia="宋体"/>
      <w:b/>
    </w:rPr>
  </w:style>
  <w:style w:type="paragraph" w:customStyle="1" w:styleId="56">
    <w:name w:val="表格样式"/>
    <w:basedOn w:val="51"/>
    <w:qFormat/>
    <w:uiPriority w:val="0"/>
    <w:pPr>
      <w:widowControl/>
      <w:tabs>
        <w:tab w:val="left" w:pos="8280"/>
      </w:tabs>
      <w:spacing w:line="240" w:lineRule="auto"/>
      <w:ind w:firstLine="0" w:firstLineChars="0"/>
      <w:jc w:val="center"/>
    </w:pPr>
    <w:rPr>
      <w:bCs/>
      <w:sz w:val="21"/>
    </w:rPr>
  </w:style>
  <w:style w:type="character" w:customStyle="1" w:styleId="57">
    <w:name w:val="题注 字符"/>
    <w:link w:val="19"/>
    <w:qFormat/>
    <w:uiPriority w:val="0"/>
    <w:rPr>
      <w:rFonts w:ascii="Times New Roman" w:hAnsi="Times New Roman" w:eastAsia="宋体"/>
      <w:b/>
      <w:kern w:val="2"/>
      <w:sz w:val="21"/>
      <w:szCs w:val="22"/>
    </w:rPr>
  </w:style>
  <w:style w:type="paragraph" w:customStyle="1" w:styleId="58">
    <w:name w:val="Table Paragraph"/>
    <w:basedOn w:val="1"/>
    <w:qFormat/>
    <w:uiPriority w:val="0"/>
    <w:rPr>
      <w:rFonts w:ascii="宋体" w:hAnsi="宋体" w:cs="宋体"/>
      <w:lang w:val="zh-CN" w:bidi="zh-CN"/>
    </w:rPr>
  </w:style>
  <w:style w:type="paragraph" w:customStyle="1" w:styleId="59">
    <w:name w:val="WPSOffice手动目录 1"/>
    <w:qFormat/>
    <w:uiPriority w:val="0"/>
    <w:pPr>
      <w:ind w:leftChars="0"/>
    </w:pPr>
    <w:rPr>
      <w:rFonts w:ascii="Times New Roman" w:hAnsi="Times New Roman" w:eastAsia="宋体" w:cs="Times New Roman"/>
      <w:sz w:val="20"/>
      <w:szCs w:val="20"/>
    </w:rPr>
  </w:style>
  <w:style w:type="paragraph" w:customStyle="1" w:styleId="60">
    <w:name w:val="WPSOffice手动目录 2"/>
    <w:qFormat/>
    <w:uiPriority w:val="0"/>
    <w:pPr>
      <w:ind w:leftChars="200"/>
    </w:pPr>
    <w:rPr>
      <w:rFonts w:ascii="Times New Roman" w:hAnsi="Times New Roman" w:eastAsia="宋体" w:cs="Times New Roman"/>
      <w:sz w:val="20"/>
      <w:szCs w:val="20"/>
    </w:rPr>
  </w:style>
  <w:style w:type="paragraph" w:customStyle="1" w:styleId="61">
    <w:name w:val="WPSOffice手动目录 3"/>
    <w:qFormat/>
    <w:uiPriority w:val="0"/>
    <w:pPr>
      <w:ind w:leftChars="400"/>
    </w:pPr>
    <w:rPr>
      <w:rFonts w:ascii="Times New Roman" w:hAnsi="Times New Roman" w:eastAsia="宋体" w:cs="Times New Roman"/>
      <w:sz w:val="20"/>
      <w:szCs w:val="20"/>
    </w:rPr>
  </w:style>
  <w:style w:type="character" w:customStyle="1" w:styleId="62">
    <w:name w:val="font41"/>
    <w:basedOn w:val="36"/>
    <w:qFormat/>
    <w:uiPriority w:val="0"/>
    <w:rPr>
      <w:rFonts w:hint="default" w:ascii="Times New Roman" w:hAnsi="Times New Roman" w:cs="Times New Roman"/>
      <w:b/>
      <w:bCs/>
      <w:color w:val="000000"/>
      <w:sz w:val="21"/>
      <w:szCs w:val="21"/>
      <w:u w:val="none"/>
    </w:rPr>
  </w:style>
  <w:style w:type="character" w:customStyle="1" w:styleId="63">
    <w:name w:val="font11"/>
    <w:basedOn w:val="36"/>
    <w:qFormat/>
    <w:uiPriority w:val="0"/>
    <w:rPr>
      <w:rFonts w:hint="eastAsia" w:ascii="宋体" w:hAnsi="宋体" w:eastAsia="宋体" w:cs="宋体"/>
      <w:b/>
      <w:bCs/>
      <w:color w:val="000000"/>
      <w:sz w:val="21"/>
      <w:szCs w:val="21"/>
      <w:u w:val="none"/>
    </w:rPr>
  </w:style>
  <w:style w:type="character" w:customStyle="1" w:styleId="64">
    <w:name w:val="font31"/>
    <w:basedOn w:val="36"/>
    <w:qFormat/>
    <w:uiPriority w:val="0"/>
    <w:rPr>
      <w:rFonts w:hint="eastAsia" w:ascii="宋体" w:hAnsi="宋体" w:eastAsia="宋体" w:cs="宋体"/>
      <w:color w:val="000000"/>
      <w:sz w:val="21"/>
      <w:szCs w:val="21"/>
      <w:u w:val="none"/>
    </w:rPr>
  </w:style>
  <w:style w:type="paragraph" w:customStyle="1" w:styleId="65">
    <w:name w:val="封面-矿山名称"/>
    <w:basedOn w:val="1"/>
    <w:qFormat/>
    <w:uiPriority w:val="11"/>
    <w:pPr>
      <w:ind w:firstLine="0" w:firstLineChars="0"/>
      <w:jc w:val="center"/>
    </w:pPr>
    <w:rPr>
      <w:b/>
      <w:color w:val="000000"/>
      <w:spacing w:val="-12"/>
      <w:kern w:val="0"/>
      <w:sz w:val="48"/>
      <w:szCs w:val="48"/>
    </w:rPr>
  </w:style>
  <w:style w:type="paragraph" w:customStyle="1" w:styleId="66">
    <w:name w:val="封面-开发方案"/>
    <w:basedOn w:val="1"/>
    <w:qFormat/>
    <w:uiPriority w:val="11"/>
    <w:pPr>
      <w:ind w:firstLine="0" w:firstLineChars="0"/>
      <w:jc w:val="center"/>
    </w:pPr>
    <w:rPr>
      <w:rFonts w:ascii="黑体" w:hAnsi="黑体" w:eastAsia="黑体"/>
      <w:b/>
      <w:color w:val="000000"/>
      <w:kern w:val="0"/>
      <w:sz w:val="52"/>
      <w:szCs w:val="52"/>
    </w:rPr>
  </w:style>
  <w:style w:type="character" w:customStyle="1" w:styleId="67">
    <w:name w:val="font51"/>
    <w:basedOn w:val="36"/>
    <w:qFormat/>
    <w:uiPriority w:val="0"/>
    <w:rPr>
      <w:rFonts w:hint="default" w:ascii="Times New Roman" w:hAnsi="Times New Roman" w:cs="Times New Roman"/>
      <w:color w:val="000000"/>
      <w:sz w:val="21"/>
      <w:szCs w:val="21"/>
      <w:u w:val="none"/>
      <w:vertAlign w:val="superscript"/>
    </w:rPr>
  </w:style>
  <w:style w:type="paragraph" w:customStyle="1" w:styleId="68">
    <w:name w:val="表文字"/>
    <w:basedOn w:val="45"/>
    <w:qFormat/>
    <w:uiPriority w:val="6"/>
    <w:pPr>
      <w:spacing w:line="240" w:lineRule="auto"/>
    </w:pPr>
    <w:rPr>
      <w:b w:val="0"/>
      <w:kern w:val="2"/>
      <w:sz w:val="24"/>
      <w:szCs w:val="21"/>
    </w:rPr>
  </w:style>
  <w:style w:type="character" w:customStyle="1" w:styleId="69">
    <w:name w:val="font21"/>
    <w:basedOn w:val="36"/>
    <w:qFormat/>
    <w:uiPriority w:val="0"/>
    <w:rPr>
      <w:rFonts w:hint="eastAsia" w:ascii="宋体" w:hAnsi="宋体" w:eastAsia="宋体" w:cs="宋体"/>
      <w:color w:val="000000"/>
      <w:sz w:val="21"/>
      <w:szCs w:val="21"/>
      <w:u w:val="none"/>
    </w:rPr>
  </w:style>
  <w:style w:type="paragraph" w:customStyle="1" w:styleId="70">
    <w:name w:val="图片"/>
    <w:basedOn w:val="1"/>
    <w:qFormat/>
    <w:uiPriority w:val="7"/>
    <w:pPr>
      <w:ind w:firstLine="0" w:firstLineChars="0"/>
      <w:jc w:val="center"/>
    </w:pPr>
    <w:rPr>
      <w:rFonts w:cs="Times New Roman"/>
      <w:kern w:val="0"/>
      <w:szCs w:val="20"/>
    </w:rPr>
  </w:style>
  <w:style w:type="character" w:customStyle="1" w:styleId="71">
    <w:name w:val="表头 Char"/>
    <w:link w:val="45"/>
    <w:qFormat/>
    <w:uiPriority w:val="0"/>
    <w:rPr>
      <w:rFonts w:ascii="Times New Roman" w:hAnsi="Times New Roman" w:eastAsia="宋体" w:cs="仿宋"/>
      <w:b/>
      <w:bCs/>
      <w:color w:val="auto"/>
      <w:sz w:val="24"/>
    </w:rPr>
  </w:style>
  <w:style w:type="character" w:customStyle="1" w:styleId="72">
    <w:name w:val="Font Style18"/>
    <w:qFormat/>
    <w:uiPriority w:val="0"/>
    <w:rPr>
      <w:rFonts w:ascii="宋体" w:eastAsia="宋体" w:cs="宋体"/>
      <w:b/>
      <w:bCs/>
      <w:sz w:val="28"/>
      <w:szCs w:val="28"/>
    </w:rPr>
  </w:style>
  <w:style w:type="paragraph" w:customStyle="1" w:styleId="73">
    <w:name w:val="【正文】"/>
    <w:basedOn w:val="1"/>
    <w:qFormat/>
    <w:uiPriority w:val="0"/>
    <w:rPr>
      <w:kern w:val="0"/>
    </w:rPr>
  </w:style>
  <w:style w:type="character" w:customStyle="1" w:styleId="74">
    <w:name w:val="15"/>
    <w:basedOn w:val="36"/>
    <w:qFormat/>
    <w:uiPriority w:val="0"/>
    <w:rPr>
      <w:rFonts w:hint="default" w:ascii="Times New Roman" w:hAnsi="Times New Roman" w:cs="Times New Roman"/>
      <w:sz w:val="21"/>
      <w:szCs w:val="21"/>
    </w:rPr>
  </w:style>
  <w:style w:type="paragraph" w:customStyle="1" w:styleId="75">
    <w:name w:val="【表内容】"/>
    <w:basedOn w:val="1"/>
    <w:qFormat/>
    <w:uiPriority w:val="0"/>
    <w:pPr>
      <w:spacing w:line="240" w:lineRule="auto"/>
      <w:ind w:firstLine="0" w:firstLineChars="0"/>
      <w:jc w:val="center"/>
    </w:pPr>
    <w:rPr>
      <w:rFonts w:cstheme="minorBidi"/>
      <w:sz w:val="21"/>
    </w:rPr>
  </w:style>
  <w:style w:type="paragraph" w:customStyle="1" w:styleId="76">
    <w:name w:val="01内容"/>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customStyle="1" w:styleId="77">
    <w:name w:val="标题 2 Char"/>
    <w:link w:val="3"/>
    <w:qFormat/>
    <w:uiPriority w:val="0"/>
    <w:rPr>
      <w:rFonts w:ascii="Times New Roman" w:hAnsi="Times New Roman" w:eastAsia="宋体" w:cs="Times New Roman"/>
      <w:b/>
      <w:bCs/>
      <w:sz w:val="28"/>
      <w:szCs w:val="32"/>
    </w:rPr>
  </w:style>
  <w:style w:type="paragraph" w:customStyle="1" w:styleId="78">
    <w:name w:val="正文文本1"/>
    <w:basedOn w:val="1"/>
    <w:qFormat/>
    <w:uiPriority w:val="0"/>
    <w:pPr>
      <w:widowControl w:val="0"/>
      <w:shd w:val="clear" w:color="auto" w:fill="auto"/>
      <w:spacing w:line="398" w:lineRule="auto"/>
    </w:pPr>
    <w:rPr>
      <w:rFonts w:ascii="黑体" w:hAnsi="黑体" w:eastAsia="黑体" w:cs="黑体"/>
      <w:sz w:val="58"/>
      <w:szCs w:val="58"/>
      <w:u w:val="none"/>
      <w:lang w:val="zh-CN" w:eastAsia="zh-CN" w:bidi="zh-CN"/>
    </w:rPr>
  </w:style>
  <w:style w:type="paragraph" w:customStyle="1" w:styleId="79">
    <w:name w:val="样式35"/>
    <w:next w:val="80"/>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80">
    <w:name w:val="font6"/>
    <w:basedOn w:val="1"/>
    <w:next w:val="31"/>
    <w:qFormat/>
    <w:uiPriority w:val="0"/>
    <w:pPr>
      <w:widowControl/>
      <w:spacing w:before="100" w:beforeLines="0" w:beforeAutospacing="1" w:after="100" w:afterLines="0" w:afterAutospacing="1"/>
      <w:jc w:val="left"/>
    </w:pPr>
    <w:rPr>
      <w:rFonts w:eastAsia="Arial Unicode MS"/>
      <w:kern w:val="0"/>
      <w:sz w:val="24"/>
    </w:rPr>
  </w:style>
  <w:style w:type="character" w:customStyle="1" w:styleId="81">
    <w:name w:val="font61"/>
    <w:basedOn w:val="36"/>
    <w:qFormat/>
    <w:uiPriority w:val="0"/>
    <w:rPr>
      <w:rFonts w:hint="default" w:ascii="Times New Roman" w:hAnsi="Times New Roman" w:cs="Times New Roman"/>
      <w:b/>
      <w:bCs/>
      <w:color w:val="000000"/>
      <w:sz w:val="21"/>
      <w:szCs w:val="21"/>
      <w:u w:val="none"/>
      <w:vertAlign w:val="superscript"/>
    </w:rPr>
  </w:style>
  <w:style w:type="character" w:customStyle="1" w:styleId="82">
    <w:name w:val="font71"/>
    <w:basedOn w:val="36"/>
    <w:qFormat/>
    <w:uiPriority w:val="0"/>
    <w:rPr>
      <w:rFonts w:hint="eastAsia" w:ascii="宋体" w:hAnsi="宋体" w:eastAsia="宋体" w:cs="宋体"/>
      <w:color w:val="000000"/>
      <w:sz w:val="21"/>
      <w:szCs w:val="21"/>
      <w:u w:val="none"/>
    </w:rPr>
  </w:style>
  <w:style w:type="paragraph" w:styleId="83">
    <w:name w:val="List Paragraph"/>
    <w:basedOn w:val="1"/>
    <w:qFormat/>
    <w:uiPriority w:val="0"/>
    <w:pPr>
      <w:spacing w:line="240" w:lineRule="auto"/>
      <w:ind w:firstLine="420"/>
    </w:pPr>
    <w:rPr>
      <w:rFonts w:ascii="Calibri" w:hAnsi="Calibri" w:eastAsiaTheme="minorEastAsia" w:cstheme="minorBidi"/>
      <w:sz w:val="21"/>
      <w:szCs w:val="22"/>
    </w:rPr>
  </w:style>
  <w:style w:type="paragraph" w:customStyle="1" w:styleId="84">
    <w:name w:val="其他"/>
    <w:basedOn w:val="1"/>
    <w:qFormat/>
    <w:uiPriority w:val="0"/>
    <w:pPr>
      <w:widowControl w:val="0"/>
      <w:shd w:val="clear" w:color="auto" w:fill="auto"/>
      <w:spacing w:line="398" w:lineRule="auto"/>
    </w:pPr>
    <w:rPr>
      <w:rFonts w:ascii="黑体" w:hAnsi="黑体" w:eastAsia="黑体" w:cs="黑体"/>
      <w:sz w:val="58"/>
      <w:szCs w:val="58"/>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21.emf"/><Relationship Id="rId42" Type="http://schemas.openxmlformats.org/officeDocument/2006/relationships/oleObject" Target="embeddings/oleObject5.bin"/><Relationship Id="rId41" Type="http://schemas.openxmlformats.org/officeDocument/2006/relationships/image" Target="media/image20.png"/><Relationship Id="rId40" Type="http://schemas.openxmlformats.org/officeDocument/2006/relationships/image" Target="media/image19.jpeg"/><Relationship Id="rId4" Type="http://schemas.openxmlformats.org/officeDocument/2006/relationships/footer" Target="footer1.xml"/><Relationship Id="rId39" Type="http://schemas.openxmlformats.org/officeDocument/2006/relationships/image" Target="media/image18.png"/><Relationship Id="rId38" Type="http://schemas.openxmlformats.org/officeDocument/2006/relationships/image" Target="media/image17.jpeg"/><Relationship Id="rId37" Type="http://schemas.openxmlformats.org/officeDocument/2006/relationships/image" Target="media/image16.jpeg"/><Relationship Id="rId36" Type="http://schemas.openxmlformats.org/officeDocument/2006/relationships/image" Target="media/image15.jpeg"/><Relationship Id="rId35" Type="http://schemas.openxmlformats.org/officeDocument/2006/relationships/image" Target="media/image14.jpeg"/><Relationship Id="rId34" Type="http://schemas.openxmlformats.org/officeDocument/2006/relationships/image" Target="media/image13.jpeg"/><Relationship Id="rId33" Type="http://schemas.openxmlformats.org/officeDocument/2006/relationships/image" Target="media/image12.jpeg"/><Relationship Id="rId32" Type="http://schemas.openxmlformats.org/officeDocument/2006/relationships/image" Target="media/image11.jpeg"/><Relationship Id="rId31" Type="http://schemas.openxmlformats.org/officeDocument/2006/relationships/image" Target="media/image10.jpeg"/><Relationship Id="rId30" Type="http://schemas.openxmlformats.org/officeDocument/2006/relationships/image" Target="media/image9.jpeg"/><Relationship Id="rId3" Type="http://schemas.openxmlformats.org/officeDocument/2006/relationships/header" Target="header1.xml"/><Relationship Id="rId29" Type="http://schemas.openxmlformats.org/officeDocument/2006/relationships/image" Target="media/image8.jpeg"/><Relationship Id="rId28" Type="http://schemas.openxmlformats.org/officeDocument/2006/relationships/image" Target="media/image7.jpeg"/><Relationship Id="rId27" Type="http://schemas.openxmlformats.org/officeDocument/2006/relationships/oleObject" Target="embeddings/oleObject4.bin"/><Relationship Id="rId26" Type="http://schemas.openxmlformats.org/officeDocument/2006/relationships/image" Target="media/image6.wmf"/><Relationship Id="rId25" Type="http://schemas.openxmlformats.org/officeDocument/2006/relationships/oleObject" Target="embeddings/oleObject3.bin"/><Relationship Id="rId24" Type="http://schemas.openxmlformats.org/officeDocument/2006/relationships/image" Target="media/image5.jpeg"/><Relationship Id="rId23" Type="http://schemas.openxmlformats.org/officeDocument/2006/relationships/image" Target="media/image4.jpeg"/><Relationship Id="rId22" Type="http://schemas.openxmlformats.org/officeDocument/2006/relationships/image" Target="media/image3.png"/><Relationship Id="rId21" Type="http://schemas.openxmlformats.org/officeDocument/2006/relationships/image" Target="media/image2.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oleObject" Target="embeddings/oleObject1.bin"/><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238</Pages>
  <Words>156587</Words>
  <Characters>175941</Characters>
  <Lines>0</Lines>
  <Paragraphs>0</Paragraphs>
  <TotalTime>4</TotalTime>
  <ScaleCrop>false</ScaleCrop>
  <LinksUpToDate>false</LinksUpToDate>
  <CharactersWithSpaces>177108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2026-01-14T05:18:00Z</dcterms:created>
  <dc:creator>杨丽琴</dc:creator>
  <cp:lastModifiedBy>杨丽琴</cp:lastModifiedBy>
  <dcterms:modified xsi:type="dcterms:W3CDTF">2026-07-10T02:08:23Z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8D83FE3BF7FA47BDA2ED05BDE2D458A5_13</vt:lpwstr>
  </property>
  <property fmtid="{D5CDD505-2E9C-101B-9397-08002B2CF9AE}" pid="4" name="KSOTemplateDocerSaveRecord">
    <vt:lpwstr>eyJoZGlkIjoiY2JkZDNmY2RmOWNmODVkODZhOTIyOGMzNzEyNmI3MDMiLCJ1c2VySWQiOiIzODEzNTk0MjIifQ==</vt:lpwstr>
  </property>
</Properties>
</file>